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material"/>
    <w:p>
      <w:pPr>
        <w:pStyle w:val="Heading1"/>
      </w:pPr>
      <w:r>
        <w:t xml:space="preserve">Supplementary Material</w:t>
      </w:r>
    </w:p>
    <w:p>
      <w:pPr>
        <w:pStyle w:val="FirstParagraph"/>
      </w:pPr>
      <w:r>
        <w:rPr>
          <w:bCs/>
          <w:b/>
        </w:rPr>
        <w:t xml:space="preserve">Observability and sensor layout for influence-area load monitoring of continuous girder bridges</w:t>
      </w:r>
    </w:p>
    <w:p>
      <w:pPr>
        <w:pStyle w:val="BodyText"/>
      </w:pPr>
      <w:r>
        <w:t xml:space="preserve">Quoc-Bao Nguyen, Thai-Son Vu, Hung-Son Nguyen</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1"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rPr>
        <w:tc>
          <w:tcPr>
            <w:tcW w:type="dxa" w:w="2093"/>
            <w:tcBorders>
              <w:top w:val="nil"/>
              <w:left w:val="nil"/>
              <w:bottom w:val="single" w:sz="6" w:space="0" w:color="000000"/>
              <w:right w:val="nil"/>
            </w:tcBorders>
          </w:tcPr>
          <w:p>
            <w:pPr>
              <w:pStyle w:val="Compact"/>
              <w:jc w:val="left"/>
            </w:pPr>
            <m:oMath>
              <m:r>
                <m:t>β</m:t>
              </m:r>
            </m:oMath>
          </w:p>
        </w:tc>
        <w:tc>
          <w:tcPr>
            <w:tcW w:type="dxa" w:w="1744"/>
            <w:tcBorders>
              <w:top w:val="nil"/>
              <w:left w:val="nil"/>
              <w:bottom w:val="single" w:sz="6" w:space="0" w:color="000000"/>
              <w:right w:val="nil"/>
            </w:tcBorders>
          </w:tcPr>
          <w:p>
            <w:pPr>
              <w:pStyle w:val="Compact"/>
              <w:jc w:val="left"/>
            </w:pPr>
            <m:oMath>
              <m:r>
                <m:t>μ</m:t>
              </m:r>
            </m:oMath>
          </w:p>
        </w:tc>
        <w:tc>
          <w:tcPr>
            <w:tcW w:type="dxa" w:w="1744"/>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2093"/>
          </w:tcPr>
          <w:p>
            <w:pPr>
              <w:pStyle w:val="Compact"/>
              <w:jc w:val="left"/>
            </w:pPr>
            <w:r>
              <w:t xml:space="preserve">1.0</w:t>
            </w:r>
          </w:p>
        </w:tc>
        <w:tc>
          <w:tcPr>
            <w:tcW w:type="dxa" w:w="1744"/>
          </w:tcPr>
          <w:p>
            <w:pPr>
              <w:pStyle w:val="Compact"/>
              <w:jc w:val="left"/>
            </w:pPr>
            <w:r>
              <w:t xml:space="preserve">0.800</w:t>
            </w:r>
          </w:p>
        </w:tc>
        <w:tc>
          <w:tcPr>
            <w:tcW w:type="dxa" w:w="1744"/>
          </w:tcPr>
          <w:p>
            <w:pPr>
              <w:pStyle w:val="Compact"/>
              <w:jc w:val="left"/>
            </w:pPr>
            <w:r>
              <w:t xml:space="preserve">0.4460</w:t>
            </w:r>
          </w:p>
        </w:tc>
        <w:tc>
          <w:tcPr>
            <w:tcW w:type="dxa" w:w="1744"/>
          </w:tcPr>
          <w:p>
            <w:pPr>
              <w:pStyle w:val="Compact"/>
              <w:jc w:val="left"/>
            </w:pPr>
            <w:r>
              <w:t xml:space="preserve">1.322</w:t>
            </w:r>
          </w:p>
        </w:tc>
        <w:tc>
          <w:tcPr>
            <w:tcW w:type="dxa" w:w="1744"/>
          </w:tcPr>
          <w:p>
            <w:pPr>
              <w:pStyle w:val="Compact"/>
              <w:jc w:val="left"/>
            </w:pPr>
            <w:r>
              <w:t xml:space="preserve">1.300</w:t>
            </w:r>
          </w:p>
        </w:tc>
      </w:tr>
      <w:tr>
        <w:tc>
          <w:tcPr>
            <w:tcW w:type="dxa" w:w="2093"/>
          </w:tcPr>
          <w:p>
            <w:pPr>
              <w:pStyle w:val="Compact"/>
              <w:jc w:val="left"/>
            </w:pPr>
            <w:r>
              <w:t xml:space="preserve">1.2</w:t>
            </w:r>
          </w:p>
        </w:tc>
        <w:tc>
          <w:tcPr>
            <w:tcW w:type="dxa" w:w="1744"/>
          </w:tcPr>
          <w:p>
            <w:pPr>
              <w:pStyle w:val="Compact"/>
              <w:jc w:val="left"/>
            </w:pPr>
            <w:r>
              <w:t xml:space="preserve">0.9743</w:t>
            </w:r>
          </w:p>
        </w:tc>
        <w:tc>
          <w:tcPr>
            <w:tcW w:type="dxa" w:w="1744"/>
          </w:tcPr>
          <w:p>
            <w:pPr>
              <w:pStyle w:val="Compact"/>
              <w:jc w:val="left"/>
            </w:pPr>
            <w:r>
              <w:t xml:space="preserve">0.4251</w:t>
            </w:r>
          </w:p>
        </w:tc>
        <w:tc>
          <w:tcPr>
            <w:tcW w:type="dxa" w:w="1744"/>
          </w:tcPr>
          <w:p>
            <w:pPr>
              <w:pStyle w:val="Compact"/>
              <w:jc w:val="left"/>
            </w:pPr>
            <w:r>
              <w:t xml:space="preserve">1.076</w:t>
            </w:r>
          </w:p>
        </w:tc>
        <w:tc>
          <w:tcPr>
            <w:tcW w:type="dxa" w:w="1744"/>
          </w:tcPr>
          <w:p>
            <w:pPr>
              <w:pStyle w:val="Compact"/>
              <w:jc w:val="left"/>
            </w:pPr>
            <w:r>
              <w:t xml:space="preserve">1.039</w:t>
            </w:r>
          </w:p>
        </w:tc>
      </w:tr>
      <w:tr>
        <w:tc>
          <w:tcPr>
            <w:tcW w:type="dxa" w:w="2093"/>
          </w:tcPr>
          <w:p>
            <w:pPr>
              <w:pStyle w:val="Compact"/>
              <w:jc w:val="left"/>
            </w:pPr>
            <w:r>
              <w:t xml:space="preserve">1.4</w:t>
            </w:r>
          </w:p>
        </w:tc>
        <w:tc>
          <w:tcPr>
            <w:tcW w:type="dxa" w:w="1744"/>
          </w:tcPr>
          <w:p>
            <w:pPr>
              <w:pStyle w:val="Compact"/>
              <w:jc w:val="left"/>
            </w:pPr>
            <w:r>
              <w:t xml:space="preserve">1.208</w:t>
            </w:r>
          </w:p>
        </w:tc>
        <w:tc>
          <w:tcPr>
            <w:tcW w:type="dxa" w:w="1744"/>
          </w:tcPr>
          <w:p>
            <w:pPr>
              <w:pStyle w:val="Compact"/>
              <w:jc w:val="left"/>
            </w:pPr>
            <w:r>
              <w:t xml:space="preserve">0.3875</w:t>
            </w:r>
          </w:p>
        </w:tc>
        <w:tc>
          <w:tcPr>
            <w:tcW w:type="dxa" w:w="1744"/>
          </w:tcPr>
          <w:p>
            <w:pPr>
              <w:pStyle w:val="Compact"/>
              <w:jc w:val="left"/>
            </w:pPr>
            <w:r>
              <w:t xml:space="preserve">0.7585</w:t>
            </w:r>
          </w:p>
        </w:tc>
        <w:tc>
          <w:tcPr>
            <w:tcW w:type="dxa" w:w="1744"/>
          </w:tcPr>
          <w:p>
            <w:pPr>
              <w:pStyle w:val="Compact"/>
              <w:jc w:val="left"/>
            </w:pPr>
            <w:r>
              <w:t xml:space="preserve">0.6884</w:t>
            </w:r>
          </w:p>
        </w:tc>
      </w:tr>
      <w:tr>
        <w:tc>
          <w:tcPr>
            <w:tcW w:type="dxa" w:w="2093"/>
          </w:tcPr>
          <w:p>
            <w:pPr>
              <w:pStyle w:val="Compact"/>
              <w:jc w:val="left"/>
            </w:pPr>
            <w:r>
              <w:t xml:space="preserve">1.5</w:t>
            </w:r>
          </w:p>
        </w:tc>
        <w:tc>
          <w:tcPr>
            <w:tcW w:type="dxa" w:w="1744"/>
          </w:tcPr>
          <w:p>
            <w:pPr>
              <w:pStyle w:val="Compact"/>
              <w:jc w:val="left"/>
            </w:pPr>
            <w:r>
              <w:t xml:space="preserve">1.346</w:t>
            </w:r>
          </w:p>
        </w:tc>
        <w:tc>
          <w:tcPr>
            <w:tcW w:type="dxa" w:w="1744"/>
          </w:tcPr>
          <w:p>
            <w:pPr>
              <w:pStyle w:val="Compact"/>
              <w:jc w:val="left"/>
            </w:pPr>
            <w:r>
              <w:t xml:space="preserve">0.3582</w:t>
            </w:r>
          </w:p>
        </w:tc>
        <w:tc>
          <w:tcPr>
            <w:tcW w:type="dxa" w:w="1744"/>
          </w:tcPr>
          <w:p>
            <w:pPr>
              <w:pStyle w:val="Compact"/>
              <w:jc w:val="left"/>
            </w:pPr>
            <w:r>
              <w:t xml:space="preserve">0.5807</w:t>
            </w:r>
          </w:p>
        </w:tc>
        <w:tc>
          <w:tcPr>
            <w:tcW w:type="dxa" w:w="1744"/>
          </w:tcPr>
          <w:p>
            <w:pPr>
              <w:pStyle w:val="Compact"/>
              <w:jc w:val="left"/>
            </w:pPr>
            <w:r>
              <w:t xml:space="preserve">0.4808</w:t>
            </w:r>
          </w:p>
        </w:tc>
      </w:tr>
      <w:tr>
        <w:tc>
          <w:tcPr>
            <w:tcW w:type="dxa" w:w="2093"/>
          </w:tcPr>
          <w:p>
            <w:pPr>
              <w:pStyle w:val="Compact"/>
              <w:jc w:val="left"/>
            </w:pPr>
            <w:r>
              <w:t xml:space="preserve">1.636 (= 90/55)</w:t>
            </w:r>
          </w:p>
        </w:tc>
        <w:tc>
          <w:tcPr>
            <w:tcW w:type="dxa" w:w="1744"/>
          </w:tcPr>
          <w:p>
            <w:pPr>
              <w:pStyle w:val="Compact"/>
              <w:jc w:val="left"/>
            </w:pPr>
            <w:r>
              <w:t xml:space="preserve">1.558</w:t>
            </w:r>
          </w:p>
        </w:tc>
        <w:tc>
          <w:tcPr>
            <w:tcW w:type="dxa" w:w="1744"/>
          </w:tcPr>
          <w:p>
            <w:pPr>
              <w:pStyle w:val="Compact"/>
              <w:jc w:val="left"/>
            </w:pPr>
            <w:r>
              <w:t xml:space="preserve">0.2994</w:t>
            </w:r>
          </w:p>
        </w:tc>
        <w:tc>
          <w:tcPr>
            <w:tcW w:type="dxa" w:w="1744"/>
          </w:tcPr>
          <w:p>
            <w:pPr>
              <w:pStyle w:val="Compact"/>
              <w:jc w:val="left"/>
            </w:pPr>
            <w:r>
              <w:t xml:space="preserve">0.3316</w:t>
            </w:r>
          </w:p>
        </w:tc>
        <w:tc>
          <w:tcPr>
            <w:tcW w:type="dxa" w:w="1744"/>
          </w:tcPr>
          <w:p>
            <w:pPr>
              <w:pStyle w:val="Compact"/>
              <w:jc w:val="left"/>
            </w:pPr>
            <w:r>
              <w:t xml:space="preserve">0.1632</w:t>
            </w:r>
          </w:p>
        </w:tc>
      </w:tr>
      <w:tr>
        <w:tc>
          <w:tcPr>
            <w:tcW w:type="dxa" w:w="2093"/>
          </w:tcPr>
          <w:p>
            <w:pPr>
              <w:pStyle w:val="Compact"/>
              <w:jc w:val="left"/>
            </w:pPr>
            <w:r>
              <w:t xml:space="preserve">1.7</w:t>
            </w:r>
          </w:p>
        </w:tc>
        <w:tc>
          <w:tcPr>
            <w:tcW w:type="dxa" w:w="1744"/>
          </w:tcPr>
          <w:p>
            <w:pPr>
              <w:pStyle w:val="Compact"/>
              <w:jc w:val="left"/>
            </w:pPr>
            <w:r>
              <w:t xml:space="preserve">1.666</w:t>
            </w:r>
          </w:p>
        </w:tc>
        <w:tc>
          <w:tcPr>
            <w:tcW w:type="dxa" w:w="1744"/>
          </w:tcPr>
          <w:p>
            <w:pPr>
              <w:pStyle w:val="Compact"/>
              <w:jc w:val="left"/>
            </w:pPr>
            <w:r>
              <w:t xml:space="preserve">0.2608</w:t>
            </w:r>
          </w:p>
        </w:tc>
        <w:tc>
          <w:tcPr>
            <w:tcW w:type="dxa" w:w="1744"/>
          </w:tcPr>
          <w:p>
            <w:pPr>
              <w:pStyle w:val="Compact"/>
              <w:jc w:val="left"/>
            </w:pPr>
            <w:r>
              <w:t xml:space="preserve">0.2202</w:t>
            </w:r>
          </w:p>
        </w:tc>
        <w:tc>
          <w:tcPr>
            <w:tcW w:type="dxa" w:w="1744"/>
          </w:tcPr>
          <w:p>
            <w:pPr>
              <w:pStyle w:val="Compact"/>
              <w:jc w:val="lef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bookmarkEnd w:id="21"/>
    <w:bookmarkStart w:id="22"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bookmarkEnd w:id="22"/>
    <w:bookmarkStart w:id="23"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m:t>
            </m:r>
            <m:r>
              <m:rPr>
                <m:sty m:val="p"/>
              </m:rPr>
              <m:t>o</m:t>
            </m:r>
            <m:r>
              <m:rPr>
                <m:sty m:val="p"/>
              </m:rPr>
              <m:t>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bookmarkEnd w:id="23"/>
    <w:bookmarkStart w:id="24"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24"/>
    <w:bookmarkStart w:id="25"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25"/>
    <w:bookmarkStart w:id="26"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BodyT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S5)</w:t>
            </w:r>
          </w:p>
        </w:tc>
      </w:tr>
    </w:tbl>
    <w:p>
      <w:pPr>
        <w:pStyle w:val="BodyT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(main text Table 2)</w:t>
            </w:r>
          </w:p>
        </w:tc>
        <w:tc>
          <w:tcPr>
            <w:tcW w:type="dxa" w:w="2360"/>
          </w:tcPr>
          <w:p>
            <w:pPr>
              <w:pStyle w:val="Compact"/>
              <w:jc w:val="left"/>
            </w:pPr>
            <w:r>
              <w:t xml:space="preserve">20.4</w:t>
            </w:r>
          </w:p>
        </w:tc>
        <w:tc>
          <w:tcPr>
            <w:tcW w:type="dxa" w:w="2112"/>
          </w:tcPr>
          <w:p>
            <w:pPr>
              <w:pStyle w:val="Compact"/>
              <w:jc w:val="left"/>
            </w:pPr>
            <w:r>
              <w:t xml:space="preserve">11.9</w:t>
            </w:r>
          </w:p>
        </w:tc>
      </w:tr>
    </w:tbl>
    <w:bookmarkEnd w:id="26"/>
    <w:bookmarkStart w:id="27"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left"/>
            </w:pPr>
            <m:oMath>
              <m:r>
                <m:t>α</m:t>
              </m:r>
            </m:oMath>
          </w:p>
        </w:tc>
        <w:tc>
          <w:tcPr>
            <w:tcW w:type="dxa" w:w="1358"/>
            <w:tcBorders>
              <w:top w:val="nil"/>
              <w:left w:val="nil"/>
              <w:bottom w:val="single" w:sz="6" w:space="0" w:color="000000"/>
              <w:right w:val="nil"/>
            </w:tcBorders>
          </w:tcPr>
          <w:p>
            <w:pPr>
              <w:pStyle w:val="Compact"/>
              <w:jc w:val="lef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766"/>
            <w:tcBorders>
              <w:top w:val="nil"/>
              <w:left w:val="nil"/>
              <w:bottom w:val="single" w:sz="6" w:space="0" w:color="000000"/>
              <w:right w:val="nil"/>
            </w:tcBorders>
          </w:tcPr>
          <w:p>
            <w:pPr>
              <w:pStyle w:val="Compact"/>
              <w:jc w:val="lef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426"/>
            <w:tcBorders>
              <w:top w:val="nil"/>
              <w:left w:val="nil"/>
              <w:bottom w:val="single" w:sz="6" w:space="0" w:color="000000"/>
              <w:right w:val="nil"/>
            </w:tcBorders>
          </w:tcPr>
          <w:p>
            <w:pPr>
              <w:pStyle w:val="Compact"/>
              <w:jc w:val="left"/>
            </w:pPr>
            <m:oMath>
              <m:sSub>
                <m:e>
                  <m:r>
                    <m:t>C</m:t>
                  </m:r>
                </m:e>
                <m:sub>
                  <m:r>
                    <m:t>8</m:t>
                  </m:r>
                </m:sub>
              </m:sSub>
            </m:oMath>
            <w:r>
              <w:t xml:space="preserve"> </w:t>
            </w:r>
            <w:r>
              <w:t xml:space="preserve">(m²/kN)</w:t>
            </w:r>
          </w:p>
        </w:tc>
      </w:tr>
      <w:t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left"/>
            </w:pPr>
            <w:r>
              <w:t xml:space="preserve">0.64–0.80</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left"/>
            </w:pPr>
            <w:r>
              <w:t xml:space="preserve">0.54–0.98</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left"/>
            </w:pPr>
            <w:r>
              <w:t xml:space="preserve">0.51–1.15</w:t>
            </w:r>
          </w:p>
        </w:tc>
        <w:tc>
          <w:tcPr>
            <w:tcW w:type="dxa" w:w="1358"/>
          </w:tcPr>
          <w:p>
            <w:pPr>
              <w:pStyle w:val="Compact"/>
              <w:jc w:val="left"/>
            </w:pPr>
            <w:r>
              <w:t xml:space="preserve">0.14–0.42</w:t>
            </w:r>
          </w:p>
        </w:tc>
        <w:tc>
          <w:tcPr>
            <w:tcW w:type="dxa" w:w="1766"/>
          </w:tcPr>
          <w:p>
            <w:pPr>
              <w:pStyle w:val="Compact"/>
              <w:jc w:val="left"/>
            </w:pPr>
            <w:r>
              <w:t xml:space="preserve">0.12–0.82</w:t>
            </w:r>
          </w:p>
        </w:tc>
        <w:tc>
          <w:tcPr>
            <w:tcW w:type="dxa" w:w="1426"/>
          </w:tcPr>
          <w:p>
            <w:pPr>
              <w:pStyle w:val="Compact"/>
              <w:jc w:val="left"/>
            </w:pPr>
            <w:r>
              <w:t xml:space="preserve">3.0 × 10⁻⁵–2.0 × 10⁻⁴</w:t>
            </w:r>
          </w:p>
        </w:tc>
      </w:tr>
      <w:t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left"/>
            </w:pPr>
            <w:r>
              <w:t xml:space="preserve">–</w:t>
            </w:r>
          </w:p>
        </w:tc>
        <w:tc>
          <w:tcPr>
            <w:tcW w:type="dxa" w:w="1358"/>
          </w:tcPr>
          <w:p>
            <w:pPr>
              <w:pStyle w:val="Compact"/>
              <w:jc w:val="left"/>
            </w:pPr>
            <w:r>
              <w:t xml:space="preserve">0.14–0.27</w:t>
            </w:r>
          </w:p>
        </w:tc>
        <w:tc>
          <w:tcPr>
            <w:tcW w:type="dxa" w:w="1766"/>
          </w:tcPr>
          <w:p>
            <w:pPr>
              <w:pStyle w:val="Compact"/>
              <w:jc w:val="left"/>
            </w:pPr>
            <w:r>
              <w:t xml:space="preserve">0.12–0.30</w:t>
            </w:r>
          </w:p>
        </w:tc>
        <w:tc>
          <w:tcPr>
            <w:tcW w:type="dxa" w:w="1426"/>
          </w:tcPr>
          <w:p>
            <w:pPr>
              <w:pStyle w:val="Compact"/>
              <w:jc w:val="left"/>
            </w:pPr>
            <w:r>
              <w:t xml:space="preserve">–</w:t>
            </w:r>
          </w:p>
        </w:tc>
      </w:tr>
    </w:tbl>
    <w:p>
      <w:pPr>
        <w:pStyle w:val="BodyT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left"/>
            </w:pPr>
            <w:r>
              <w:t xml:space="preserve">Central</w:t>
            </w:r>
          </w:p>
        </w:tc>
        <w:tc>
          <w:tcPr>
            <w:tcW w:type="dxa" w:w="2039"/>
            <w:tcBorders>
              <w:top w:val="nil"/>
              <w:left w:val="nil"/>
              <w:bottom w:val="single" w:sz="6" w:space="0" w:color="000000"/>
              <w:right w:val="nil"/>
            </w:tcBorders>
          </w:tcPr>
          <w:p>
            <w:pPr>
              <w:pStyle w:val="Compact"/>
              <w:jc w:val="left"/>
            </w:pPr>
            <w:r>
              <w:t xml:space="preserve">Eccentric</w:t>
            </w:r>
          </w:p>
        </w:tc>
      </w:tr>
      <w:t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left"/>
            </w:pPr>
            <w:r>
              <w:t xml:space="preserve">5.32</w:t>
            </w:r>
          </w:p>
        </w:tc>
        <w:tc>
          <w:tcPr>
            <w:tcW w:type="dxa" w:w="2039"/>
          </w:tcPr>
          <w:p>
            <w:pPr>
              <w:pStyle w:val="Compact"/>
              <w:jc w:val="left"/>
            </w:pPr>
            <w:r>
              <w:t xml:space="preserve">5.91</w:t>
            </w:r>
          </w:p>
        </w:tc>
      </w:tr>
      <w:tr>
        <w:tc>
          <w:tcPr>
            <w:tcW w:type="dxa" w:w="3146"/>
          </w:tcPr>
          <w:p>
            <w:pPr>
              <w:pStyle w:val="Compact"/>
              <w:jc w:val="left"/>
            </w:pPr>
            <w:r>
              <w:t xml:space="preserve">N8, side span, 0.4L from T8</w:t>
            </w:r>
          </w:p>
        </w:tc>
        <w:tc>
          <w:tcPr>
            <w:tcW w:type="dxa" w:w="2233"/>
          </w:tcPr>
          <w:p>
            <w:pPr>
              <w:pStyle w:val="Compact"/>
              <w:jc w:val="left"/>
            </w:pPr>
            <w:r>
              <w:t xml:space="preserve">centreline</w:t>
            </w:r>
          </w:p>
        </w:tc>
        <w:tc>
          <w:tcPr>
            <w:tcW w:type="dxa" w:w="1650"/>
          </w:tcPr>
          <w:p>
            <w:pPr>
              <w:pStyle w:val="Compact"/>
              <w:jc w:val="left"/>
            </w:pPr>
            <w:r>
              <w:t xml:space="preserve">5.56</w:t>
            </w:r>
          </w:p>
        </w:tc>
        <w:tc>
          <w:tcPr>
            <w:tcW w:type="dxa" w:w="2039"/>
          </w:tcPr>
          <w:p>
            <w:pPr>
              <w:pStyle w:val="Compact"/>
              <w:jc w:val="left"/>
            </w:pPr>
            <w:r>
              <w:t xml:space="preserve">5.55</w:t>
            </w:r>
          </w:p>
        </w:tc>
      </w:tr>
      <w:t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left"/>
            </w:pPr>
            <w:r>
              <w:t xml:space="preserve">5.76</w:t>
            </w:r>
          </w:p>
        </w:tc>
        <w:tc>
          <w:tcPr>
            <w:tcW w:type="dxa" w:w="2039"/>
          </w:tcPr>
          <w:p>
            <w:pPr>
              <w:pStyle w:val="Compact"/>
              <w:jc w:val="left"/>
            </w:pPr>
            <w:r>
              <w:t xml:space="preserve">5.22</w:t>
            </w:r>
          </w:p>
        </w:tc>
      </w:tr>
      <w:t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left"/>
            </w:pPr>
            <w:r>
              <w:t xml:space="preserve">14.68</w:t>
            </w:r>
          </w:p>
        </w:tc>
        <w:tc>
          <w:tcPr>
            <w:tcW w:type="dxa" w:w="2039"/>
          </w:tcPr>
          <w:p>
            <w:pPr>
              <w:pStyle w:val="Compact"/>
              <w:jc w:val="left"/>
            </w:pPr>
            <w:r>
              <w:t xml:space="preserve">14.62</w:t>
            </w:r>
          </w:p>
        </w:tc>
      </w:tr>
      <w:tr>
        <w:tc>
          <w:tcPr>
            <w:tcW w:type="dxa" w:w="3146"/>
          </w:tcPr>
          <w:p>
            <w:pPr>
              <w:pStyle w:val="Compact"/>
              <w:jc w:val="left"/>
            </w:pPr>
            <w:r>
              <w:t xml:space="preserve">N7, mid main span</w:t>
            </w:r>
          </w:p>
        </w:tc>
        <w:tc>
          <w:tcPr>
            <w:tcW w:type="dxa" w:w="2233"/>
          </w:tcPr>
          <w:p>
            <w:pPr>
              <w:pStyle w:val="Compact"/>
              <w:jc w:val="left"/>
            </w:pPr>
            <w:r>
              <w:t xml:space="preserve">centreline</w:t>
            </w:r>
          </w:p>
        </w:tc>
        <w:tc>
          <w:tcPr>
            <w:tcW w:type="dxa" w:w="1650"/>
          </w:tcPr>
          <w:p>
            <w:pPr>
              <w:pStyle w:val="Compact"/>
              <w:jc w:val="left"/>
            </w:pPr>
            <w:r>
              <w:t xml:space="preserve">15.24</w:t>
            </w:r>
          </w:p>
        </w:tc>
        <w:tc>
          <w:tcPr>
            <w:tcW w:type="dxa" w:w="2039"/>
          </w:tcPr>
          <w:p>
            <w:pPr>
              <w:pStyle w:val="Compact"/>
              <w:jc w:val="left"/>
            </w:pPr>
            <w:r>
              <w:t xml:space="preserve">15.51</w:t>
            </w:r>
          </w:p>
        </w:tc>
      </w:tr>
      <w:t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left"/>
            </w:pPr>
            <w:r>
              <w:t xml:space="preserve">15.83</w:t>
            </w:r>
          </w:p>
        </w:tc>
        <w:tc>
          <w:tcPr>
            <w:tcW w:type="dxa" w:w="2039"/>
          </w:tcPr>
          <w:p>
            <w:pPr>
              <w:pStyle w:val="Compact"/>
              <w:jc w:val="left"/>
            </w:pPr>
            <w:r>
              <w:t xml:space="preserve">16.67</w:t>
            </w:r>
          </w:p>
        </w:tc>
      </w:tr>
    </w:tbl>
    <w:p>
      <w:pPr>
        <w:pStyle w:val="BodyT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rPr>
        <w:tc>
          <w:tcPr>
            <w:tcW w:type="dxa" w:w="1218"/>
            <w:tcBorders>
              <w:top w:val="nil"/>
              <w:left w:val="nil"/>
              <w:bottom w:val="single" w:sz="6" w:space="0" w:color="000000"/>
              <w:right w:val="nil"/>
            </w:tcBorders>
          </w:tcPr>
          <w:p>
            <w:pPr>
              <w:pStyle w:val="Compact"/>
              <w:jc w:val="left"/>
            </w:pPr>
            <w:r>
              <w:t xml:space="preserve">Truck</w:t>
            </w:r>
          </w:p>
        </w:tc>
        <w:tc>
          <w:tcPr>
            <w:tcW w:type="dxa" w:w="1799"/>
            <w:tcBorders>
              <w:top w:val="nil"/>
              <w:left w:val="nil"/>
              <w:bottom w:val="single" w:sz="6" w:space="0" w:color="000000"/>
              <w:right w:val="nil"/>
            </w:tcBorders>
          </w:tcPr>
          <w:p>
            <w:pPr>
              <w:pStyle w:val="Compact"/>
              <w:jc w:val="left"/>
            </w:pPr>
            <w:r>
              <w:t xml:space="preserve">Gross weight (t)</w:t>
            </w:r>
          </w:p>
        </w:tc>
        <w:tc>
          <w:tcPr>
            <w:tcW w:type="dxa" w:w="2473"/>
            <w:tcBorders>
              <w:top w:val="nil"/>
              <w:left w:val="nil"/>
              <w:bottom w:val="single" w:sz="6" w:space="0" w:color="000000"/>
              <w:right w:val="nil"/>
            </w:tcBorders>
          </w:tcPr>
          <w:p>
            <w:pPr>
              <w:pStyle w:val="Compact"/>
              <w:jc w:val="left"/>
            </w:pPr>
            <w:r>
              <w:t xml:space="preserve">Front axle spacing (m)</w:t>
            </w:r>
          </w:p>
        </w:tc>
        <w:tc>
          <w:tcPr>
            <w:tcW w:type="dxa" w:w="2361"/>
            <w:tcBorders>
              <w:top w:val="nil"/>
              <w:left w:val="nil"/>
              <w:bottom w:val="single" w:sz="6" w:space="0" w:color="000000"/>
              <w:right w:val="nil"/>
            </w:tcBorders>
          </w:tcPr>
          <w:p>
            <w:pPr>
              <w:pStyle w:val="Compact"/>
              <w:jc w:val="left"/>
            </w:pPr>
            <w:r>
              <w:t xml:space="preserve">Rear axle spacing (m)</w:t>
            </w:r>
          </w:p>
        </w:tc>
        <w:tc>
          <w:tcPr>
            <w:tcW w:type="dxa" w:w="1218"/>
            <w:tcBorders>
              <w:top w:val="nil"/>
              <w:left w:val="nil"/>
              <w:bottom w:val="single" w:sz="6" w:space="0" w:color="000000"/>
              <w:right w:val="nil"/>
            </w:tcBorders>
          </w:tcPr>
          <w:p>
            <w:pPr>
              <w:pStyle w:val="Compact"/>
              <w:jc w:val="left"/>
            </w:pPr>
            <w:r>
              <w:t xml:space="preserve">Track (m)</w:t>
            </w:r>
          </w:p>
        </w:tc>
      </w:tr>
      <w:tr>
        <w:tc>
          <w:tcPr>
            <w:tcW w:type="dxa" w:w="1218"/>
          </w:tcPr>
          <w:p>
            <w:pPr>
              <w:pStyle w:val="Compact"/>
              <w:jc w:val="left"/>
            </w:pPr>
            <w:r>
              <w:t xml:space="preserve">1</w:t>
            </w:r>
          </w:p>
        </w:tc>
        <w:tc>
          <w:tcPr>
            <w:tcW w:type="dxa" w:w="1799"/>
          </w:tcPr>
          <w:p>
            <w:pPr>
              <w:pStyle w:val="Compact"/>
              <w:jc w:val="left"/>
            </w:pPr>
            <w:r>
              <w:t xml:space="preserve">24.7</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1.9</w:t>
            </w:r>
          </w:p>
        </w:tc>
      </w:tr>
      <w:tr>
        <w:tc>
          <w:tcPr>
            <w:tcW w:type="dxa" w:w="1218"/>
          </w:tcPr>
          <w:p>
            <w:pPr>
              <w:pStyle w:val="Compact"/>
              <w:jc w:val="left"/>
            </w:pPr>
            <w:r>
              <w:t xml:space="preserve">2</w:t>
            </w:r>
          </w:p>
        </w:tc>
        <w:tc>
          <w:tcPr>
            <w:tcW w:type="dxa" w:w="1799"/>
          </w:tcPr>
          <w:p>
            <w:pPr>
              <w:pStyle w:val="Compact"/>
              <w:jc w:val="left"/>
            </w:pPr>
            <w:r>
              <w:t xml:space="preserve">25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3</w:t>
            </w:r>
          </w:p>
        </w:tc>
        <w:tc>
          <w:tcPr>
            <w:tcW w:type="dxa" w:w="1799"/>
          </w:tcPr>
          <w:p>
            <w:pPr>
              <w:pStyle w:val="Compact"/>
              <w:jc w:val="left"/>
            </w:pPr>
            <w:r>
              <w:t xml:space="preserve">25.66</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4</w:t>
            </w:r>
          </w:p>
        </w:tc>
        <w:tc>
          <w:tcPr>
            <w:tcW w:type="dxa" w:w="1799"/>
          </w:tcPr>
          <w:p>
            <w:pPr>
              <w:pStyle w:val="Compact"/>
              <w:jc w:val="left"/>
            </w:pPr>
            <w:r>
              <w:t xml:space="preserve">25.06</w:t>
            </w:r>
          </w:p>
        </w:tc>
        <w:tc>
          <w:tcPr>
            <w:tcW w:type="dxa" w:w="2473"/>
          </w:tcPr>
          <w:p>
            <w:pPr>
              <w:pStyle w:val="Compact"/>
              <w:jc w:val="left"/>
            </w:pPr>
            <w:r>
              <w:t xml:space="preserve">3.85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5</w:t>
            </w:r>
          </w:p>
        </w:tc>
        <w:tc>
          <w:tcPr>
            <w:tcW w:type="dxa" w:w="1799"/>
          </w:tcPr>
          <w:p>
            <w:pPr>
              <w:pStyle w:val="Compact"/>
              <w:jc w:val="left"/>
            </w:pPr>
            <w:r>
              <w:t xml:space="preserve">25.05</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6</w:t>
            </w:r>
          </w:p>
        </w:tc>
        <w:tc>
          <w:tcPr>
            <w:tcW w:type="dxa" w:w="1799"/>
          </w:tcPr>
          <w:p>
            <w:pPr>
              <w:pStyle w:val="Compact"/>
              <w:jc w:val="left"/>
            </w:pPr>
            <w:r>
              <w:t xml:space="preserve">25.3</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7</w:t>
            </w:r>
          </w:p>
        </w:tc>
        <w:tc>
          <w:tcPr>
            <w:tcW w:type="dxa" w:w="1799"/>
          </w:tcPr>
          <w:p>
            <w:pPr>
              <w:pStyle w:val="Compact"/>
              <w:jc w:val="left"/>
            </w:pPr>
            <w:r>
              <w:t xml:space="preserve">25.1</w:t>
            </w:r>
          </w:p>
        </w:tc>
        <w:tc>
          <w:tcPr>
            <w:tcW w:type="dxa" w:w="2473"/>
          </w:tcPr>
          <w:p>
            <w:pPr>
              <w:pStyle w:val="Compact"/>
              <w:jc w:val="left"/>
            </w:pPr>
            <w:r>
              <w:t xml:space="preserve">3.7</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8</w:t>
            </w:r>
          </w:p>
        </w:tc>
        <w:tc>
          <w:tcPr>
            <w:tcW w:type="dxa" w:w="1799"/>
          </w:tcPr>
          <w:p>
            <w:pPr>
              <w:pStyle w:val="Compact"/>
              <w:jc w:val="left"/>
            </w:pPr>
            <w:r>
              <w:t xml:space="preserve">25.5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9</w:t>
            </w:r>
          </w:p>
        </w:tc>
        <w:tc>
          <w:tcPr>
            <w:tcW w:type="dxa" w:w="1799"/>
          </w:tcPr>
          <w:p>
            <w:pPr>
              <w:pStyle w:val="Compact"/>
              <w:jc w:val="left"/>
            </w:pPr>
            <w:r>
              <w:t xml:space="preserve">24.6</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10</w:t>
            </w:r>
          </w:p>
        </w:tc>
        <w:tc>
          <w:tcPr>
            <w:tcW w:type="dxa" w:w="1799"/>
          </w:tcPr>
          <w:p>
            <w:pPr>
              <w:pStyle w:val="Compact"/>
              <w:jc w:val="left"/>
            </w:pPr>
            <w:r>
              <w:t xml:space="preserve">24.6</w:t>
            </w:r>
          </w:p>
        </w:tc>
        <w:tc>
          <w:tcPr>
            <w:tcW w:type="dxa" w:w="2473"/>
          </w:tcPr>
          <w:p>
            <w:pPr>
              <w:pStyle w:val="Compact"/>
              <w:jc w:val="left"/>
            </w:pPr>
            <w:r>
              <w:t xml:space="preserve">3.6</w:t>
            </w:r>
          </w:p>
        </w:tc>
        <w:tc>
          <w:tcPr>
            <w:tcW w:type="dxa" w:w="2361"/>
          </w:tcPr>
          <w:p>
            <w:pPr>
              <w:pStyle w:val="Compact"/>
              <w:jc w:val="left"/>
            </w:pPr>
            <w:r>
              <w:t xml:space="preserve">1.45</w:t>
            </w:r>
          </w:p>
        </w:tc>
        <w:tc>
          <w:tcPr>
            <w:tcW w:type="dxa" w:w="1218"/>
          </w:tcPr>
          <w:p>
            <w:pPr>
              <w:pStyle w:val="Compact"/>
              <w:jc w:val="left"/>
            </w:pPr>
            <w:r>
              <w:t xml:space="preserve">1.85</w:t>
            </w:r>
          </w:p>
        </w:tc>
      </w:tr>
    </w:tbl>
    <w:p>
      <w:pPr>
        <w:pStyle w:val="BodyT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5133"/>
        <w:gridCol w:w="3936"/>
      </w:tblGrid>
      <w:tr>
        <w:trPr>
          <w:tblHeader w:val="true"/>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left"/>
            </w:pPr>
            <w:r>
              <w:t xml:space="preserve">Vertical frequency (Hz)</w:t>
            </w:r>
          </w:p>
        </w:tc>
      </w:tr>
      <w:tr>
        <w:tc>
          <w:tcPr>
            <w:tcW w:type="dxa" w:w="5133"/>
          </w:tcPr>
          <w:p>
            <w:pPr>
              <w:pStyle w:val="Compact"/>
              <w:jc w:val="left"/>
            </w:pPr>
            <w:r>
              <w:t xml:space="preserve">Side span T5–T6 (55 m; T6 is the other inner pier)</w:t>
            </w:r>
          </w:p>
        </w:tc>
        <w:tc>
          <w:tcPr>
            <w:tcW w:type="dxa" w:w="3936"/>
          </w:tcPr>
          <w:p>
            <w:pPr>
              <w:pStyle w:val="Compact"/>
              <w:jc w:val="left"/>
            </w:pPr>
            <w:r>
              <w:t xml:space="preserve">3.43</w:t>
            </w:r>
          </w:p>
        </w:tc>
      </w:tr>
      <w:tr>
        <w:tc>
          <w:tcPr>
            <w:tcW w:type="dxa" w:w="5133"/>
          </w:tcPr>
          <w:p>
            <w:pPr>
              <w:pStyle w:val="Compact"/>
              <w:jc w:val="left"/>
            </w:pPr>
            <w:r>
              <w:t xml:space="preserve">Main span T6–T7 (90 m)</w:t>
            </w:r>
          </w:p>
        </w:tc>
        <w:tc>
          <w:tcPr>
            <w:tcW w:type="dxa" w:w="3936"/>
          </w:tcPr>
          <w:p>
            <w:pPr>
              <w:pStyle w:val="Compact"/>
              <w:jc w:val="left"/>
            </w:pPr>
            <w:r>
              <w:t xml:space="preserve">3.64</w:t>
            </w:r>
          </w:p>
        </w:tc>
      </w:tr>
      <w:tr>
        <w:tc>
          <w:tcPr>
            <w:tcW w:type="dxa" w:w="5133"/>
          </w:tcPr>
          <w:p>
            <w:pPr>
              <w:pStyle w:val="Compact"/>
              <w:jc w:val="left"/>
            </w:pPr>
            <w:r>
              <w:t xml:space="preserve">Side span T7–T8 (55 m)</w:t>
            </w:r>
          </w:p>
        </w:tc>
        <w:tc>
          <w:tcPr>
            <w:tcW w:type="dxa" w:w="3936"/>
          </w:tcPr>
          <w:p>
            <w:pPr>
              <w:pStyle w:val="Compact"/>
              <w:jc w:val="left"/>
            </w:pPr>
            <w:r>
              <w:t xml:space="preserve">3.63</w:t>
            </w:r>
          </w:p>
        </w:tc>
      </w:tr>
    </w:tbl>
    <w:p>
      <w:pPr>
        <w:pStyle w:val="BodyT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lef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lef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lef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left"/>
            </w:pPr>
            <m:oMath>
              <m:r>
                <m:t>R</m:t>
              </m:r>
            </m:oMath>
            <w:r>
              <w:t xml:space="preserve">, N8 at 0.4L</w:t>
            </w:r>
          </w:p>
        </w:tc>
        <w:tc>
          <w:tcPr>
            <w:tcW w:type="dxa" w:w="1272"/>
            <w:tcBorders>
              <w:top w:val="nil"/>
              <w:left w:val="nil"/>
              <w:bottom w:val="single" w:sz="6" w:space="0" w:color="000000"/>
              <w:right w:val="nil"/>
            </w:tcBorders>
          </w:tcPr>
          <w:p>
            <w:pPr>
              <w:pStyle w:val="Compact"/>
              <w:jc w:val="left"/>
            </w:pPr>
            <m:oMath>
              <m:r>
                <m:t>R</m:t>
              </m:r>
            </m:oMath>
            <w:r>
              <w:t xml:space="preserve">, N8 at mid side span</w:t>
            </w:r>
          </w:p>
        </w:tc>
        <w:tc>
          <w:tcPr>
            <w:tcW w:type="dxa" w:w="1012"/>
            <w:tcBorders>
              <w:top w:val="nil"/>
              <w:left w:val="nil"/>
              <w:bottom w:val="single" w:sz="6" w:space="0" w:color="000000"/>
              <w:right w:val="nil"/>
            </w:tcBorders>
          </w:tcPr>
          <w:p>
            <w:pPr>
              <w:pStyle w:val="Compact"/>
              <w:jc w:val="left"/>
            </w:pPr>
            <m:oMath>
              <m:r>
                <m:t>R</m:t>
              </m:r>
            </m:oMath>
            <w:r>
              <w:t xml:space="preserve">, N7</w:t>
            </w:r>
          </w:p>
        </w:tc>
      </w:tr>
      <w:tr>
        <w:tc>
          <w:tcPr>
            <w:tcW w:type="dxa" w:w="1734"/>
          </w:tcPr>
          <w:p>
            <w:pPr>
              <w:pStyle w:val="Compact"/>
              <w:jc w:val="left"/>
            </w:pPr>
            <w:r>
              <w:t xml:space="preserve">Prismatic beam, pinned piers</w:t>
            </w:r>
          </w:p>
        </w:tc>
        <w:tc>
          <w:tcPr>
            <w:tcW w:type="dxa" w:w="1503"/>
          </w:tcPr>
          <w:p>
            <w:pPr>
              <w:pStyle w:val="Compact"/>
              <w:jc w:val="left"/>
            </w:pPr>
            <w:r>
              <w:t xml:space="preserve">0.287</w:t>
            </w:r>
          </w:p>
        </w:tc>
        <w:tc>
          <w:tcPr>
            <w:tcW w:type="dxa" w:w="1330"/>
          </w:tcPr>
          <w:p>
            <w:pPr>
              <w:pStyle w:val="Compact"/>
              <w:jc w:val="left"/>
            </w:pPr>
            <w:r>
              <w:t xml:space="preserve">0.163</w:t>
            </w:r>
          </w:p>
        </w:tc>
        <w:tc>
          <w:tcPr>
            <w:tcW w:type="dxa" w:w="1204"/>
          </w:tcPr>
          <w:p>
            <w:pPr>
              <w:pStyle w:val="Compact"/>
              <w:jc w:val="left"/>
            </w:pPr>
            <w:r>
              <w:t xml:space="preserve">0.755</w:t>
            </w:r>
          </w:p>
        </w:tc>
        <w:tc>
          <w:tcPr>
            <w:tcW w:type="dxa" w:w="1012"/>
          </w:tcPr>
          <w:p>
            <w:pPr>
              <w:pStyle w:val="Compact"/>
              <w:jc w:val="left"/>
            </w:pPr>
            <w:r>
              <w:t xml:space="preserve">0.14</w:t>
            </w:r>
          </w:p>
        </w:tc>
        <w:tc>
          <w:tcPr>
            <w:tcW w:type="dxa" w:w="1272"/>
          </w:tcPr>
          <w:p>
            <w:pPr>
              <w:pStyle w:val="Compact"/>
              <w:jc w:val="left"/>
            </w:pPr>
            <w:r>
              <w:t xml:space="preserve">0.08</w:t>
            </w:r>
          </w:p>
        </w:tc>
        <w:tc>
          <w:tcPr>
            <w:tcW w:type="dxa" w:w="1012"/>
          </w:tcPr>
          <w:p>
            <w:pPr>
              <w:pStyle w:val="Compact"/>
              <w:jc w:val="left"/>
            </w:pPr>
            <w:r>
              <w:t xml:space="preserve">0.70</w:t>
            </w:r>
          </w:p>
        </w:tc>
      </w:tr>
      <w:tr>
        <w:tc>
          <w:tcPr>
            <w:tcW w:type="dxa" w:w="1734"/>
          </w:tcPr>
          <w:p>
            <w:pPr>
              <w:pStyle w:val="Compact"/>
              <w:jc w:val="left"/>
            </w:pPr>
            <w:r>
              <w:t xml:space="preserve">Haunched, calibration A</w:t>
            </w:r>
          </w:p>
        </w:tc>
        <w:tc>
          <w:tcPr>
            <w:tcW w:type="dxa" w:w="1503"/>
          </w:tcPr>
          <w:p>
            <w:pPr>
              <w:pStyle w:val="Compact"/>
              <w:jc w:val="left"/>
            </w:pPr>
            <w:r>
              <w:t xml:space="preserve">0.181</w:t>
            </w:r>
          </w:p>
        </w:tc>
        <w:tc>
          <w:tcPr>
            <w:tcW w:type="dxa" w:w="1330"/>
          </w:tcPr>
          <w:p>
            <w:pPr>
              <w:pStyle w:val="Compact"/>
              <w:jc w:val="left"/>
            </w:pPr>
            <w:r>
              <w:t xml:space="preserve">0.105</w:t>
            </w:r>
          </w:p>
        </w:tc>
        <w:tc>
          <w:tcPr>
            <w:tcW w:type="dxa" w:w="1204"/>
          </w:tcPr>
          <w:p>
            <w:pPr>
              <w:pStyle w:val="Compact"/>
              <w:jc w:val="left"/>
            </w:pPr>
            <w:r>
              <w:t xml:space="preserve">0.209</w:t>
            </w:r>
          </w:p>
        </w:tc>
        <w:tc>
          <w:tcPr>
            <w:tcW w:type="dxa" w:w="1012"/>
          </w:tcPr>
          <w:p>
            <w:pPr>
              <w:pStyle w:val="Compact"/>
              <w:jc w:val="left"/>
            </w:pPr>
            <w:r>
              <w:t xml:space="preserve">0.18</w:t>
            </w:r>
          </w:p>
        </w:tc>
        <w:tc>
          <w:tcPr>
            <w:tcW w:type="dxa" w:w="1272"/>
          </w:tcPr>
          <w:p>
            <w:pPr>
              <w:pStyle w:val="Compact"/>
              <w:jc w:val="left"/>
            </w:pPr>
            <w:r>
              <w:t xml:space="preserve">0.11</w:t>
            </w:r>
          </w:p>
        </w:tc>
        <w:tc>
          <w:tcPr>
            <w:tcW w:type="dxa" w:w="1012"/>
          </w:tcPr>
          <w:p>
            <w:pPr>
              <w:pStyle w:val="Compact"/>
              <w:jc w:val="left"/>
            </w:pPr>
            <w:r>
              <w:t xml:space="preserve">0.59</w:t>
            </w:r>
          </w:p>
        </w:tc>
      </w:tr>
      <w:tr>
        <w:tc>
          <w:tcPr>
            <w:tcW w:type="dxa" w:w="1734"/>
          </w:tcPr>
          <w:p>
            <w:pPr>
              <w:pStyle w:val="Compact"/>
              <w:jc w:val="left"/>
            </w:pPr>
            <w:r>
              <w:t xml:space="preserve">Haunched, calibration B</w:t>
            </w:r>
          </w:p>
        </w:tc>
        <w:tc>
          <w:tcPr>
            <w:tcW w:type="dxa" w:w="1503"/>
          </w:tcPr>
          <w:p>
            <w:pPr>
              <w:pStyle w:val="Compact"/>
              <w:jc w:val="left"/>
            </w:pPr>
            <w:r>
              <w:t xml:space="preserve">0.476ᵃ</w:t>
            </w:r>
          </w:p>
        </w:tc>
        <w:tc>
          <w:tcPr>
            <w:tcW w:type="dxa" w:w="1330"/>
          </w:tcPr>
          <w:p>
            <w:pPr>
              <w:pStyle w:val="Compact"/>
              <w:jc w:val="left"/>
            </w:pPr>
            <w:r>
              <w:t xml:space="preserve">0.377</w:t>
            </w:r>
          </w:p>
        </w:tc>
        <w:tc>
          <w:tcPr>
            <w:tcW w:type="dxa" w:w="1204"/>
          </w:tcPr>
          <w:p>
            <w:pPr>
              <w:pStyle w:val="Compact"/>
              <w:jc w:val="left"/>
            </w:pPr>
            <w:r>
              <w:t xml:space="preserve">0.234</w:t>
            </w:r>
          </w:p>
        </w:tc>
        <w:tc>
          <w:tcPr>
            <w:tcW w:type="dxa" w:w="1012"/>
          </w:tcPr>
          <w:p>
            <w:pPr>
              <w:pStyle w:val="Compact"/>
              <w:jc w:val="left"/>
            </w:pPr>
            <w:r>
              <w:t xml:space="preserve">0.56</w:t>
            </w:r>
          </w:p>
        </w:tc>
        <w:tc>
          <w:tcPr>
            <w:tcW w:type="dxa" w:w="1272"/>
          </w:tcPr>
          <w:p>
            <w:pPr>
              <w:pStyle w:val="Compact"/>
              <w:jc w:val="left"/>
            </w:pPr>
            <w:r>
              <w:t xml:space="preserve">0.49</w:t>
            </w:r>
          </w:p>
        </w:tc>
        <w:tc>
          <w:tcPr>
            <w:tcW w:type="dxa" w:w="1012"/>
          </w:tcPr>
          <w:p>
            <w:pPr>
              <w:pStyle w:val="Compact"/>
              <w:jc w:val="left"/>
            </w:pPr>
            <w:r>
              <w:t xml:space="preserve">0.77</w:t>
            </w:r>
          </w:p>
        </w:tc>
      </w:tr>
      <w:t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left"/>
            </w:pPr>
            <w:r>
              <w:t xml:space="preserve">0.124–0.822ᵇ</w:t>
            </w:r>
          </w:p>
        </w:tc>
        <w:tc>
          <w:tcPr>
            <w:tcW w:type="dxa" w:w="1330"/>
          </w:tcPr>
          <w:p>
            <w:pPr>
              <w:pStyle w:val="Compact"/>
              <w:jc w:val="left"/>
            </w:pPr>
            <w:r>
              <w:t xml:space="preserve">–</w:t>
            </w:r>
          </w:p>
        </w:tc>
        <w:tc>
          <w:tcPr>
            <w:tcW w:type="dxa" w:w="1204"/>
          </w:tcPr>
          <w:p>
            <w:pPr>
              <w:pStyle w:val="Compact"/>
              <w:jc w:val="left"/>
            </w:pPr>
            <w:r>
              <w:t xml:space="preserve">0.190–0.286</w:t>
            </w:r>
          </w:p>
        </w:tc>
        <w:tc>
          <w:tcPr>
            <w:tcW w:type="dxa" w:w="1012"/>
          </w:tcPr>
          <w:p>
            <w:pPr>
              <w:pStyle w:val="Compact"/>
              <w:jc w:val="left"/>
            </w:pPr>
            <w:r>
              <w:t xml:space="preserve">0.13–1.00</w:t>
            </w:r>
          </w:p>
        </w:tc>
        <w:tc>
          <w:tcPr>
            <w:tcW w:type="dxa" w:w="1272"/>
          </w:tcPr>
          <w:p>
            <w:pPr>
              <w:pStyle w:val="Compact"/>
              <w:jc w:val="left"/>
            </w:pPr>
            <w:r>
              <w:t xml:space="preserve">–</w:t>
            </w:r>
          </w:p>
        </w:tc>
        <w:tc>
          <w:tcPr>
            <w:tcW w:type="dxa" w:w="1012"/>
          </w:tcPr>
          <w:p>
            <w:pPr>
              <w:pStyle w:val="Compact"/>
              <w:jc w:val="left"/>
            </w:pPr>
            <w:r>
              <w:t xml:space="preserve">0.56–1.00</w:t>
            </w:r>
          </w:p>
        </w:tc>
      </w:tr>
      <w:tr>
        <w:tc>
          <w:tcPr>
            <w:tcW w:type="dxa" w:w="1734"/>
          </w:tcPr>
          <w:p>
            <w:pPr>
              <w:pStyle w:val="Compact"/>
              <w:jc w:val="left"/>
            </w:pPr>
            <w:r>
              <w:t xml:space="preserve">Haunched, pinned piers</w:t>
            </w:r>
          </w:p>
        </w:tc>
        <w:tc>
          <w:tcPr>
            <w:tcW w:type="dxa" w:w="1503"/>
          </w:tcPr>
          <w:p>
            <w:pPr>
              <w:pStyle w:val="Compact"/>
              <w:jc w:val="left"/>
            </w:pPr>
            <w:r>
              <w:t xml:space="preserve">0.023</w:t>
            </w:r>
          </w:p>
        </w:tc>
        <w:tc>
          <w:tcPr>
            <w:tcW w:type="dxa" w:w="1330"/>
          </w:tcPr>
          <w:p>
            <w:pPr>
              <w:pStyle w:val="Compact"/>
              <w:jc w:val="left"/>
            </w:pPr>
            <w:r>
              <w:t xml:space="preserve">−0.066</w:t>
            </w:r>
          </w:p>
        </w:tc>
        <w:tc>
          <w:tcPr>
            <w:tcW w:type="dxa" w:w="1204"/>
          </w:tcPr>
          <w:p>
            <w:pPr>
              <w:pStyle w:val="Compact"/>
              <w:jc w:val="left"/>
            </w:pPr>
            <w:r>
              <w:t xml:space="preserve">0.263</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w:r>
              <w:t xml:space="preserve">Haunched, fixed piers</w:t>
            </w:r>
          </w:p>
        </w:tc>
        <w:tc>
          <w:tcPr>
            <w:tcW w:type="dxa" w:w="1503"/>
          </w:tcPr>
          <w:p>
            <w:pPr>
              <w:pStyle w:val="Compact"/>
              <w:jc w:val="left"/>
            </w:pPr>
            <w:r>
              <w:t xml:space="preserve">0.446</w:t>
            </w:r>
          </w:p>
        </w:tc>
        <w:tc>
          <w:tcPr>
            <w:tcW w:type="dxa" w:w="1330"/>
          </w:tcPr>
          <w:p>
            <w:pPr>
              <w:pStyle w:val="Compact"/>
              <w:jc w:val="left"/>
            </w:pPr>
            <w:r>
              <w:t xml:space="preserve">0.375</w:t>
            </w:r>
          </w:p>
        </w:tc>
        <w:tc>
          <w:tcPr>
            <w:tcW w:type="dxa" w:w="1204"/>
          </w:tcPr>
          <w:p>
            <w:pPr>
              <w:pStyle w:val="Compact"/>
              <w:jc w:val="left"/>
            </w:pPr>
            <w:r>
              <w:t xml:space="preserve">0.145</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left"/>
            </w:pPr>
            <w:r>
              <w:t xml:space="preserve">0.51</w:t>
            </w:r>
          </w:p>
        </w:tc>
        <w:tc>
          <w:tcPr>
            <w:tcW w:type="dxa" w:w="1330"/>
          </w:tcPr>
          <w:p>
            <w:pPr>
              <w:pStyle w:val="Compact"/>
              <w:jc w:val="left"/>
            </w:pPr>
            <w:r>
              <w:t xml:space="preserve">–</w:t>
            </w:r>
          </w:p>
        </w:tc>
        <w:tc>
          <w:tcPr>
            <w:tcW w:type="dxa" w:w="1204"/>
          </w:tcPr>
          <w:p>
            <w:pPr>
              <w:pStyle w:val="Compact"/>
              <w:jc w:val="left"/>
            </w:pPr>
            <w:r>
              <w:t xml:space="preserve">0.12</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27"/>
    <w:bookmarkStart w:id="28"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bookmarkEnd w:id="28"/>
    <w:bookmarkStart w:id="29"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29"/>
    <w:bookmarkStart w:id="30"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30"/>
    <w:bookmarkStart w:id="82" w:name="supplementary-figure-captions"/>
    <w:p>
      <w:pPr>
        <w:pStyle w:val="Heading2"/>
      </w:pPr>
      <w:r>
        <w:t xml:space="preserve">Supplementary figure captions</w:t>
      </w:r>
    </w:p>
    <w:p>
      <w:pPr>
        <w:pStyle w:val="FirstParagraph"/>
      </w:pPr>
      <w:r>
        <w:drawing>
          <wp:inline>
            <wp:extent cx="5579999" cy="2243094"/>
            <wp:effectExtent b="0" l="0" r="0" t="0"/>
            <wp:docPr descr="" title="" id="32" name="Picture"/>
            <a:graphic>
              <a:graphicData uri="http://schemas.openxmlformats.org/drawingml/2006/picture">
                <pic:pic>
                  <pic:nvPicPr>
                    <pic:cNvPr descr="/home/user/SHM-Paper1-1D/manuscript/ase/figures/supplementary/FigS1_strain_map_2span.png" id="33" name="Picture"/>
                    <pic:cNvPicPr>
                      <a:picLocks noChangeArrowheads="1" noChangeAspect="1"/>
                    </pic:cNvPicPr>
                  </pic:nvPicPr>
                  <pic:blipFill>
                    <a:blip r:embed="rId31"/>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35" name="Picture"/>
            <a:graphic>
              <a:graphicData uri="http://schemas.openxmlformats.org/drawingml/2006/picture">
                <pic:pic>
                  <pic:nvPicPr>
                    <pic:cNvPr descr="/home/user/SHM-Paper1-1D/manuscript/ase/figures/supplementary/FigS2_strain_map_3span.png" id="36" name="Picture"/>
                    <pic:cNvPicPr>
                      <a:picLocks noChangeArrowheads="1" noChangeAspect="1"/>
                    </pic:cNvPicPr>
                  </pic:nvPicPr>
                  <pic:blipFill>
                    <a:blip r:embed="rId34"/>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1935169"/>
            <wp:effectExtent b="0" l="0" r="0" t="0"/>
            <wp:docPr descr="" title="" id="38" name="Picture"/>
            <a:graphic>
              <a:graphicData uri="http://schemas.openxmlformats.org/drawingml/2006/picture">
                <pic:pic>
                  <pic:nvPicPr>
                    <pic:cNvPr descr="/home/user/SHM-Paper1-1D/manuscript/ase/figures/supplementary/FigS3_structure_aware_weights.png" id="39" name="Picture"/>
                    <pic:cNvPicPr>
                      <a:picLocks noChangeArrowheads="1" noChangeAspect="1"/>
                    </pic:cNvPicPr>
                  </pic:nvPicPr>
                  <pic:blipFill>
                    <a:blip r:embed="rId37"/>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556201"/>
            <wp:effectExtent b="0" l="0" r="0" t="0"/>
            <wp:docPr descr="" title="" id="41" name="Picture"/>
            <a:graphic>
              <a:graphicData uri="http://schemas.openxmlformats.org/drawingml/2006/picture">
                <pic:pic>
                  <pic:nvPicPr>
                    <pic:cNvPr descr="/home/user/SHM-Paper1-1D/manuscript/ase/figures/supplementary/FigS4_multichannel_gain.png" id="42" name="Picture"/>
                    <pic:cNvPicPr>
                      <a:picLocks noChangeArrowheads="1" noChangeAspect="1"/>
                    </pic:cNvPicPr>
                  </pic:nvPicPr>
                  <pic:blipFill>
                    <a:blip r:embed="rId40"/>
                    <a:stretch>
                      <a:fillRect/>
                    </a:stretch>
                  </pic:blipFill>
                  <pic:spPr bwMode="auto">
                    <a:xfrm>
                      <a:off x="0" y="0"/>
                      <a:ext cx="5579999" cy="2556201"/>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579999" cy="3028341"/>
            <wp:effectExtent b="0" l="0" r="0" t="0"/>
            <wp:docPr descr="" title="" id="44" name="Picture"/>
            <a:graphic>
              <a:graphicData uri="http://schemas.openxmlformats.org/drawingml/2006/picture">
                <pic:pic>
                  <pic:nvPicPr>
                    <pic:cNvPr descr="/home/user/SHM-Paper1-1D/manuscript/ase/figures/supplementary/FigS5_Cx_extremes.png" id="45" name="Picture"/>
                    <pic:cNvPicPr>
                      <a:picLocks noChangeArrowheads="1" noChangeAspect="1"/>
                    </pic:cNvPicPr>
                  </pic:nvPicPr>
                  <pic:blipFill>
                    <a:blip r:embed="rId43"/>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47" name="Picture"/>
            <a:graphic>
              <a:graphicData uri="http://schemas.openxmlformats.org/drawingml/2006/picture">
                <pic:pic>
                  <pic:nvPicPr>
                    <pic:cNvPr descr="/home/user/SHM-Paper1-1D/manuscript/ase/figures/supplementary/FigS6_multichannel_montecarlo.png" id="48" name="Picture"/>
                    <pic:cNvPicPr>
                      <a:picLocks noChangeArrowheads="1" noChangeAspect="1"/>
                    </pic:cNvPicPr>
                  </pic:nvPicPr>
                  <pic:blipFill>
                    <a:blip r:embed="rId46"/>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2247499"/>
            <wp:effectExtent b="0" l="0" r="0" t="0"/>
            <wp:docPr descr="" title="" id="50" name="Picture"/>
            <a:graphic>
              <a:graphicData uri="http://schemas.openxmlformats.org/drawingml/2006/picture">
                <pic:pic>
                  <pic:nvPicPr>
                    <pic:cNvPr descr="/home/user/SHM-Paper1-1D/manuscript/ase/figures/supplementary/FigS7_mobius_closedform.png" id="51" name="Picture"/>
                    <pic:cNvPicPr>
                      <a:picLocks noChangeArrowheads="1" noChangeAspect="1"/>
                    </pic:cNvPicPr>
                  </pic:nvPicPr>
                  <pic:blipFill>
                    <a:blip r:embed="rId49"/>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789999"/>
            <wp:effectExtent b="0" l="0" r="0" t="0"/>
            <wp:docPr descr="" title="" id="53" name="Picture"/>
            <a:graphic>
              <a:graphicData uri="http://schemas.openxmlformats.org/drawingml/2006/picture">
                <pic:pic>
                  <pic:nvPicPr>
                    <pic:cNvPr descr="/home/user/SHM-Paper1-1D/manuscript/ase/figures/supplementary/FigS8_lab_influence_line.png" id="54" name="Picture"/>
                    <pic:cNvPicPr>
                      <a:picLocks noChangeArrowheads="1" noChangeAspect="1"/>
                    </pic:cNvPicPr>
                  </pic:nvPicPr>
                  <pic:blipFill>
                    <a:blip r:embed="rId52"/>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Laboratory two-span beam: measured and analytical influence line of the mid-span deflection of the first span for the single 40.64 N load (Table S4).</w:t>
      </w:r>
    </w:p>
    <w:p>
      <w:pPr>
        <w:pStyle w:val="BodyText"/>
      </w:pPr>
      <w:r>
        <w:drawing>
          <wp:inline>
            <wp:extent cx="5579999" cy="2557499"/>
            <wp:effectExtent b="0" l="0" r="0" t="0"/>
            <wp:docPr descr="" title="" id="56" name="Picture"/>
            <a:graphic>
              <a:graphicData uri="http://schemas.openxmlformats.org/drawingml/2006/picture">
                <pic:pic>
                  <pic:nvPicPr>
                    <pic:cNvPr descr="/home/user/SHM-Paper1-1D/manuscript/ase/figures/supplementary/FigS9_norbwim_noise_correlation.png" id="57" name="Picture"/>
                    <pic:cNvPicPr>
                      <a:picLocks noChangeArrowheads="1" noChangeAspect="1"/>
                    </pic:cNvPicPr>
                  </pic:nvPicPr>
                  <pic:blipFill>
                    <a:blip r:embed="rId55"/>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479999"/>
            <wp:effectExtent b="0" l="0" r="0" t="0"/>
            <wp:docPr descr="" title="" id="59" name="Picture"/>
            <a:graphic>
              <a:graphicData uri="http://schemas.openxmlformats.org/drawingml/2006/picture">
                <pic:pic>
                  <pic:nvPicPr>
                    <pic:cNvPr descr="/home/user/SHM-Paper1-1D/manuscript/ase/figures/supplementary/FigS10_norbwim_estimators.png" id="60" name="Picture"/>
                    <pic:cNvPicPr>
                      <a:picLocks noChangeArrowheads="1" noChangeAspect="1"/>
                    </pic:cNvPicPr>
                  </pic:nvPicPr>
                  <pic:blipFill>
                    <a:blip r:embed="rId58"/>
                    <a:stretch>
                      <a:fillRect/>
                    </a:stretch>
                  </pic:blipFill>
                  <pic:spPr bwMode="auto">
                    <a:xfrm>
                      <a:off x="0" y="0"/>
                      <a:ext cx="5579999" cy="247999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BodyText"/>
      </w:pPr>
      <w:r>
        <w:drawing>
          <wp:inline>
            <wp:extent cx="5579999" cy="2014999"/>
            <wp:effectExtent b="0" l="0" r="0" t="0"/>
            <wp:docPr descr="" title="" id="62" name="Picture"/>
            <a:graphic>
              <a:graphicData uri="http://schemas.openxmlformats.org/drawingml/2006/picture">
                <pic:pic>
                  <pic:nvPicPr>
                    <pic:cNvPr descr="/home/user/SHM-Paper1-1D/manuscript/ase/figures/supplementary/FigS11_norbwim_speed.png" id="63" name="Picture"/>
                    <pic:cNvPicPr>
                      <a:picLocks noChangeArrowheads="1" noChangeAspect="1"/>
                    </pic:cNvPicPr>
                  </pic:nvPicPr>
                  <pic:blipFill>
                    <a:blip r:embed="rId6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65" name="Picture"/>
            <a:graphic>
              <a:graphicData uri="http://schemas.openxmlformats.org/drawingml/2006/picture">
                <pic:pic>
                  <pic:nvPicPr>
                    <pic:cNvPr descr="/home/user/SHM-Paper1-1D/manuscript/ase/figures/supplementary/FigS12_norbwim_beam_observability.png" id="66" name="Picture"/>
                    <pic:cNvPicPr>
                      <a:picLocks noChangeArrowheads="1" noChangeAspect="1"/>
                    </pic:cNvPicPr>
                  </pic:nvPicPr>
                  <pic:blipFill>
                    <a:blip r:embed="rId6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68" name="Picture"/>
            <a:graphic>
              <a:graphicData uri="http://schemas.openxmlformats.org/drawingml/2006/picture">
                <pic:pic>
                  <pic:nvPicPr>
                    <pic:cNvPr descr="/home/user/SHM-Paper1-1D/manuscript/ase/figures/supplementary/FigS13_veb_synthetic.png" id="69" name="Picture"/>
                    <pic:cNvPicPr>
                      <a:picLocks noChangeArrowheads="1" noChangeAspect="1"/>
                    </pic:cNvPicPr>
                  </pic:nvPicPr>
                  <pic:blipFill>
                    <a:blip r:embed="rId6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Synthetic strain records of the dataset authors: integral per unit gross weight by truck and lane, and for a 3-axle truck against speed.</w:t>
      </w:r>
    </w:p>
    <w:p>
      <w:pPr>
        <w:pStyle w:val="BodyText"/>
      </w:pPr>
      <w:r>
        <w:drawing>
          <wp:inline>
            <wp:extent cx="5579999" cy="2964374"/>
            <wp:effectExtent b="0" l="0" r="0" t="0"/>
            <wp:docPr descr="" title="" id="71" name="Picture"/>
            <a:graphic>
              <a:graphicData uri="http://schemas.openxmlformats.org/drawingml/2006/picture">
                <pic:pic>
                  <pic:nvPicPr>
                    <pic:cNvPr descr="/home/user/SHM-Paper1-1D/manuscript/ase/figures/supplementary/FigS14_caumay_freq_vs_kappa.png" id="72" name="Picture"/>
                    <pic:cNvPicPr>
                      <a:picLocks noChangeArrowheads="1" noChangeAspect="1"/>
                    </pic:cNvPicPr>
                  </pic:nvPicPr>
                  <pic:blipFill>
                    <a:blip r:embed="rId70"/>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BodyText"/>
      </w:pPr>
      <w:r>
        <w:drawing>
          <wp:inline>
            <wp:extent cx="5579999" cy="3938823"/>
            <wp:effectExtent b="0" l="0" r="0" t="0"/>
            <wp:docPr descr="" title="" id="74" name="Picture"/>
            <a:graphic>
              <a:graphicData uri="http://schemas.openxmlformats.org/drawingml/2006/picture">
                <pic:pic>
                  <pic:nvPicPr>
                    <pic:cNvPr descr="/home/user/SHM-Paper1-1D/manuscript/ase/figures/supplementary/FigS15_caumay_alpha_k_map.png" id="75" name="Picture"/>
                    <pic:cNvPicPr>
                      <a:picLocks noChangeArrowheads="1" noChangeAspect="1"/>
                    </pic:cNvPicPr>
                  </pic:nvPicPr>
                  <pic:blipFill>
                    <a:blip r:embed="rId73"/>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Cầu Mây: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drawing>
          <wp:inline>
            <wp:extent cx="5579999" cy="2049877"/>
            <wp:effectExtent b="0" l="0" r="0" t="0"/>
            <wp:docPr descr="" title="" id="77" name="Picture"/>
            <a:graphic>
              <a:graphicData uri="http://schemas.openxmlformats.org/drawingml/2006/picture">
                <pic:pic>
                  <pic:nvPicPr>
                    <pic:cNvPr descr="/home/user/SHM-Paper1-1D/manuscript/ase/figures/supplementary/FigS16_giecuc_phuongdo_baseline.png" id="78" name="Picture"/>
                    <pic:cNvPicPr>
                      <a:picLocks noChangeArrowheads="1" noChangeAspect="1"/>
                    </pic:cNvPicPr>
                  </pic:nvPicPr>
                  <pic:blipFill>
                    <a:blip r:embed="rId76"/>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80" name="Picture"/>
            <a:graphic>
              <a:graphicData uri="http://schemas.openxmlformats.org/drawingml/2006/picture">
                <pic:pic>
                  <pic:nvPicPr>
                    <pic:cNvPr descr="/home/user/SHM-Paper1-1D/manuscript/ase/figures/supplementary/FigS17_giecuc_phuongdo_lowpass.png" id="81" name="Picture"/>
                    <pic:cNvPicPr>
                      <a:picLocks noChangeArrowheads="1" noChangeAspect="1"/>
                    </pic:cNvPicPr>
                  </pic:nvPicPr>
                  <pic:blipFill>
                    <a:blip r:embed="rId79"/>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S17.</w:t>
      </w:r>
      <w:r>
        <w:t xml:space="preserve"> </w:t>
      </w:r>
      <w:r>
        <w:t xml:space="preserve">The same records: (a) deflection relative to the linear baseline, unfiltered and low-pass filtered at 2 Hz; (b) dynamic residual removed by the low-pass filter.</w:t>
      </w:r>
    </w:p>
    <w:bookmarkEnd w:id="82"/>
    <w:bookmarkEnd w:id="83"/>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2026-10-19T10:14:13Z</dcterms:created>
  <dcterms:modified xsi:type="dcterms:W3CDTF">2026-10-19T10:14:13Z</dcterms:modified>
</cp:coreProperties>
</file>

<file path=docProps/custom.xml><?xml version="1.0" encoding="utf-8"?>
<Properties xmlns="http://schemas.openxmlformats.org/officeDocument/2006/custom-properties" xmlns:vt="http://schemas.openxmlformats.org/officeDocument/2006/docPropsVTypes"/>
</file>