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a near-blind ring for strain gauges set back from the piers;</w:t>
      </w:r>
    </w:p>
    <w:p>
      <w:pPr>
        <w:numPr>
          <w:ilvl w:val="0"/>
          <w:numId w:val="1001"/>
        </w:numPr>
        <w:pStyle w:val="BodyText"/>
      </w:pPr>
      <w:r>
        <w:t xml:space="preserve">a strain indicator that needs no reference stiffness, a cancellation ratio that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one stiffness ratio,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every channel with 95 % confidence intervals and equivalence tests, and it reports negative results. The reference weights on these records vary so little that predicting the mean weight beats every estimator, so the records cannot test weight discrimination. Constants are consistent with axle-configuration invariance but the test is inconclusive at better than about 27 %. Generalised least squares with the measured noise covariance did worse out of sample than the plain gauge average, because errors during crossings are much less correlated between gauges than vehicle-free noise; we present this as a design caution for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2026-10-18T15:10:15Z</dcterms:created>
  <dcterms:modified xsi:type="dcterms:W3CDTF">2026-10-18T15:10:15Z</dcterms:modified>
</cp:coreProperties>
</file>

<file path=docProps/custom.xml><?xml version="1.0" encoding="utf-8"?>
<Properties xmlns="http://schemas.openxmlformats.org/officeDocument/2006/custom-properties" xmlns:vt="http://schemas.openxmlformats.org/officeDocument/2006/docPropsVTypes"/>
</file>