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there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design).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nor/>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nor/>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(rotations</w:t>
      </w:r>
      <w:r>
        <w:t xml:space="preserve"> </w:t>
      </w:r>
      <m:oMath>
        <m:sSub>
          <m:e>
            <m:r>
              <m:t>θ</m:t>
            </m:r>
          </m:e>
          <m:sub>
            <m:r>
              <m:t>6</m:t>
            </m:r>
          </m:sub>
        </m:sSub>
        <m:r>
          <m:rPr>
            <m:sty m:val="p"/>
          </m:rPr>
          <m:t>=</m:t>
        </m:r>
        <m:r>
          <m:rPr>
            <m:sty m:val="p"/>
          </m:rPr>
          <m:t>−</m:t>
        </m:r>
        <m:sSub>
          <m:e>
            <m:r>
              <m:t>θ</m:t>
            </m:r>
          </m:e>
          <m:sub>
            <m:r>
              <m:t>7</m:t>
            </m:r>
          </m:sub>
        </m:sSub>
      </m:oMath>
      <w:r>
        <w:t xml:space="preserve"> </w:t>
      </w:r>
      <w:r>
        <w:t xml:space="preserve">of the two inner piers,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 excludes calibration B, and</w:t>
      </w:r>
      <w:r>
        <w:t xml:space="preserve"> </w:t>
      </w:r>
      <m:oMath>
        <m:r>
          <m:t>α</m:t>
        </m:r>
      </m:oMath>
      <w:r>
        <w:t xml:space="preserve"> </w:t>
      </w:r>
      <w:r>
        <w:t xml:space="preserve">is an effective parameter (Section 5.1).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 Frequencies and the case of calibration B are discussed in Supplementary Section S8.</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2026-10-21T10:53:20Z</dcterms:created>
  <dcterms:modified xsi:type="dcterms:W3CDTF">2026-10-21T10:53:20Z</dcterms:modified>
</cp:coreProperties>
</file>

<file path=docProps/custom.xml><?xml version="1.0" encoding="utf-8"?>
<Properties xmlns="http://schemas.openxmlformats.org/officeDocument/2006/custom-properties" xmlns:vt="http://schemas.openxmlformats.org/officeDocument/2006/docPropsVTypes"/>
</file>