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where it vanishes cannot weigh. The paper gives three main results. First, closed forms locate these blind points for five channel types: strain gauges measuring global bending are blind at every zero of the uniform-load moment and nearly blind at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the design value).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or for the presence and location of stiffness loss in a beam (Dang et al., 2023),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Criteria that locate these zeros are needed to choose, before installation, the few channels that screen continuous bridges for overloads.</w:t>
      </w:r>
    </w:p>
    <w:p>
      <w:pPr>
        <w:pStyle w:val="BodyText"/>
      </w:pPr>
      <w:r>
        <w:t xml:space="preserve">This paper supplies them.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keepN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keepNext/>
              <w:pStyle w:val="Compact"/>
              <w:jc w:val="left"/>
            </w:pPr>
            <w:r>
              <w:t xml:space="preserve">Symbol</w:t>
            </w:r>
          </w:p>
        </w:tc>
        <w:tc>
          <w:tcPr>
            <w:tcW w:type="dxa" w:w="3051"/>
            <w:tcBorders>
              <w:top w:val="nil"/>
              <w:left w:val="nil"/>
              <w:bottom w:val="single" w:sz="6" w:space="0" w:color="000000"/>
              <w:right w:val="nil"/>
            </w:tcBorders>
          </w:tcPr>
          <w:p>
            <w:pPr>
              <w:keepNext/>
              <w:pStyle w:val="Compact"/>
              <w:jc w:val="left"/>
            </w:pPr>
            <w:r>
              <w:t xml:space="preserve">Meaning</w:t>
            </w:r>
          </w:p>
        </w:tc>
        <w:tc>
          <w:tcPr>
            <w:tcW w:type="dxa" w:w="1271"/>
            <w:tcBorders>
              <w:top w:val="nil"/>
              <w:left w:val="nil"/>
              <w:bottom w:val="single" w:sz="6" w:space="0" w:color="000000"/>
              <w:right w:val="nil"/>
            </w:tcBorders>
          </w:tcPr>
          <w:p>
            <w:pPr>
              <w:keepNext/>
              <w:pStyle w:val="Compact"/>
              <w:jc w:val="left"/>
            </w:pPr>
            <w:r>
              <w:t xml:space="preserve">Symbol</w:t>
            </w:r>
          </w:p>
        </w:tc>
        <w:tc>
          <w:tcPr>
            <w:tcW w:type="dxa" w:w="3475"/>
            <w:tcBorders>
              <w:top w:val="nil"/>
              <w:left w:val="nil"/>
              <w:bottom w:val="single" w:sz="6" w:space="0" w:color="000000"/>
              <w:right w:val="nil"/>
            </w:tcBorders>
          </w:tcPr>
          <w:p>
            <w:pPr>
              <w:keepNext/>
              <w:pStyle w:val="Compact"/>
              <w:jc w:val="left"/>
            </w:pPr>
            <w:r>
              <w:t xml:space="preserve">Meaning</w:t>
            </w:r>
          </w:p>
        </w:tc>
      </w:tr>
      <w:tr>
        <w:trPr>
          <w:cantSplit/>
        </w:trPr>
        <w:tc>
          <w:tcPr>
            <w:tcW w:type="dxa" w:w="1271"/>
          </w:tcPr>
          <w:p>
            <w:pPr>
              <w:keepNext/>
              <w:pStyle w:val="Compact"/>
              <w:jc w:val="left"/>
            </w:pPr>
            <m:oMath>
              <m:r>
                <m:t>C</m:t>
              </m:r>
            </m:oMath>
          </w:p>
        </w:tc>
        <w:tc>
          <w:tcPr>
            <w:tcW w:type="dxa" w:w="3051"/>
          </w:tcPr>
          <w:p>
            <w:pPr>
              <w:keepNext/>
              <w:pStyle w:val="Compact"/>
              <w:jc w:val="left"/>
            </w:pPr>
            <w:r>
              <w:t xml:space="preserve">integral constant of a channel, Eq. (2)</w:t>
            </w:r>
          </w:p>
        </w:tc>
        <w:tc>
          <w:tcPr>
            <w:tcW w:type="dxa" w:w="1271"/>
          </w:tcPr>
          <w:p>
            <w:pPr>
              <w:keepNext/>
              <w:pStyle w:val="Compact"/>
              <w:jc w:val="left"/>
            </w:pPr>
            <m:oMath>
              <m:r>
                <m:t>γ</m:t>
              </m:r>
            </m:oMath>
          </w:p>
        </w:tc>
        <w:tc>
          <w:tcPr>
            <w:tcW w:type="dxa" w:w="3475"/>
          </w:tcPr>
          <w:p>
            <w:pPr>
              <w:keepNext/>
              <w:pStyle w:val="Compact"/>
              <w:jc w:val="left"/>
            </w:pPr>
            <w:r>
              <w:t xml:space="preserve">rigidity ratio of adjacent spans</w:t>
            </w:r>
          </w:p>
        </w:tc>
      </w:tr>
      <w:tr>
        <w:trPr>
          <w:cantSplit/>
        </w:trPr>
        <w:tc>
          <w:tcPr>
            <w:tcW w:type="dxa" w:w="1271"/>
          </w:tcPr>
          <w:p>
            <w:pPr>
              <w:keepNext/>
              <w:pStyle w:val="Compact"/>
              <w:jc w:val="left"/>
            </w:pPr>
            <m:oMath>
              <m:sSub>
                <m:e>
                  <m:r>
                    <m:t>N</m:t>
                  </m:r>
                </m:e>
                <m:sub>
                  <m:r>
                    <m:t>w</m:t>
                  </m:r>
                </m:sub>
              </m:sSub>
            </m:oMath>
          </w:p>
        </w:tc>
        <w:tc>
          <w:tcPr>
            <w:tcW w:type="dxa" w:w="3051"/>
          </w:tcPr>
          <w:p>
            <w:pPr>
              <w:keepNext/>
              <w:pStyle w:val="Compact"/>
              <w:jc w:val="left"/>
            </w:pPr>
            <w:r>
              <w:t xml:space="preserve">deflection indicator, Eq. (8)</w:t>
            </w:r>
          </w:p>
        </w:tc>
        <w:tc>
          <w:tcPr>
            <w:tcW w:type="dxa" w:w="1271"/>
          </w:tcPr>
          <w:p>
            <w:pPr>
              <w:keepNext/>
              <w:pStyle w:val="Compact"/>
              <w:jc w:val="left"/>
            </w:pPr>
            <m:oMath>
              <m:r>
                <m:t>κ</m:t>
              </m:r>
            </m:oMath>
          </w:p>
        </w:tc>
        <w:tc>
          <w:tcPr>
            <w:tcW w:type="dxa" w:w="3475"/>
          </w:tcPr>
          <w:p>
            <w:pPr>
              <w:keepNext/>
              <w:pStyle w:val="Compact"/>
              <w:jc w:val="left"/>
            </w:pPr>
            <w:r>
              <w:t xml:space="preserve">scaled pier stiffness</w:t>
            </w:r>
            <w:r>
              <w:t xml:space="preserve"> </w:t>
            </w:r>
            <m:oMath>
              <m:r>
                <m:t>k</m:t>
              </m:r>
              <m:r>
                <m:rPr>
                  <m:sty m:val="p"/>
                </m:rPr>
                <m:t>/</m:t>
              </m:r>
              <m:r>
                <m:t>α</m:t>
              </m:r>
            </m:oMath>
          </w:p>
        </w:tc>
      </w:tr>
      <w:tr>
        <w:trPr>
          <w:cantSplit/>
        </w:trPr>
        <w:tc>
          <w:tcPr>
            <w:tcW w:type="dxa" w:w="1271"/>
          </w:tcPr>
          <w:p>
            <w:pPr>
              <w:keepNext/>
              <w:pStyle w:val="Compact"/>
              <w:jc w:val="left"/>
            </w:pPr>
            <m:oMath>
              <m:sSub>
                <m:e>
                  <m:r>
                    <m:t>N</m:t>
                  </m:r>
                </m:e>
                <m:sub>
                  <m:r>
                    <m:t>M</m:t>
                  </m:r>
                </m:sub>
              </m:sSub>
            </m:oMath>
          </w:p>
        </w:tc>
        <w:tc>
          <w:tcPr>
            <w:tcW w:type="dxa" w:w="3051"/>
          </w:tcPr>
          <w:p>
            <w:pPr>
              <w:keepNext/>
              <w:pStyle w:val="Compact"/>
              <w:jc w:val="left"/>
            </w:pPr>
            <w:r>
              <w:t xml:space="preserve">strain (moment) indicator, Eq. (7)</w:t>
            </w:r>
          </w:p>
        </w:tc>
        <w:tc>
          <w:tcPr>
            <w:tcW w:type="dxa" w:w="1271"/>
          </w:tcPr>
          <w:p>
            <w:pPr>
              <w:keepNext/>
              <w:pStyle w:val="Compact"/>
              <w:jc w:val="left"/>
            </w:pPr>
            <m:oMath>
              <m:r>
                <m:t>α</m:t>
              </m:r>
            </m:oMath>
          </w:p>
        </w:tc>
        <w:tc>
          <w:tcPr>
            <w:tcW w:type="dxa" w:w="3475"/>
          </w:tcPr>
          <w:p>
            <w:pPr>
              <w:keepNext/>
              <w:pStyle w:val="Compact"/>
              <w:jc w:val="left"/>
            </w:pPr>
            <w:r>
              <w:t xml:space="preserve">effective-to-design girder rigidity</w:t>
            </w:r>
          </w:p>
        </w:tc>
      </w:tr>
      <w:tr>
        <w:trPr>
          <w:cantSplit/>
        </w:trPr>
        <w:tc>
          <w:tcPr>
            <w:tcW w:type="dxa" w:w="1271"/>
          </w:tcPr>
          <w:p>
            <w:pPr>
              <w:keepNext/>
              <w:pStyle w:val="Compact"/>
              <w:jc w:val="left"/>
            </w:pPr>
            <m:oMath>
              <m:r>
                <m:t>R</m:t>
              </m:r>
            </m:oMath>
          </w:p>
        </w:tc>
        <w:tc>
          <w:tcPr>
            <w:tcW w:type="dxa" w:w="3051"/>
          </w:tcPr>
          <w:p>
            <w:pPr>
              <w:keepNext/>
              <w:pStyle w:val="Compact"/>
              <w:jc w:val="left"/>
            </w:pPr>
            <w:r>
              <w:t xml:space="preserve">cancellation ratio, Eq. (9)</w:t>
            </w:r>
          </w:p>
        </w:tc>
        <w:tc>
          <w:tcPr>
            <w:tcW w:type="dxa" w:w="1271"/>
          </w:tcPr>
          <w:p>
            <w:pPr>
              <w:keepNext/>
              <w:pStyle w:val="Compact"/>
              <w:jc w:val="left"/>
            </w:pPr>
            <m:oMath>
              <m:r>
                <m:t>k</m:t>
              </m:r>
            </m:oMath>
          </w:p>
        </w:tc>
        <w:tc>
          <w:tcPr>
            <w:tcW w:type="dxa" w:w="3475"/>
          </w:tcPr>
          <w:p>
            <w:pPr>
              <w:keepNext/>
              <w:pStyle w:val="Compact"/>
              <w:jc w:val="left"/>
            </w:pPr>
            <w:r>
              <w:t xml:space="preserve">rotational stiffness of a monolithic pier</w:t>
            </w:r>
          </w:p>
        </w:tc>
      </w:tr>
      <w:tr>
        <w:trPr>
          <w:cantSplit/>
        </w:trPr>
        <w:tc>
          <w:tcPr>
            <w:tcW w:type="dxa" w:w="1271"/>
          </w:tcPr>
          <w:p>
            <w:pPr>
              <w:keepNext/>
              <w:pStyle w:val="Compact"/>
              <w:jc w:val="left"/>
            </w:pPr>
            <m:oMath>
              <m:r>
                <m:t>μ</m:t>
              </m:r>
            </m:oMath>
          </w:p>
        </w:tc>
        <w:tc>
          <w:tcPr>
            <w:tcW w:type="dxa" w:w="3051"/>
          </w:tcPr>
          <w:p>
            <w:pPr>
              <w:keepNext/>
              <w:pStyle w:val="Compact"/>
              <w:jc w:val="left"/>
            </w:pPr>
            <w:r>
              <w:t xml:space="preserve">interior-moment parameter, Eq. (4)</w:t>
            </w:r>
          </w:p>
        </w:tc>
        <w:tc>
          <w:tcPr>
            <w:tcW w:type="dxa" w:w="1271"/>
          </w:tcPr>
          <w:p>
            <w:pPr>
              <w:keepNext/>
              <w:pStyle w:val="Compact"/>
              <w:jc w:val="left"/>
            </w:pPr>
            <m:oMath>
              <m:r>
                <m:t>τ</m:t>
              </m:r>
            </m:oMath>
          </w:p>
        </w:tc>
        <w:tc>
          <w:tcPr>
            <w:tcW w:type="dxa" w:w="3475"/>
          </w:tcPr>
          <w:p>
            <w:pPr>
              <w:keepNext/>
              <w:pStyle w:val="Compact"/>
              <w:jc w:val="left"/>
            </w:pPr>
            <w:r>
              <w:t xml:space="preserve">tolerance on the static misfit of a gauge</w:t>
            </w:r>
          </w:p>
        </w:tc>
      </w:tr>
      <w:tr>
        <w:trPr>
          <w:cantSplit/>
        </w:trPr>
        <w:tc>
          <w:tcPr>
            <w:tcW w:type="dxa" w:w="1271"/>
          </w:tcPr>
          <w:p>
            <w:pPr>
              <w:keepNext/>
              <w:pStyle w:val="Compact"/>
              <w:jc w:val="left"/>
            </w:pPr>
            <m:oMath>
              <m:r>
                <m:t>λ</m:t>
              </m:r>
            </m:oMath>
          </w:p>
        </w:tc>
        <w:tc>
          <w:tcPr>
            <w:tcW w:type="dxa" w:w="3051"/>
          </w:tcPr>
          <w:p>
            <w:pPr>
              <w:keepNext/>
              <w:pStyle w:val="Compact"/>
              <w:jc w:val="left"/>
            </w:pPr>
            <w:r>
              <w:t xml:space="preserve">span ratio, two spans</w:t>
            </w:r>
          </w:p>
        </w:tc>
        <w:tc>
          <w:tcPr>
            <w:tcW w:type="dxa" w:w="1271"/>
          </w:tcPr>
          <w:p>
            <w:pPr>
              <w:keepNext/>
              <w:pStyle w:val="Compact"/>
              <w:jc w:val="left"/>
            </w:pPr>
            <m:oMath>
              <m:sSub>
                <m:e>
                  <m:r>
                    <m:t>B</m:t>
                  </m:r>
                </m:e>
                <m:sub>
                  <m:r>
                    <m:t>m</m:t>
                  </m:r>
                </m:sub>
              </m:sSub>
            </m:oMath>
          </w:p>
        </w:tc>
        <w:tc>
          <w:tcPr>
            <w:tcW w:type="dxa" w:w="3475"/>
          </w:tcPr>
          <w:p>
            <w:pPr>
              <w:keepNext/>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grow/>
          </m:dPr>
          <m:e>
            <m:r>
              <m:t>x</m:t>
            </m:r>
          </m:e>
        </m:d>
      </m:oMath>
      <w:r>
        <w:t xml:space="preserve"> </w:t>
      </w:r>
      <w:r>
        <w:t xml:space="preserve">that is zero outside the loaded path</w:t>
      </w:r>
      <w:r>
        <w:t xml:space="preserve"> </w:t>
      </w:r>
      <m:oMath>
        <m:d>
          <m:dPr>
            <m:begChr m:val="["/>
            <m:end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nor/>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grow/>
                  </m:dPr>
                  <m:e>
                    <m:r>
                      <m:t>u</m:t>
                    </m:r>
                  </m:e>
                </m:d>
                <m:r>
                  <m:t> </m:t>
                </m:r>
                <m:r>
                  <m:rPr>
                    <m:sty m:val="p"/>
                    <m:nor/>
                  </m:rPr>
                  <m:t>d</m:t>
                </m:r>
                <m:r>
                  <m:t>u</m:t>
                </m:r>
                <m:r>
                  <m:rPr>
                    <m:sty m:val="p"/>
                  </m:rPr>
                  <m:t>=</m:t>
                </m:r>
                <m:f>
                  <m:fPr>
                    <m:type m:val="bar"/>
                  </m:fPr>
                  <m:num>
                    <m:sSub>
                      <m:e>
                        <m:r>
                          <m:t>y</m:t>
                        </m:r>
                      </m:e>
                      <m:sub>
                        <m:r>
                          <m:t>m</m:t>
                        </m:r>
                      </m:sub>
                    </m:sSub>
                    <m:d>
                      <m:dPr>
                        <m:begChr m:val="["/>
                        <m:end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keepLines/>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grow/>
                  </m:dPr>
                  <m:e>
                    <m:r>
                      <m:t>ξ</m:t>
                    </m:r>
                    <m:r>
                      <m:rPr>
                        <m:sty m:val="p"/>
                      </m:rPr>
                      <m:t>,</m:t>
                    </m:r>
                    <m:r>
                      <m:t>μ</m:t>
                    </m:r>
                  </m:e>
                </m:d>
                <m:r>
                  <m:rPr>
                    <m:sty m:val="p"/>
                  </m:rPr>
                  <m:t>,</m:t>
                </m:r>
                <m:r>
                  <m:t>  </m:t>
                </m:r>
                <m:r>
                  <m:t>F</m:t>
                </m:r>
                <m:d>
                  <m:dPr>
                    <m:begChr m:val="("/>
                    <m:endChr m:val=")"/>
                    <m:grow/>
                  </m:dPr>
                  <m:e>
                    <m:r>
                      <m:t>ξ</m:t>
                    </m:r>
                    <m:r>
                      <m:rPr>
                        <m:sty m:val="p"/>
                      </m:rPr>
                      <m:t>,</m:t>
                    </m:r>
                    <m:r>
                      <m:t>μ</m:t>
                    </m:r>
                  </m:e>
                </m:d>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grow/>
                  </m:dPr>
                  <m:e>
                    <m:r>
                      <m:t>ξ</m:t>
                    </m:r>
                  </m:e>
                </m:d>
                <m:r>
                  <m:rPr>
                    <m:sty m:val="p"/>
                  </m:rPr>
                  <m:t>=</m:t>
                </m:r>
                <m:f>
                  <m:fPr>
                    <m:type m:val="bar"/>
                  </m:fPr>
                  <m:num>
                    <m:r>
                      <m:t>2</m:t>
                    </m:r>
                    <m:d>
                      <m:dPr>
                        <m:begChr m:val="("/>
                        <m:end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keepLines/>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grow/>
                  </m:dPr>
                  <m:e>
                    <m:r>
                      <m:t>1</m:t>
                    </m:r>
                    <m:r>
                      <m:rPr>
                        <m:sty m:val="p"/>
                      </m:rPr>
                      <m:t>−</m:t>
                    </m:r>
                    <m:r>
                      <m:t>ξ</m:t>
                    </m:r>
                  </m:e>
                </m:d>
                <m:r>
                  <m:rPr>
                    <m:sty m:val="p"/>
                  </m:rPr>
                  <m:t>−</m:t>
                </m:r>
                <m:sSub>
                  <m:e>
                    <m:acc>
                      <m:accPr>
                        <m:chr m:val="¯"/>
                      </m:accPr>
                      <m:e>
                        <m:r>
                          <m:t>M</m:t>
                        </m:r>
                      </m:e>
                    </m:acc>
                  </m:e>
                  <m:sub>
                    <m:r>
                      <m:t>l</m:t>
                    </m:r>
                  </m:sub>
                </m:sSub>
                <m:d>
                  <m:dPr>
                    <m:begChr m:val="("/>
                    <m:end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grow/>
          </m:dPr>
          <m:e>
            <m:sSub>
              <m:e>
                <m:r>
                  <m:t>N</m:t>
                </m:r>
              </m:e>
              <m:sub>
                <m:r>
                  <m:t>M</m:t>
                </m:r>
              </m:sub>
            </m:sSub>
          </m:e>
        </m:d>
        <m:r>
          <m:rPr>
            <m:sty m:val="p"/>
          </m:rPr>
          <m:t>=</m:t>
        </m:r>
        <m:r>
          <m:t>μ</m:t>
        </m:r>
      </m:oMath>
      <w:r>
        <w:t xml:space="preserve">), but one set back from the pier to clear the diaphragm can fall into the band. Figure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keepLines/>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keepLines/>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keepNext/>
              <w:pStyle w:val="Compact"/>
              <w:jc w:val="left"/>
            </w:pPr>
            <w:r>
              <w:t xml:space="preserve">Channel</w:t>
            </w:r>
          </w:p>
        </w:tc>
        <w:tc>
          <w:tcPr>
            <w:tcW w:type="dxa" w:w="2366"/>
            <w:tcBorders>
              <w:top w:val="nil"/>
              <w:left w:val="nil"/>
              <w:bottom w:val="single" w:sz="6" w:space="0" w:color="000000"/>
              <w:right w:val="nil"/>
            </w:tcBorders>
          </w:tcPr>
          <w:p>
            <w:pPr>
              <w:keepNext/>
              <w:pStyle w:val="Compact"/>
              <w:jc w:val="left"/>
            </w:pPr>
            <w:r>
              <w:t xml:space="preserve">Blind where</w:t>
            </w:r>
          </w:p>
        </w:tc>
        <w:tc>
          <w:tcPr>
            <w:tcW w:type="dxa" w:w="2366"/>
            <w:tcBorders>
              <w:top w:val="nil"/>
              <w:left w:val="nil"/>
              <w:bottom w:val="single" w:sz="6" w:space="0" w:color="000000"/>
              <w:right w:val="nil"/>
            </w:tcBorders>
          </w:tcPr>
          <w:p>
            <w:pPr>
              <w:keepNext/>
              <w:pStyle w:val="Compact"/>
              <w:jc w:val="left"/>
            </w:pPr>
            <w:r>
              <w:t xml:space="preserve">Two-span beam (span 1)</w:t>
            </w:r>
          </w:p>
        </w:tc>
        <w:tc>
          <w:tcPr>
            <w:tcW w:type="dxa" w:w="2366"/>
            <w:tcBorders>
              <w:top w:val="nil"/>
              <w:left w:val="nil"/>
              <w:bottom w:val="single" w:sz="6" w:space="0" w:color="000000"/>
              <w:right w:val="nil"/>
            </w:tcBorders>
          </w:tcPr>
          <w:p>
            <w:pPr>
              <w:keepNext/>
              <w:pStyle w:val="Compact"/>
              <w:jc w:val="left"/>
            </w:pPr>
            <w:r>
              <w:t xml:space="preserve">Symmetric three-span beam</w:t>
            </w:r>
          </w:p>
        </w:tc>
      </w:tr>
      <w:tr>
        <w:trPr>
          <w:cantSplit/>
        </w:trPr>
        <w:tc>
          <w:tcPr>
            <w:tcW w:type="dxa" w:w="1971"/>
          </w:tcPr>
          <w:p>
            <w:pPr>
              <w:keepNext/>
              <w:pStyle w:val="Compact"/>
              <w:jc w:val="left"/>
            </w:pPr>
            <w:r>
              <w:t xml:space="preserve">Strain, moment, curvature</w:t>
            </w:r>
          </w:p>
        </w:tc>
        <w:tc>
          <w:tcPr>
            <w:tcW w:type="dxa" w:w="2366"/>
          </w:tcPr>
          <w:p>
            <w:pPr>
              <w:keepNext/>
              <w:pStyle w:val="Compact"/>
              <w:jc w:val="left"/>
            </w:pPr>
            <w:r>
              <w:t xml:space="preserve">zeros of</w:t>
            </w:r>
            <w:r>
              <w:t xml:space="preserve"> </w:t>
            </w:r>
            <m:oMath>
              <m:sSub>
                <m:e>
                  <m:r>
                    <m:t>M</m:t>
                  </m:r>
                </m:e>
                <m:sub>
                  <m:r>
                    <m:t>q</m:t>
                  </m:r>
                </m:sub>
              </m:sSub>
            </m:oMath>
          </w:p>
        </w:tc>
        <w:tc>
          <w:tcPr>
            <w:tcW w:type="dxa" w:w="2366"/>
          </w:tcPr>
          <w:p>
            <w:pPr>
              <w:keepNext/>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keepNext/>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d>
                <m:dPr>
                  <m:begChr m:val="("/>
                  <m:endChr m:val=")"/>
                  <m:grow/>
                </m:dPr>
                <m:e>
                  <m:r>
                    <m:t>1</m:t>
                  </m:r>
                  <m:r>
                    <m:rPr>
                      <m:sty m:val="p"/>
                    </m:rPr>
                    <m:t>−</m:t>
                  </m:r>
                  <m:rad>
                    <m:radPr>
                      <m:degHide m:val="on"/>
                    </m:radPr>
                    <m:deg/>
                    <m:e>
                      <m:r>
                        <m:t>1</m:t>
                      </m:r>
                      <m:r>
                        <m:rPr>
                          <m:sty m:val="p"/>
                        </m:rPr>
                        <m:t>−</m:t>
                      </m:r>
                      <m:r>
                        <m:t>μ</m:t>
                      </m:r>
                      <m:r>
                        <m:rPr>
                          <m:sty m:val="p"/>
                        </m:rPr>
                        <m:t>/</m:t>
                      </m:r>
                      <m:sSup>
                        <m:e>
                          <m:r>
                            <m:t>β</m:t>
                          </m:r>
                        </m:e>
                        <m:sup>
                          <m:r>
                            <m:t>2</m:t>
                          </m:r>
                        </m:sup>
                      </m:sSup>
                    </m:e>
                  </m:rad>
                </m:e>
              </m:d>
              <m:r>
                <m:rPr>
                  <m:sty m:val="p"/>
                </m:rPr>
                <m:t>/</m:t>
              </m:r>
              <m:r>
                <m:t>2</m:t>
              </m:r>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keepNext/>
              <w:pStyle w:val="Compact"/>
              <w:jc w:val="left"/>
            </w:pPr>
            <w:r>
              <w:t xml:space="preserve">Deflection</w:t>
            </w:r>
          </w:p>
        </w:tc>
        <w:tc>
          <w:tcPr>
            <w:tcW w:type="dxa" w:w="2366"/>
          </w:tcPr>
          <w:p>
            <w:pPr>
              <w:keepNext/>
              <w:pStyle w:val="Compact"/>
              <w:jc w:val="left"/>
            </w:pPr>
            <w:r>
              <w:t xml:space="preserve">zeros of the uniform-load deflection</w:t>
            </w:r>
            <w:r>
              <w:t xml:space="preserve"> </w:t>
            </w:r>
            <m:oMath>
              <m:sSub>
                <m:e>
                  <m:r>
                    <m:t>w</m:t>
                  </m:r>
                </m:e>
                <m:sub>
                  <m:r>
                    <m:t>q</m:t>
                  </m:r>
                </m:sub>
              </m:sSub>
            </m:oMath>
          </w:p>
        </w:tc>
        <w:tc>
          <w:tcPr>
            <w:tcW w:type="dxa" w:w="2366"/>
          </w:tcPr>
          <w:p>
            <w:pPr>
              <w:keepNext/>
              <w:pStyle w:val="Compact"/>
              <w:jc w:val="left"/>
            </w:pPr>
            <m:oMath>
              <m:r>
                <m:t>μ</m:t>
              </m:r>
              <m:r>
                <m:rPr>
                  <m:sty m:val="p"/>
                </m:rPr>
                <m:t>=</m:t>
              </m:r>
              <m:sSub>
                <m:e>
                  <m:r>
                    <m:t>μ</m:t>
                  </m:r>
                </m:e>
                <m:sub>
                  <m:r>
                    <m:rPr>
                      <m:sty m:val="p"/>
                      <m:nor/>
                    </m:rPr>
                    <m:t>crit</m:t>
                  </m:r>
                </m:sub>
              </m:sSub>
              <m:d>
                <m:dPr>
                  <m:begChr m:val="("/>
                  <m:end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keepNext/>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keepNext/>
              <w:pStyle w:val="Compact"/>
              <w:jc w:val="left"/>
            </w:pPr>
            <w:r>
              <w:t xml:space="preserve">Rotation</w:t>
            </w:r>
          </w:p>
        </w:tc>
        <w:tc>
          <w:tcPr>
            <w:tcW w:type="dxa" w:w="2366"/>
          </w:tcPr>
          <w:p>
            <w:pPr>
              <w:keepNext/>
              <w:pStyle w:val="Compact"/>
              <w:jc w:val="left"/>
            </w:pPr>
            <w:r>
              <w:t xml:space="preserve">extrema of</w:t>
            </w:r>
            <w:r>
              <w:t xml:space="preserve"> </w:t>
            </w:r>
            <m:oMath>
              <m:sSub>
                <m:e>
                  <m:r>
                    <m:t>w</m:t>
                  </m:r>
                </m:e>
                <m:sub>
                  <m:r>
                    <m:t>q</m:t>
                  </m:r>
                </m:sub>
              </m:sSub>
            </m:oMath>
          </w:p>
        </w:tc>
        <w:tc>
          <w:tcPr>
            <w:tcW w:type="dxa" w:w="2366"/>
          </w:tcPr>
          <w:p>
            <w:pPr>
              <w:keepNext/>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keepNext/>
              <w:pStyle w:val="Compact"/>
              <w:jc w:val="left"/>
            </w:pPr>
            <w:r>
              <w:t xml:space="preserve">end:</w:t>
            </w:r>
            <w:r>
              <w:t xml:space="preserve"> </w:t>
            </w:r>
            <m:oMath>
              <m:r>
                <m:t>β</m:t>
              </m:r>
              <m:r>
                <m:rPr>
                  <m:sty m:val="p"/>
                </m:rPr>
                <m:t>=</m:t>
              </m:r>
              <m:r>
                <m:t>2</m:t>
              </m:r>
              <m:r>
                <m:rPr>
                  <m:sty m:val="p"/>
                  <m:nor/>
                </m:rPr>
                <m:t>cos</m:t>
              </m:r>
              <m:d>
                <m:dPr>
                  <m:begChr m:val="("/>
                  <m:end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keepNext/>
              <w:pStyle w:val="Compact"/>
              <w:jc w:val="left"/>
            </w:pPr>
            <w:r>
              <w:t xml:space="preserve">Shear</w:t>
            </w:r>
          </w:p>
        </w:tc>
        <w:tc>
          <w:tcPr>
            <w:tcW w:type="dxa" w:w="2366"/>
          </w:tcPr>
          <w:p>
            <w:pPr>
              <w:keepNext/>
              <w:pStyle w:val="Compact"/>
              <w:jc w:val="left"/>
            </w:pPr>
            <w:r>
              <w:t xml:space="preserve">maxima of</w:t>
            </w:r>
            <w:r>
              <w:t xml:space="preserve"> </w:t>
            </w:r>
            <m:oMath>
              <m:sSub>
                <m:e>
                  <m:r>
                    <m:t>M</m:t>
                  </m:r>
                </m:e>
                <m:sub>
                  <m:r>
                    <m:t>q</m:t>
                  </m:r>
                </m:sub>
              </m:sSub>
            </m:oMath>
          </w:p>
        </w:tc>
        <w:tc>
          <w:tcPr>
            <w:tcW w:type="dxa" w:w="2366"/>
          </w:tcPr>
          <w:p>
            <w:pPr>
              <w:keepNext/>
              <w:pStyle w:val="Compact"/>
              <w:jc w:val="left"/>
            </w:pPr>
            <m:oMath>
              <m:r>
                <m:t>ξ</m:t>
              </m:r>
              <m:r>
                <m:rPr>
                  <m:sty m:val="p"/>
                </m:rPr>
                <m:t>=</m:t>
              </m:r>
              <m:sSub>
                <m:e>
                  <m:r>
                    <m:t>ξ</m:t>
                  </m:r>
                </m:e>
                <m:sub>
                  <m:r>
                    <m:t>0</m:t>
                  </m:r>
                </m:sub>
              </m:sSub>
              <m:r>
                <m:rPr>
                  <m:sty m:val="p"/>
                </m:rPr>
                <m:t>/</m:t>
              </m:r>
              <m:r>
                <m:t>2</m:t>
              </m:r>
            </m:oMath>
          </w:p>
        </w:tc>
        <w:tc>
          <w:tcPr>
            <w:tcW w:type="dxa" w:w="2366"/>
          </w:tcPr>
          <w:p>
            <w:pPr>
              <w:keepNext/>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keepNext/>
              <w:pStyle w:val="Compact"/>
              <w:jc w:val="left"/>
            </w:pPr>
            <w:r>
              <w:t xml:space="preserve">End reaction</w:t>
            </w:r>
          </w:p>
        </w:tc>
        <w:tc>
          <w:tcPr>
            <w:tcW w:type="dxa" w:w="2366"/>
          </w:tcPr>
          <w:p>
            <w:pPr>
              <w:keepNext/>
              <w:pStyle w:val="Compact"/>
              <w:jc w:val="left"/>
            </w:pPr>
            <w:r>
              <w:t xml:space="preserve">no sagging zone in the end span</w:t>
            </w:r>
          </w:p>
        </w:tc>
        <w:tc>
          <w:tcPr>
            <w:tcW w:type="dxa" w:w="2366"/>
          </w:tcPr>
          <w:p>
            <w:pPr>
              <w:keepNext/>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keepNext/>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grow/>
          </m:dPr>
          <m:e>
            <m:r>
              <m:t>x</m:t>
            </m:r>
          </m:e>
        </m:d>
      </m:oMath>
      <w:r>
        <w:t xml:space="preserve">: of</w:t>
      </w:r>
      <w:r>
        <w:t xml:space="preserve"> </w:t>
      </w:r>
      <m:oMath>
        <m:sSub>
          <m:e>
            <m:r>
              <m:t>w</m:t>
            </m:r>
          </m:e>
          <m:sub>
            <m:r>
              <m:t>q</m:t>
            </m:r>
          </m:sub>
        </m:sSub>
        <m:d>
          <m:dPr>
            <m:begChr m:val="("/>
            <m:end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grow/>
          </m:dPr>
          <m:e>
            <m:r>
              <m:t>x</m:t>
            </m:r>
          </m:e>
        </m:d>
        <m:r>
          <m:rPr>
            <m:sty m:val="p"/>
          </m:rPr>
          <m:t>/</m:t>
        </m:r>
        <m:d>
          <m:dPr>
            <m:begChr m:val="("/>
            <m:end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grow/>
                  </m:dPr>
                  <m:e>
                    <m:r>
                      <m:t>α</m:t>
                    </m:r>
                    <m:r>
                      <m:rPr>
                        <m:sty m:val="p"/>
                      </m:rPr>
                      <m:t>,</m:t>
                    </m:r>
                    <m:r>
                      <m:t>κ</m:t>
                    </m:r>
                  </m:e>
                </m:d>
                <m:r>
                  <m:rPr>
                    <m:sty m:val="p"/>
                  </m:rPr>
                  <m:t>=</m:t>
                </m:r>
                <m:f>
                  <m:fPr>
                    <m:type m:val="bar"/>
                  </m:fPr>
                  <m:num>
                    <m:r>
                      <m:t>1</m:t>
                    </m:r>
                  </m:num>
                  <m:den>
                    <m:r>
                      <m:t>α</m:t>
                    </m:r>
                  </m:den>
                </m:f>
                <m:d>
                  <m:dPr>
                    <m:begChr m:val="["/>
                    <m:end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grow/>
                  </m:dPr>
                  <m:e>
                    <m:acc>
                      <m:accPr>
                        <m:chr m:val="̂"/>
                      </m:accPr>
                      <m:e>
                        <m:r>
                          <m:t>k</m:t>
                        </m:r>
                      </m:e>
                    </m:acc>
                  </m:e>
                </m:d>
                <m:r>
                  <m:rPr>
                    <m:sty m:val="p"/>
                  </m:rPr>
                  <m:t>=</m:t>
                </m:r>
                <m:r>
                  <m:t>1</m:t>
                </m:r>
                <m:r>
                  <m:rPr>
                    <m:sty m:val="p"/>
                  </m:rPr>
                  <m:t>+</m:t>
                </m:r>
                <m:f>
                  <m:fPr>
                    <m:type m:val="bar"/>
                  </m:fPr>
                  <m:num>
                    <m:r>
                      <m:t>β</m:t>
                    </m:r>
                    <m:d>
                      <m:dPr>
                        <m:begChr m:val="("/>
                        <m:end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grow/>
          </m:dPr>
          <m:e>
            <m:r>
              <m:t>3</m:t>
            </m:r>
            <m:sSup>
              <m:e>
                <m:r>
                  <m:t>β</m:t>
                </m:r>
              </m:e>
              <m:sup>
                <m:r>
                  <m:t>2</m:t>
                </m:r>
              </m:sup>
            </m:sSup>
            <m:d>
              <m:dPr>
                <m:begChr m:val="("/>
                <m:end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nor/>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keepLines/>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nor/>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12 % (day 1) to 27 % (day 2).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keepLines/>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keepNext/>
              <w:pStyle w:val="Compact"/>
              <w:jc w:val="left"/>
            </w:pPr>
            <w:r>
              <w:t xml:space="preserve">Estimator</w:t>
            </w:r>
          </w:p>
        </w:tc>
        <w:tc>
          <w:tcPr>
            <w:tcW w:type="dxa" w:w="2765"/>
            <w:tcBorders>
              <w:top w:val="nil"/>
              <w:left w:val="nil"/>
              <w:bottom w:val="single" w:sz="6" w:space="0" w:color="000000"/>
              <w:right w:val="nil"/>
            </w:tcBorders>
          </w:tcPr>
          <w:p>
            <w:pPr>
              <w:keepNext/>
              <w:pStyle w:val="Compact"/>
              <w:jc w:val="right"/>
            </w:pPr>
            <w:r>
              <w:t xml:space="preserve">Day 2, 4 gauges</w:t>
            </w:r>
          </w:p>
        </w:tc>
        <w:tc>
          <w:tcPr>
            <w:tcW w:type="dxa" w:w="2322"/>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981"/>
          </w:tcPr>
          <w:p>
            <w:pPr>
              <w:keepNext/>
              <w:pStyle w:val="Compact"/>
              <w:jc w:val="left"/>
            </w:pPr>
            <w:r>
              <w:t xml:space="preserve">Gauge average</w:t>
            </w:r>
          </w:p>
        </w:tc>
        <w:tc>
          <w:tcPr>
            <w:tcW w:type="dxa" w:w="2765"/>
          </w:tcPr>
          <w:p>
            <w:pPr>
              <w:keepNext/>
              <w:pStyle w:val="Compact"/>
              <w:jc w:val="right"/>
            </w:pPr>
            <w:r>
              <w:t xml:space="preserve">11.9 (6.0–18.6)</w:t>
            </w:r>
          </w:p>
        </w:tc>
        <w:tc>
          <w:tcPr>
            <w:tcW w:type="dxa" w:w="2322"/>
          </w:tcPr>
          <w:p>
            <w:pPr>
              <w:keepNext/>
              <w:pStyle w:val="Compact"/>
              <w:jc w:val="right"/>
            </w:pPr>
            <w:r>
              <w:t xml:space="preserve">5.3 (2.5–7.8)</w:t>
            </w:r>
          </w:p>
        </w:tc>
      </w:tr>
      <w:tr>
        <w:trPr>
          <w:cantSplit/>
        </w:trPr>
        <w:tc>
          <w:tcPr>
            <w:tcW w:type="dxa" w:w="3981"/>
          </w:tcPr>
          <w:p>
            <w:pPr>
              <w:keepNext/>
              <w:pStyle w:val="Compact"/>
              <w:jc w:val="left"/>
            </w:pPr>
            <w:r>
              <w:t xml:space="preserve">GLS, measured</w:t>
            </w:r>
            <w:r>
              <w:t xml:space="preserve"> </w:t>
            </w:r>
            <m:oMath>
              <m:r>
                <m:t>Σ</m:t>
              </m:r>
            </m:oMath>
          </w:p>
        </w:tc>
        <w:tc>
          <w:tcPr>
            <w:tcW w:type="dxa" w:w="2765"/>
          </w:tcPr>
          <w:p>
            <w:pPr>
              <w:keepNext/>
              <w:pStyle w:val="Compact"/>
              <w:jc w:val="right"/>
            </w:pPr>
            <w:r>
              <w:t xml:space="preserve">20.4 (12.3–28.8)</w:t>
            </w:r>
          </w:p>
        </w:tc>
        <w:tc>
          <w:tcPr>
            <w:tcW w:type="dxa" w:w="2322"/>
          </w:tcPr>
          <w:p>
            <w:pPr>
              <w:keepNext/>
              <w:pStyle w:val="Compact"/>
              <w:jc w:val="right"/>
            </w:pPr>
            <w:r>
              <w:t xml:space="preserve">5.8 (3.5–8.1)</w:t>
            </w:r>
          </w:p>
        </w:tc>
      </w:tr>
      <w:tr>
        <w:trPr>
          <w:cantSplit/>
        </w:trPr>
        <w:tc>
          <w:tcPr>
            <w:tcW w:type="dxa" w:w="3981"/>
          </w:tcPr>
          <w:p>
            <w:pPr>
              <w:keepNext/>
              <w:pStyle w:val="Compact"/>
              <w:jc w:val="left"/>
            </w:pPr>
            <w:r>
              <w:t xml:space="preserve">Best single gauge (chosen after the fact)</w:t>
            </w:r>
          </w:p>
        </w:tc>
        <w:tc>
          <w:tcPr>
            <w:tcW w:type="dxa" w:w="2765"/>
          </w:tcPr>
          <w:p>
            <w:pPr>
              <w:keepNext/>
              <w:pStyle w:val="Compact"/>
              <w:jc w:val="right"/>
            </w:pPr>
            <w:r>
              <w:t xml:space="preserve">8.4 (2.9–15.3)</w:t>
            </w:r>
          </w:p>
        </w:tc>
        <w:tc>
          <w:tcPr>
            <w:tcW w:type="dxa" w:w="2322"/>
          </w:tcPr>
          <w:p>
            <w:pPr>
              <w:keepNext/>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nor/>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keepLines/>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w:t>
      </w:r>
      <w:r>
        <w:t xml:space="preserve"> </w:t>
      </w:r>
      <m:oMath>
        <m:r>
          <m:t>α</m:t>
        </m:r>
      </m:oMath>
      <w:r>
        <w:t xml:space="preserve"> </w:t>
      </w:r>
      <w:r>
        <w:t xml:space="preserve">= 0.9–1.3 excludes calibration B.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ratio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The</w:t>
      </w:r>
      <w:r>
        <w:t xml:space="preserve"> </w:t>
      </w:r>
      <m:oMath>
        <m:r>
          <m:t>α</m:t>
        </m:r>
        <m:r>
          <m:rPr>
            <m:sty m:val="p"/>
          </m:rPr>
          <m:t>=</m:t>
        </m:r>
        <m:r>
          <m:t>0.716</m:t>
        </m:r>
      </m:oMath>
      <w:r>
        <w:t xml:space="preserve"> </w:t>
      </w:r>
      <w:r>
        <w:t xml:space="preserve">of calibration B is an effective rigidity 28 % below design, which is implausible as a material loss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keepLines/>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nor/>
              </m:rPr>
              <m:t>v</m:t>
            </m:r>
          </m:sub>
        </m:sSub>
      </m:oMath>
      <w:r>
        <w:t xml:space="preserve">, haunch exponent, rigid pier zone) and admissible band</w:t>
      </w:r>
      <w:r>
        <w:t xml:space="preserve"> </w:t>
      </w:r>
      <m:oMath>
        <m:d>
          <m:dPr>
            <m:begChr m:val="|"/>
            <m:end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keepLines/>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nor/>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keepNext/>
              <w:pStyle w:val="Compact"/>
              <w:jc w:val="left"/>
            </w:pPr>
            <w:r>
              <w:t xml:space="preserve">Model</w:t>
            </w:r>
          </w:p>
        </w:tc>
        <w:tc>
          <w:tcPr>
            <w:tcW w:type="dxa" w:w="188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2511"/>
          </w:tcPr>
          <w:p>
            <w:pPr>
              <w:keepNext/>
              <w:pStyle w:val="Compact"/>
              <w:jc w:val="left"/>
            </w:pPr>
            <w:r>
              <w:t xml:space="preserve">Prismatic beam, pinned piers</w:t>
            </w:r>
          </w:p>
        </w:tc>
        <w:tc>
          <w:tcPr>
            <w:tcW w:type="dxa" w:w="1883"/>
          </w:tcPr>
          <w:p>
            <w:pPr>
              <w:keepNext/>
              <w:pStyle w:val="Compact"/>
              <w:jc w:val="right"/>
            </w:pPr>
            <w:r>
              <w:t xml:space="preserve">0.287</w:t>
            </w:r>
          </w:p>
        </w:tc>
        <w:tc>
          <w:tcPr>
            <w:tcW w:type="dxa" w:w="1744"/>
          </w:tcPr>
          <w:p>
            <w:pPr>
              <w:keepNext/>
              <w:pStyle w:val="Compact"/>
              <w:jc w:val="right"/>
            </w:pPr>
            <w:r>
              <w:t xml:space="preserve">0.755</w:t>
            </w:r>
          </w:p>
        </w:tc>
        <w:tc>
          <w:tcPr>
            <w:tcW w:type="dxa" w:w="1465"/>
          </w:tcPr>
          <w:p>
            <w:pPr>
              <w:keepNext/>
              <w:pStyle w:val="Compact"/>
              <w:jc w:val="right"/>
            </w:pPr>
            <w:r>
              <w:t xml:space="preserve">0.14</w:t>
            </w:r>
          </w:p>
        </w:tc>
        <w:tc>
          <w:tcPr>
            <w:tcW w:type="dxa" w:w="1465"/>
          </w:tcPr>
          <w:p>
            <w:pPr>
              <w:keepNext/>
              <w:pStyle w:val="Compact"/>
              <w:jc w:val="right"/>
            </w:pPr>
            <w:r>
              <w:t xml:space="preserve">0.70</w:t>
            </w:r>
          </w:p>
        </w:tc>
      </w:tr>
      <w:tr>
        <w:trPr>
          <w:cantSplit/>
        </w:trPr>
        <w:tc>
          <w:tcPr>
            <w:tcW w:type="dxa" w:w="2511"/>
          </w:tcPr>
          <w:p>
            <w:pPr>
              <w:keepNext/>
              <w:pStyle w:val="Compact"/>
              <w:jc w:val="left"/>
            </w:pPr>
            <w:r>
              <w:t xml:space="preserve">Haunched, calibration A</w:t>
            </w:r>
          </w:p>
        </w:tc>
        <w:tc>
          <w:tcPr>
            <w:tcW w:type="dxa" w:w="1883"/>
          </w:tcPr>
          <w:p>
            <w:pPr>
              <w:keepNext/>
              <w:pStyle w:val="Compact"/>
              <w:jc w:val="right"/>
            </w:pPr>
            <w:r>
              <w:t xml:space="preserve">0.181</w:t>
            </w:r>
          </w:p>
        </w:tc>
        <w:tc>
          <w:tcPr>
            <w:tcW w:type="dxa" w:w="1744"/>
          </w:tcPr>
          <w:p>
            <w:pPr>
              <w:keepNext/>
              <w:pStyle w:val="Compact"/>
              <w:jc w:val="right"/>
            </w:pPr>
            <w:r>
              <w:t xml:space="preserve">0.209</w:t>
            </w:r>
          </w:p>
        </w:tc>
        <w:tc>
          <w:tcPr>
            <w:tcW w:type="dxa" w:w="1465"/>
          </w:tcPr>
          <w:p>
            <w:pPr>
              <w:keepNext/>
              <w:pStyle w:val="Compact"/>
              <w:jc w:val="right"/>
            </w:pPr>
            <w:r>
              <w:t xml:space="preserve">0.18</w:t>
            </w:r>
          </w:p>
        </w:tc>
        <w:tc>
          <w:tcPr>
            <w:tcW w:type="dxa" w:w="1465"/>
          </w:tcPr>
          <w:p>
            <w:pPr>
              <w:keepNext/>
              <w:pStyle w:val="Compact"/>
              <w:jc w:val="right"/>
            </w:pPr>
            <w:r>
              <w:t xml:space="preserve">0.59</w:t>
            </w:r>
          </w:p>
        </w:tc>
      </w:tr>
      <w:tr>
        <w:trPr>
          <w:cantSplit/>
        </w:trPr>
        <w:tc>
          <w:tcPr>
            <w:tcW w:type="dxa" w:w="2511"/>
          </w:tcPr>
          <w:p>
            <w:pPr>
              <w:keepNext/>
              <w:pStyle w:val="Compact"/>
              <w:jc w:val="left"/>
            </w:pPr>
            <w:r>
              <w:t xml:space="preserve">Haunched, calibration B</w:t>
            </w:r>
          </w:p>
        </w:tc>
        <w:tc>
          <w:tcPr>
            <w:tcW w:type="dxa" w:w="1883"/>
          </w:tcPr>
          <w:p>
            <w:pPr>
              <w:keepNext/>
              <w:pStyle w:val="Compact"/>
              <w:jc w:val="right"/>
            </w:pPr>
            <w:r>
              <w:t xml:space="preserve">0.476ᵃ</w:t>
            </w:r>
          </w:p>
        </w:tc>
        <w:tc>
          <w:tcPr>
            <w:tcW w:type="dxa" w:w="1744"/>
          </w:tcPr>
          <w:p>
            <w:pPr>
              <w:keepNext/>
              <w:pStyle w:val="Compact"/>
              <w:jc w:val="right"/>
            </w:pPr>
            <w:r>
              <w:t xml:space="preserve">0.234</w:t>
            </w:r>
          </w:p>
        </w:tc>
        <w:tc>
          <w:tcPr>
            <w:tcW w:type="dxa" w:w="1465"/>
          </w:tcPr>
          <w:p>
            <w:pPr>
              <w:keepNext/>
              <w:pStyle w:val="Compact"/>
              <w:jc w:val="right"/>
            </w:pPr>
            <w:r>
              <w:t xml:space="preserve">0.56</w:t>
            </w:r>
          </w:p>
        </w:tc>
        <w:tc>
          <w:tcPr>
            <w:tcW w:type="dxa" w:w="1465"/>
          </w:tcPr>
          <w:p>
            <w:pPr>
              <w:keepNext/>
              <w:pStyle w:val="Compact"/>
              <w:jc w:val="right"/>
            </w:pPr>
            <w:r>
              <w:t xml:space="preserve">0.77</w:t>
            </w:r>
          </w:p>
        </w:tc>
      </w:tr>
      <w:tr>
        <w:trPr>
          <w:cantSplit/>
        </w:trPr>
        <w:tc>
          <w:tcPr>
            <w:tcW w:type="dxa" w:w="2511"/>
          </w:tcPr>
          <w:p>
            <w:pPr>
              <w:keepNext/>
              <w:pStyle w:val="Compact"/>
              <w:jc w:val="left"/>
            </w:pPr>
            <w:r>
              <w:t xml:space="preserve">Haunched, admissible set</w:t>
            </w:r>
          </w:p>
        </w:tc>
        <w:tc>
          <w:tcPr>
            <w:tcW w:type="dxa" w:w="1883"/>
          </w:tcPr>
          <w:p>
            <w:pPr>
              <w:keepNext/>
              <w:pStyle w:val="Compact"/>
              <w:jc w:val="right"/>
            </w:pPr>
            <w:r>
              <w:t xml:space="preserve">0.124–0.822ᵇ</w:t>
            </w:r>
          </w:p>
        </w:tc>
        <w:tc>
          <w:tcPr>
            <w:tcW w:type="dxa" w:w="1744"/>
          </w:tcPr>
          <w:p>
            <w:pPr>
              <w:keepNext/>
              <w:pStyle w:val="Compact"/>
              <w:jc w:val="right"/>
            </w:pPr>
            <w:r>
              <w:t xml:space="preserve">0.190–0.286</w:t>
            </w:r>
          </w:p>
        </w:tc>
        <w:tc>
          <w:tcPr>
            <w:tcW w:type="dxa" w:w="1465"/>
          </w:tcPr>
          <w:p>
            <w:pPr>
              <w:keepNext/>
              <w:pStyle w:val="Compact"/>
              <w:jc w:val="right"/>
            </w:pPr>
            <w:r>
              <w:t xml:space="preserve">0.13–1.00</w:t>
            </w:r>
          </w:p>
        </w:tc>
        <w:tc>
          <w:tcPr>
            <w:tcW w:type="dxa" w:w="1465"/>
          </w:tcPr>
          <w:p>
            <w:pPr>
              <w:keepNext/>
              <w:pStyle w:val="Compact"/>
              <w:jc w:val="right"/>
            </w:pPr>
            <w:r>
              <w:t xml:space="preserve">0.56–1.00</w:t>
            </w:r>
          </w:p>
        </w:tc>
      </w:tr>
      <w:tr>
        <w:trPr>
          <w:cantSplit/>
        </w:trPr>
        <w:tc>
          <w:tcPr>
            <w:tcW w:type="dxa" w:w="2511"/>
          </w:tcPr>
          <w:p>
            <w:pPr>
              <w:keepNext/>
              <w:pStyle w:val="Compact"/>
              <w:jc w:val="left"/>
            </w:pPr>
            <w:r>
              <w:t xml:space="preserve">Haunched, admissible set with prior</w:t>
            </w:r>
            <w:r>
              <w:t xml:space="preserve"> </w:t>
            </w:r>
            <m:oMath>
              <m:r>
                <m:t>α</m:t>
              </m:r>
            </m:oMath>
            <w:r>
              <w:t xml:space="preserve"> </w:t>
            </w:r>
            <w:r>
              <w:t xml:space="preserve">= 0.9–1.3</w:t>
            </w:r>
          </w:p>
        </w:tc>
        <w:tc>
          <w:tcPr>
            <w:tcW w:type="dxa" w:w="1883"/>
          </w:tcPr>
          <w:p>
            <w:pPr>
              <w:keepNext/>
              <w:pStyle w:val="Compact"/>
              <w:jc w:val="right"/>
            </w:pPr>
            <w:r>
              <w:t xml:space="preserve">0.124–0.297</w:t>
            </w:r>
          </w:p>
        </w:tc>
        <w:tc>
          <w:tcPr>
            <w:tcW w:type="dxa" w:w="1744"/>
          </w:tcPr>
          <w:p>
            <w:pPr>
              <w:keepNext/>
              <w:pStyle w:val="Compact"/>
              <w:jc w:val="right"/>
            </w:pPr>
            <w:r>
              <w:t xml:space="preserve">0.190–0.211</w:t>
            </w:r>
          </w:p>
        </w:tc>
        <w:tc>
          <w:tcPr>
            <w:tcW w:type="dxa" w:w="1465"/>
          </w:tcPr>
          <w:p>
            <w:pPr>
              <w:keepNext/>
              <w:pStyle w:val="Compact"/>
              <w:jc w:val="right"/>
            </w:pPr>
            <w:r>
              <w:t xml:space="preserve">0.13–0.34</w:t>
            </w:r>
          </w:p>
        </w:tc>
        <w:tc>
          <w:tcPr>
            <w:tcW w:type="dxa" w:w="1465"/>
          </w:tcPr>
          <w:p>
            <w:pPr>
              <w:keepNext/>
              <w:pStyle w:val="Compact"/>
              <w:jc w:val="right"/>
            </w:pPr>
            <w:r>
              <w:t xml:space="preserve">0.56–0.66</w:t>
            </w:r>
          </w:p>
        </w:tc>
      </w:tr>
      <w:tr>
        <w:trPr>
          <w:cantSplit/>
        </w:trPr>
        <w:tc>
          <w:tcPr>
            <w:tcW w:type="dxa" w:w="2511"/>
          </w:tcPr>
          <w:p>
            <w:pPr>
              <w:keepNext/>
              <w:pStyle w:val="Compact"/>
              <w:jc w:val="left"/>
            </w:pPr>
            <w:r>
              <w:t xml:space="preserve">Haunched, pinned piers</w:t>
            </w:r>
          </w:p>
        </w:tc>
        <w:tc>
          <w:tcPr>
            <w:tcW w:type="dxa" w:w="1883"/>
          </w:tcPr>
          <w:p>
            <w:pPr>
              <w:keepNext/>
              <w:pStyle w:val="Compact"/>
              <w:jc w:val="right"/>
            </w:pPr>
            <w:r>
              <w:t xml:space="preserve">0.030</w:t>
            </w:r>
          </w:p>
        </w:tc>
        <w:tc>
          <w:tcPr>
            <w:tcW w:type="dxa" w:w="1744"/>
          </w:tcPr>
          <w:p>
            <w:pPr>
              <w:keepNext/>
              <w:pStyle w:val="Compact"/>
              <w:jc w:val="right"/>
            </w:pPr>
            <w:r>
              <w:t xml:space="preserve">0.248</w:t>
            </w:r>
          </w:p>
        </w:tc>
        <w:tc>
          <w:tcPr>
            <w:tcW w:type="dxa" w:w="1465"/>
          </w:tcPr>
          <w:p>
            <w:pPr>
              <w:keepNext/>
              <w:pStyle w:val="Compact"/>
              <w:jc w:val="right"/>
            </w:pPr>
            <w:r>
              <w:t xml:space="preserve">0.02</w:t>
            </w:r>
          </w:p>
        </w:tc>
        <w:tc>
          <w:tcPr>
            <w:tcW w:type="dxa" w:w="1465"/>
          </w:tcPr>
          <w:p>
            <w:pPr>
              <w:keepNext/>
              <w:pStyle w:val="Compact"/>
              <w:jc w:val="right"/>
            </w:pPr>
            <w:r>
              <w:t xml:space="preserve">0.51</w:t>
            </w:r>
          </w:p>
        </w:tc>
      </w:tr>
      <w:tr>
        <w:trPr>
          <w:cantSplit/>
        </w:trPr>
        <w:tc>
          <w:tcPr>
            <w:tcW w:type="dxa" w:w="2511"/>
          </w:tcPr>
          <w:p>
            <w:pPr>
              <w:keepNext/>
              <w:pStyle w:val="Compact"/>
              <w:jc w:val="left"/>
            </w:pPr>
            <w:r>
              <w:t xml:space="preserve">Haunched, fixed piers</w:t>
            </w:r>
          </w:p>
        </w:tc>
        <w:tc>
          <w:tcPr>
            <w:tcW w:type="dxa" w:w="1883"/>
          </w:tcPr>
          <w:p>
            <w:pPr>
              <w:keepNext/>
              <w:pStyle w:val="Compact"/>
              <w:jc w:val="right"/>
            </w:pPr>
            <w:r>
              <w:t xml:space="preserve">0.422</w:t>
            </w:r>
          </w:p>
        </w:tc>
        <w:tc>
          <w:tcPr>
            <w:tcW w:type="dxa" w:w="1744"/>
          </w:tcPr>
          <w:p>
            <w:pPr>
              <w:keepNext/>
              <w:pStyle w:val="Compact"/>
              <w:jc w:val="right"/>
            </w:pPr>
            <w:r>
              <w:t xml:space="preserve">0.147</w:t>
            </w:r>
          </w:p>
        </w:tc>
        <w:tc>
          <w:tcPr>
            <w:tcW w:type="dxa" w:w="1465"/>
          </w:tcPr>
          <w:p>
            <w:pPr>
              <w:keepNext/>
              <w:pStyle w:val="Compact"/>
              <w:jc w:val="right"/>
            </w:pPr>
            <w:r>
              <w:t xml:space="preserve">1.00</w:t>
            </w:r>
          </w:p>
        </w:tc>
        <w:tc>
          <w:tcPr>
            <w:tcW w:type="dxa" w:w="1465"/>
          </w:tcPr>
          <w:p>
            <w:pPr>
              <w:keepNext/>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(200 m plus a 20 m convoy allowance)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Single-point influence-area weighing on this 200 m unit is therefore marginal even at the best location. Non-contact techniques, such as terrestrial laser scanning of bridge deflection (Vu et al., 2023),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The treatment is one-dimensional along each lane.</w:t>
      </w:r>
    </w:p>
    <w:bookmarkEnd w:id="58"/>
    <w:bookmarkStart w:id="59" w:name="conclusions"/>
    <w:p>
      <w:pPr>
        <w:pStyle w:val="Heading2"/>
      </w:pPr>
      <w:r>
        <w:t xml:space="preserve">7. Conclusions</w:t>
      </w:r>
    </w:p>
    <w:p>
      <w:pPr>
        <w:pStyle w:val="FirstParagraph"/>
      </w:pPr>
      <w:r>
        <w:t xml:space="preserve">The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at 0.19–0.32 of the span from the interior support on two equal spans. On prismatic girders, deflection channels are blind only near particular span ratios, such as</w:t>
      </w:r>
      <w:r>
        <w:t xml:space="preserve"> </w:t>
      </w:r>
      <m:oMath>
        <m:r>
          <m:t>λ</m:t>
        </m:r>
        <m:r>
          <m:rPr>
            <m:sty m:val="p"/>
          </m:rPr>
          <m:t>=</m:t>
        </m:r>
        <m:d>
          <m:dPr>
            <m:begChr m:val="("/>
            <m:end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the design value;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12 % (day 1) to 27 % (day 2)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same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s"/>
    <w:p>
      <w:pPr>
        <w:pStyle w:val="Heading3"/>
      </w:pPr>
      <w:r>
        <w:t xml:space="preserve">Declaration of conflicting interests</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and the processed Mây Bridge data are in the Supplementary Material; these data, the scripts with their logs and the derived data (CSV and NumPy files) are archived on Zenodo (https://doi.org/10.5281/zenodo.23535533);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w:t>
      </w:r>
      <w:r>
        <w:t xml:space="preserve"> </w:t>
      </w:r>
      <w:r>
        <w:rPr>
          <w:iCs/>
          <w:i/>
        </w:rPr>
        <w:t xml:space="preserve">LTBP Program’s Literature Review on Weigh-in-Motion Systems</w:t>
      </w:r>
      <w:r>
        <w:t xml:space="preserve">.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w:t>
      </w:r>
      <w:r>
        <w:t xml:space="preserve"> </w:t>
      </w:r>
      <w:r>
        <w:rPr>
          <w:iCs/>
          <w:i/>
        </w:rPr>
        <w:t xml:space="preserve">EN 1991-2:2003, Eurocode 1: Actions on Structures – Part 2: Traffic Loads on Bridges</w:t>
      </w:r>
      <w:r>
        <w:t xml:space="preserve">.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Dang NTV, Ho DD and Ha MT (2023) [Diagnosis of stiffness reduction in beam structures using displacement influence line data].</w:t>
      </w:r>
      <w:r>
        <w:t xml:space="preserve"> </w:t>
      </w:r>
      <w:r>
        <w:rPr>
          <w:iCs/>
          <w:i/>
        </w:rPr>
        <w:t xml:space="preserve">Journal of Science and Technology in Civil Engineering (HUCE)</w:t>
      </w:r>
      <w:r>
        <w:t xml:space="preserve"> </w:t>
      </w:r>
      <w:r>
        <w:t xml:space="preserve">17(3V): 47–65 (in Vietnamese). DOI: 10.31814/stce.huce2023-17(3V)-04.</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w:t>
      </w:r>
      <w:r>
        <w:t xml:space="preserve"> </w:t>
      </w:r>
      <w:r>
        <w:rPr>
          <w:iCs/>
          <w:i/>
        </w:rPr>
        <w:t xml:space="preserve">Integration of Traffic and Structural Health Monitoring Systems Using a Novel Nothing-On-Road (NOR) Bridge-Weigh-In-Motion (BWIM) System</w:t>
      </w:r>
      <w:r>
        <w:t xml:space="preserve">. PhD dissertation, Virginia Polytechnic Institute and State University, Blacksburg, VA. http://hdl.handle.net/10919/111390.</w:t>
      </w:r>
    </w:p>
    <w:p>
      <w:pPr>
        <w:pStyle w:val="BodyText"/>
        <w:ind w:left="425" w:hanging="425"/>
        <w:jc w:val="left"/>
      </w:pPr>
      <w:r>
        <w:t xml:space="preserve">Moghadam A and Sarlo R (2024)</w:t>
      </w:r>
      <w:r>
        <w:t xml:space="preserve"> </w:t>
      </w:r>
      <w:r>
        <w:rPr>
          <w:iCs/>
          <w:i/>
        </w:rPr>
        <w:t xml:space="preserve">Nothing-on-Road Bridge-Weigh-In-Motion (NOR-BWIM) Dataset</w:t>
      </w:r>
      <w:r>
        <w:t xml:space="preserve">,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Vu DC, Luong ND, Cu VH, Vu NQ and Bui NS (2023) Study on the application of TLS for bridge deflection inspection in Vietnam.</w:t>
      </w:r>
      <w:r>
        <w:t xml:space="preserve"> </w:t>
      </w:r>
      <w:r>
        <w:rPr>
          <w:iCs/>
          <w:i/>
        </w:rPr>
        <w:t xml:space="preserve">Journal of Science and Technology in Civil Engineering (HUCE)</w:t>
      </w:r>
      <w:r>
        <w:t xml:space="preserve"> </w:t>
      </w:r>
      <w:r>
        <w:t xml:space="preserve">17(4): 14–25. DOI: 10.31814/stce.huce2023-17(4)-02.</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SI,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JH, Wang C, Qi TY and Zhou ZS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2026-10-21T15:09:25Z</dcterms:created>
  <dcterms:modified xsi:type="dcterms:W3CDTF">2026-10-21T15:09:25Z</dcterms:modified>
</cp:coreProperties>
</file>

<file path=docProps/custom.xml><?xml version="1.0" encoding="utf-8"?>
<Properties xmlns="http://schemas.openxmlformats.org/officeDocument/2006/custom-properties" xmlns:vt="http://schemas.openxmlformats.org/officeDocument/2006/docPropsVTypes"/>
</file>