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spots and sensor placement for influence-area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bridge weigh-in-motion divides the area under a response record by an integral constant. On continuous girders this constant can vanish, because influence lines change sign, and a gauge there cannot weigh. The paper gives three main results. First, closed forms locate these blind points for five channel types: strain gauges measuring global bending are blind at every zero of the uniform-load moment and nearly blind 0.19–0.32 of the span from the interior support on two equal spans, whereas deflection gauges are blind only for particular span ratios. Second, for position-independent noise, the best sensor locations are the extremes of the uniform-load response; on one day of public records, weighting gauges by vehicle-free noise covariance raised the error 8.5 percentage points above the gauge average. Third, for symmetric girders with equal piers the constant is linear-fractional in pier stiffness; on an in-service box girder, two static readings leave the side-span deflection constant of the base model uncertain by a factor of 6.6 against 1.5 at mid main span (2.4 against 1.1 with girder rigidity bounded to 0.9–1.3 times design). On this girder, a single deflection gauge belongs at mid main span.</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or for the presence and location of stiffness loss in a beam (Dang et al., 2023), and influence lines have been used to estimate the boundary spring stiffness of a suspension-bridge girder (Lin et al., 2023). Strain-history areas along continuous girders have served damage identification (Hong et al., 2016; Wu et al., 2018), and BWIM has been applied to a two-span continuous bridge (Yamaguchi et al., 2009). Single-channel SLM assumes that the integral constant is well away from zero and independent of the boundary conditions, yet none of these studies reads the zeros of the integral constant as blind loci for weighing, or shows how they shift with uncertain boundary conditions. Such criteria are needed to choose, before installation, the few channels that screen continuous bridges for overloads.</w:t>
      </w:r>
    </w:p>
    <w:p>
      <w:pPr>
        <w:pStyle w:val="BodyText"/>
      </w:pPr>
      <w:r>
        <w:t xml:space="preserve">This paper supplies such criteria. Neither the influence-area identity nor the generalized least-squares (GLS) estimator is new; the contribution is a set of design criteria built on them, not a new weighing algorithm. (i) Where a gauge is blind: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Where to place sensors: extreme-point optimal design (Elfving, 1952; Pukelsheim, 2006) gives a closed-form placement rule for the gross weight, with optimal sensors at the extremes of the uniform-load response for position-independent noise, whereas Zhou et al. (2025) optimized sensors numerically for axle-force histories. The rule itself is not tested in the field; on one day of public records, GLS weights from vehicle-free noise did worse than the gauge average (Section 4.3). (iii) How pier stiffness moves the constant: for a symmetric girder with equal piers, the constant follows a linear-fractional (Möbius) law, a consequence of the Sherman–Morrison formula (Sherman and Morrison, 1950); on an in-service box girder, two static readings leave a side-span deflection constant several times more uncertain than the main-span constant (Section 5.2). The laboratory test checks the identity, the public records check its assumptions and noise model (not weighing accuracy), and the in-service girder illustrates the limits of identifiability. The blind loci are verified analytically and by finite element (FE) evaluation, not experimentally, and the blind configuration of the laboratory beam (spans of 2500 mm and 3644 mm) was not tested.</w:t>
      </w:r>
    </w:p>
    <w:p>
      <w:pPr>
        <w:pStyle w:val="BodyT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pStyle w:val="Compact"/>
              <w:jc w:val="left"/>
            </w:pPr>
            <w:r>
              <w:t xml:space="preserve">Symbol</w:t>
            </w:r>
          </w:p>
        </w:tc>
        <w:tc>
          <w:tcPr>
            <w:tcW w:type="dxa" w:w="3051"/>
            <w:tcBorders>
              <w:top w:val="nil"/>
              <w:left w:val="nil"/>
              <w:bottom w:val="single" w:sz="6" w:space="0" w:color="000000"/>
              <w:right w:val="nil"/>
            </w:tcBorders>
          </w:tcPr>
          <w:p>
            <w:pPr>
              <w:pStyle w:val="Compact"/>
              <w:jc w:val="left"/>
            </w:pPr>
            <w:r>
              <w:t xml:space="preserve">Meaning</w:t>
            </w:r>
          </w:p>
        </w:tc>
        <w:tc>
          <w:tcPr>
            <w:tcW w:type="dxa" w:w="1271"/>
            <w:tcBorders>
              <w:top w:val="nil"/>
              <w:left w:val="nil"/>
              <w:bottom w:val="single" w:sz="6" w:space="0" w:color="000000"/>
              <w:right w:val="nil"/>
            </w:tcBorders>
          </w:tcPr>
          <w:p>
            <w:pPr>
              <w:pStyle w:val="Compact"/>
              <w:jc w:val="left"/>
            </w:pPr>
            <w:r>
              <w:t xml:space="preserve">Symbol</w:t>
            </w:r>
          </w:p>
        </w:tc>
        <w:tc>
          <w:tcPr>
            <w:tcW w:type="dxa" w:w="3475"/>
            <w:tcBorders>
              <w:top w:val="nil"/>
              <w:left w:val="nil"/>
              <w:bottom w:val="single" w:sz="6" w:space="0" w:color="000000"/>
              <w:right w:val="nil"/>
            </w:tcBorders>
          </w:tcPr>
          <w:p>
            <w:pPr>
              <w:pStyle w:val="Compact"/>
              <w:jc w:val="left"/>
            </w:pPr>
            <w:r>
              <w:t xml:space="preserve">Meaning</w:t>
            </w:r>
          </w:p>
        </w:tc>
      </w:tr>
      <w:tr>
        <w:trPr>
          <w:cantSplit/>
        </w:trPr>
        <w:tc>
          <w:tcPr>
            <w:tcW w:type="dxa" w:w="1271"/>
          </w:tcPr>
          <w:p>
            <w:pPr>
              <w:pStyle w:val="Compact"/>
              <w:jc w:val="left"/>
            </w:pPr>
            <m:oMath>
              <m:r>
                <m:t>C</m:t>
              </m:r>
            </m:oMath>
          </w:p>
        </w:tc>
        <w:tc>
          <w:tcPr>
            <w:tcW w:type="dxa" w:w="3051"/>
          </w:tcPr>
          <w:p>
            <w:pPr>
              <w:pStyle w:val="Compact"/>
              <w:jc w:val="left"/>
            </w:pPr>
            <w:r>
              <w:t xml:space="preserve">integral constant of a channel, Eq. (2)</w:t>
            </w:r>
          </w:p>
        </w:tc>
        <w:tc>
          <w:tcPr>
            <w:tcW w:type="dxa" w:w="1271"/>
          </w:tcPr>
          <w:p>
            <w:pPr>
              <w:pStyle w:val="Compact"/>
              <w:jc w:val="left"/>
            </w:pPr>
            <m:oMath>
              <m:r>
                <m:t>γ</m:t>
              </m:r>
            </m:oMath>
          </w:p>
        </w:tc>
        <w:tc>
          <w:tcPr>
            <w:tcW w:type="dxa" w:w="3475"/>
          </w:tcPr>
          <w:p>
            <w:pPr>
              <w:pStyle w:val="Compact"/>
              <w:jc w:val="left"/>
            </w:pPr>
            <w:r>
              <w:t xml:space="preserve">rigidity ratio of adjacent spans</w:t>
            </w:r>
          </w:p>
        </w:tc>
      </w:tr>
      <w:tr>
        <w:trPr>
          <w:cantSplit/>
        </w:trPr>
        <w:tc>
          <w:tcPr>
            <w:tcW w:type="dxa" w:w="1271"/>
          </w:tcPr>
          <w:p>
            <w:pPr>
              <w:pStyle w:val="Compact"/>
              <w:jc w:val="left"/>
            </w:pPr>
            <m:oMath>
              <m:sSub>
                <m:e>
                  <m:r>
                    <m:t>N</m:t>
                  </m:r>
                </m:e>
                <m:sub>
                  <m:r>
                    <m:t>w</m:t>
                  </m:r>
                </m:sub>
              </m:sSub>
            </m:oMath>
          </w:p>
        </w:tc>
        <w:tc>
          <w:tcPr>
            <w:tcW w:type="dxa" w:w="3051"/>
          </w:tcPr>
          <w:p>
            <w:pPr>
              <w:pStyle w:val="Compact"/>
              <w:jc w:val="left"/>
            </w:pPr>
            <w:r>
              <w:t xml:space="preserve">deflection indicator, Eq. (8)</w:t>
            </w:r>
          </w:p>
        </w:tc>
        <w:tc>
          <w:tcPr>
            <w:tcW w:type="dxa" w:w="1271"/>
          </w:tcPr>
          <w:p>
            <w:pPr>
              <w:pStyle w:val="Compact"/>
              <w:jc w:val="left"/>
            </w:pPr>
            <m:oMath>
              <m:r>
                <m:t>κ</m:t>
              </m:r>
            </m:oMath>
          </w:p>
        </w:tc>
        <w:tc>
          <w:tcPr>
            <w:tcW w:type="dxa" w:w="3475"/>
          </w:tcPr>
          <w:p>
            <w:pPr>
              <w:pStyle w:val="Compact"/>
              <w:jc w:val="left"/>
            </w:pPr>
            <w:r>
              <w:t xml:space="preserve">scaled pier stiffness</w:t>
            </w:r>
            <w:r>
              <w:t xml:space="preserve"> </w:t>
            </w:r>
            <m:oMath>
              <m:r>
                <m:t>k</m:t>
              </m:r>
              <m:r>
                <m:rPr>
                  <m:sty m:val="p"/>
                </m:rPr>
                <m:t>/</m:t>
              </m:r>
              <m:r>
                <m:t>α</m:t>
              </m:r>
            </m:oMath>
          </w:p>
        </w:tc>
      </w:tr>
      <w:tr>
        <w:trPr>
          <w:cantSplit/>
        </w:trPr>
        <w:tc>
          <w:tcPr>
            <w:tcW w:type="dxa" w:w="1271"/>
          </w:tcPr>
          <w:p>
            <w:pPr>
              <w:pStyle w:val="Compact"/>
              <w:jc w:val="left"/>
            </w:pPr>
            <m:oMath>
              <m:sSub>
                <m:e>
                  <m:r>
                    <m:t>N</m:t>
                  </m:r>
                </m:e>
                <m:sub>
                  <m:r>
                    <m:t>M</m:t>
                  </m:r>
                </m:sub>
              </m:sSub>
            </m:oMath>
          </w:p>
        </w:tc>
        <w:tc>
          <w:tcPr>
            <w:tcW w:type="dxa" w:w="3051"/>
          </w:tcPr>
          <w:p>
            <w:pPr>
              <w:pStyle w:val="Compact"/>
              <w:jc w:val="left"/>
            </w:pPr>
            <w:r>
              <w:t xml:space="preserve">strain (moment) indicator, Eq. (7)</w:t>
            </w:r>
          </w:p>
        </w:tc>
        <w:tc>
          <w:tcPr>
            <w:tcW w:type="dxa" w:w="1271"/>
          </w:tcPr>
          <w:p>
            <w:pPr>
              <w:pStyle w:val="Compact"/>
              <w:jc w:val="left"/>
            </w:pPr>
            <m:oMath>
              <m:r>
                <m:t>α</m:t>
              </m:r>
            </m:oMath>
          </w:p>
        </w:tc>
        <w:tc>
          <w:tcPr>
            <w:tcW w:type="dxa" w:w="3475"/>
          </w:tcPr>
          <w:p>
            <w:pPr>
              <w:pStyle w:val="Compact"/>
              <w:jc w:val="left"/>
            </w:pPr>
            <w:r>
              <w:t xml:space="preserve">effective-to-design girder rigidity</w:t>
            </w:r>
          </w:p>
        </w:tc>
      </w:tr>
      <w:tr>
        <w:trPr>
          <w:cantSplit/>
        </w:trPr>
        <w:tc>
          <w:tcPr>
            <w:tcW w:type="dxa" w:w="1271"/>
          </w:tcPr>
          <w:p>
            <w:pPr>
              <w:pStyle w:val="Compact"/>
              <w:jc w:val="left"/>
            </w:pPr>
            <m:oMath>
              <m:r>
                <m:t>R</m:t>
              </m:r>
            </m:oMath>
          </w:p>
        </w:tc>
        <w:tc>
          <w:tcPr>
            <w:tcW w:type="dxa" w:w="3051"/>
          </w:tcPr>
          <w:p>
            <w:pPr>
              <w:pStyle w:val="Compact"/>
              <w:jc w:val="left"/>
            </w:pPr>
            <w:r>
              <w:t xml:space="preserve">cancellation ratio, Eq. (9)</w:t>
            </w:r>
          </w:p>
        </w:tc>
        <w:tc>
          <w:tcPr>
            <w:tcW w:type="dxa" w:w="1271"/>
          </w:tcPr>
          <w:p>
            <w:pPr>
              <w:pStyle w:val="Compact"/>
              <w:jc w:val="left"/>
            </w:pPr>
            <m:oMath>
              <m:r>
                <m:t>k</m:t>
              </m:r>
            </m:oMath>
          </w:p>
        </w:tc>
        <w:tc>
          <w:tcPr>
            <w:tcW w:type="dxa" w:w="3475"/>
          </w:tcPr>
          <w:p>
            <w:pPr>
              <w:pStyle w:val="Compact"/>
              <w:jc w:val="left"/>
            </w:pPr>
            <w:r>
              <w:t xml:space="preserve">rotational stiffness of a monolithic pier</w:t>
            </w:r>
          </w:p>
        </w:tc>
      </w:tr>
      <w:tr>
        <w:trPr>
          <w:cantSplit/>
        </w:trPr>
        <w:tc>
          <w:tcPr>
            <w:tcW w:type="dxa" w:w="1271"/>
          </w:tcPr>
          <w:p>
            <w:pPr>
              <w:pStyle w:val="Compact"/>
              <w:jc w:val="left"/>
            </w:pPr>
            <m:oMath>
              <m:r>
                <m:t>μ</m:t>
              </m:r>
            </m:oMath>
          </w:p>
        </w:tc>
        <w:tc>
          <w:tcPr>
            <w:tcW w:type="dxa" w:w="3051"/>
          </w:tcPr>
          <w:p>
            <w:pPr>
              <w:pStyle w:val="Compact"/>
              <w:jc w:val="left"/>
            </w:pPr>
            <w:r>
              <w:t xml:space="preserve">interior-moment parameter, Eq. (4)</w:t>
            </w:r>
          </w:p>
        </w:tc>
        <w:tc>
          <w:tcPr>
            <w:tcW w:type="dxa" w:w="1271"/>
          </w:tcPr>
          <w:p>
            <w:pPr>
              <w:pStyle w:val="Compact"/>
              <w:jc w:val="left"/>
            </w:pPr>
            <m:oMath>
              <m:r>
                <m:t>τ</m:t>
              </m:r>
            </m:oMath>
          </w:p>
        </w:tc>
        <w:tc>
          <w:tcPr>
            <w:tcW w:type="dxa" w:w="3475"/>
          </w:tcPr>
          <w:p>
            <w:pPr>
              <w:pStyle w:val="Compact"/>
              <w:jc w:val="left"/>
            </w:pPr>
            <w:r>
              <w:t xml:space="preserve">tolerance on the static misfit of a gauge</w:t>
            </w:r>
          </w:p>
        </w:tc>
      </w:tr>
      <w:tr>
        <w:trPr>
          <w:cantSplit/>
        </w:trPr>
        <w:tc>
          <w:tcPr>
            <w:tcW w:type="dxa" w:w="1271"/>
          </w:tcPr>
          <w:p>
            <w:pPr>
              <w:pStyle w:val="Compact"/>
              <w:jc w:val="left"/>
            </w:pPr>
            <m:oMath>
              <m:r>
                <m:t>λ</m:t>
              </m:r>
            </m:oMath>
          </w:p>
        </w:tc>
        <w:tc>
          <w:tcPr>
            <w:tcW w:type="dxa" w:w="3051"/>
          </w:tcPr>
          <w:p>
            <w:pPr>
              <w:pStyle w:val="Compact"/>
              <w:jc w:val="left"/>
            </w:pPr>
            <w:r>
              <w:t xml:space="preserve">span ratio, two spans</w:t>
            </w:r>
          </w:p>
        </w:tc>
        <w:tc>
          <w:tcPr>
            <w:tcW w:type="dxa" w:w="1271"/>
          </w:tcPr>
          <w:p>
            <w:pPr>
              <w:pStyle w:val="Compact"/>
              <w:jc w:val="left"/>
            </w:pPr>
            <m:oMath>
              <m:sSub>
                <m:e>
                  <m:r>
                    <m:t>B</m:t>
                  </m:r>
                </m:e>
                <m:sub>
                  <m:r>
                    <m:t>m</m:t>
                  </m:r>
                </m:sub>
              </m:sSub>
            </m:oMath>
          </w:p>
        </w:tc>
        <w:tc>
          <w:tcPr>
            <w:tcW w:type="dxa" w:w="3475"/>
          </w:tcPr>
          <w:p>
            <w:pPr>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nor/>
                          </m:rPr>
                          <m:t>max</m:t>
                        </m:r>
                      </m:sub>
                    </m:sSub>
                  </m:sup>
                  <m:e>
                    <m:sSub>
                      <m:e>
                        <m:r>
                          <m:t>y</m:t>
                        </m:r>
                      </m:e>
                      <m:sub>
                        <m:r>
                          <m:t>m</m:t>
                        </m:r>
                      </m:sub>
                    </m:sSub>
                  </m:e>
                </m:nary>
                <m:r>
                  <m:t> </m:t>
                </m:r>
                <m:r>
                  <m:rPr>
                    <m:sty m:val="p"/>
                  </m:rPr>
                  <m:t>d</m:t>
                </m:r>
                <m:r>
                  <m:t>x</m:t>
                </m:r>
                <m:r>
                  <m:rPr>
                    <m:sty m:val="p"/>
                  </m:rPr>
                  <m:t>=</m:t>
                </m:r>
                <m:sSub>
                  <m:e>
                    <m:r>
                      <m:t>P</m:t>
                    </m:r>
                  </m:e>
                  <m:sub>
                    <m:r>
                      <m:rPr>
                        <m:sty m:val="p"/>
                        <m:nor/>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nor/>
              </m:rPr>
              <m:t>max</m:t>
            </m:r>
          </m:sub>
        </m:sSub>
      </m:oMath>
      <w:r>
        <w:t xml:space="preserve"> </w:t>
      </w:r>
      <w:r>
        <w:t xml:space="preserve">is the largest axle offset,</w:t>
      </w:r>
      <w:r>
        <w:t xml:space="preserve"> </w:t>
      </w:r>
      <m:oMath>
        <m:sSub>
          <m:e>
            <m:r>
              <m:t>P</m:t>
            </m:r>
          </m:e>
          <m:sub>
            <m:r>
              <m:rPr>
                <m:sty m:val="p"/>
                <m:nor/>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nor/>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A channel is blind where its constant</w:t>
      </w:r>
      <w:r>
        <w:t xml:space="preserve"> </w:t>
      </w:r>
      <m:oMath>
        <m:r>
          <m:t>C</m:t>
        </m:r>
      </m:oMath>
      <w:r>
        <w:t xml:space="preserve"> </w:t>
      </w:r>
      <w:r>
        <w:t xml:space="preserve">vanishes and near-blind where its normalized indicator (Section 2.3) is below 0.2 in magnitude. 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nor/>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nor/>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nor/>
              </m:rPr>
              <m:t>main</m:t>
            </m:r>
          </m:sub>
        </m:sSub>
        <m:r>
          <m:rPr>
            <m:sty m:val="p"/>
          </m:rPr>
          <m:t>/</m:t>
        </m:r>
        <m:sSub>
          <m:e>
            <m:r>
              <m:t>L</m:t>
            </m:r>
          </m:e>
          <m:sub>
            <m:r>
              <m:rPr>
                <m:sty m:val="p"/>
                <m:nor/>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7426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7426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nor/>
              </m:rPr>
              <m:t>side</m:t>
            </m:r>
          </m:sub>
        </m:sSub>
      </m:oMath>
      <w:r>
        <w:t xml:space="preserve"> </w:t>
      </w:r>
      <w:r>
        <w:t xml:space="preserve">of rigidity</w:t>
      </w:r>
      <w:r>
        <w:t xml:space="preserve"> </w:t>
      </w:r>
      <m:oMath>
        <m:r>
          <m:t>E</m:t>
        </m:r>
        <m:sSub>
          <m:e>
            <m:r>
              <m:t>I</m:t>
            </m:r>
          </m:e>
          <m:sub>
            <m:r>
              <m:rPr>
                <m:sty m:val="p"/>
                <m:nor/>
              </m:rPr>
              <m:t>side</m:t>
            </m:r>
          </m:sub>
        </m:sSub>
      </m:oMath>
      <w:r>
        <w:t xml:space="preserve">, main span</w:t>
      </w:r>
      <w:r>
        <w:t xml:space="preserve"> </w:t>
      </w:r>
      <m:oMath>
        <m:sSub>
          <m:e>
            <m:r>
              <m:t>L</m:t>
            </m:r>
          </m:e>
          <m:sub>
            <m:r>
              <m:rPr>
                <m:sty m:val="p"/>
                <m:nor/>
              </m:rPr>
              <m:t>main</m:t>
            </m:r>
          </m:sub>
        </m:sSub>
        <m:r>
          <m:rPr>
            <m:sty m:val="p"/>
          </m:rPr>
          <m:t>=</m:t>
        </m:r>
        <m:r>
          <m:t>β</m:t>
        </m:r>
        <m:sSub>
          <m:e>
            <m:r>
              <m:t>L</m:t>
            </m:r>
          </m:e>
          <m:sub>
            <m:r>
              <m:rPr>
                <m:sty m:val="p"/>
                <m:nor/>
              </m:rPr>
              <m:t>side</m:t>
            </m:r>
          </m:sub>
        </m:sSub>
      </m:oMath>
      <w:r>
        <w:t xml:space="preserve"> </w:t>
      </w:r>
      <w:r>
        <w:t xml:space="preserve">of rigidity</w:t>
      </w:r>
      <w:r>
        <w:t xml:space="preserve"> </w:t>
      </w:r>
      <m:oMath>
        <m:r>
          <m:t>E</m:t>
        </m:r>
        <m:sSub>
          <m:e>
            <m:r>
              <m:t>I</m:t>
            </m:r>
          </m:e>
          <m:sub>
            <m:r>
              <m:rPr>
                <m:sty m:val="p"/>
                <m:nor/>
              </m:rPr>
              <m:t>main</m:t>
            </m:r>
          </m:sub>
        </m:sSub>
        <m:r>
          <m:rPr>
            <m:sty m:val="p"/>
          </m:rPr>
          <m:t>=</m:t>
        </m:r>
        <m:r>
          <m:t>γ</m:t>
        </m:r>
        <m:r>
          <m:t>E</m:t>
        </m:r>
        <m:sSub>
          <m:e>
            <m:r>
              <m:t>I</m:t>
            </m:r>
          </m:e>
          <m:sub>
            <m:r>
              <m:rPr>
                <m:sty m:val="p"/>
                <m:nor/>
              </m:rPr>
              <m:t>side</m:t>
            </m:r>
          </m:sub>
        </m:sSub>
      </m:oMath>
      <w:r>
        <w:t xml:space="preserve">, and side-span sensor at</w:t>
      </w:r>
      <w:r>
        <w:t xml:space="preserve"> </w:t>
      </w:r>
      <m:oMath>
        <m:r>
          <m:t>ξ</m:t>
        </m:r>
        <m:sSub>
          <m:e>
            <m:r>
              <m:t>L</m:t>
            </m:r>
          </m:e>
          <m:sub>
            <m:r>
              <m:rPr>
                <m:sty m:val="p"/>
                <m:nor/>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w:t>
      </w:r>
      <w:r>
        <w:t xml:space="preserve">of Eq. (8).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nor/>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In design terms, an end-span deflection gauge is blind only if the interior support moment lies between its value for two equal spans (</w:t>
      </w:r>
      <m:oMath>
        <m:r>
          <m:t>μ</m:t>
        </m:r>
        <m:r>
          <m:rPr>
            <m:sty m:val="p"/>
          </m:rPr>
          <m:t>=</m:t>
        </m:r>
        <m:r>
          <m:t>1</m:t>
        </m:r>
      </m:oMath>
      <w:r>
        <w:t xml:space="preserve">) and twice that value, which needs a longer adjacent span (</w:t>
      </w:r>
      <m:oMath>
        <m:r>
          <m:t>λ</m:t>
        </m:r>
        <m:r>
          <m:rPr>
            <m:sty m:val="p"/>
          </m:rPr>
          <m:t>&gt;</m:t>
        </m:r>
        <m:r>
          <m:t>1</m:t>
        </m:r>
      </m:oMath>
      <w:r>
        <w:t xml:space="preserve">, or</w:t>
      </w:r>
      <w:r>
        <w:t xml:space="preserve"> </w:t>
      </w:r>
      <m:oMath>
        <m:sSup>
          <m:e>
            <m:r>
              <m:t>β</m:t>
            </m:r>
          </m:e>
          <m:sup>
            <m:r>
              <m:t>2</m:t>
            </m:r>
          </m:sup>
        </m:sSup>
        <m:r>
          <m:rPr>
            <m:sty m:val="p"/>
          </m:rPr>
          <m:t>&gt;</m:t>
        </m:r>
        <m:r>
          <m:t>3</m:t>
        </m:r>
        <m:r>
          <m:rPr>
            <m:sty m:val="p"/>
          </m:rPr>
          <m:t>/</m:t>
        </m:r>
        <m:r>
          <m:t>2</m:t>
        </m:r>
      </m:oMath>
      <w:r>
        <w:t xml:space="preserve">); on equal spans it cannot be blind. The main span of a symmetric three-span girder is the exception: with nearly equal spans it has deflection blind points, and with three equal spans</w:t>
      </w:r>
      <w:r>
        <w:t xml:space="preserve"> </w:t>
      </w:r>
      <m:oMath>
        <m:d>
          <m:dPr>
            <m:begChr m:val="|"/>
            <m:endChr m:val="|"/>
            <m:sepChr m:val=""/>
            <m:grow/>
          </m:dPr>
          <m:e>
            <m:sSub>
              <m:e>
                <m:r>
                  <m:t>N</m:t>
                </m:r>
              </m:e>
              <m:sub>
                <m:r>
                  <m:t>w</m:t>
                </m:r>
              </m:sub>
            </m:sSub>
          </m:e>
        </m:d>
        <m:r>
          <m:rPr>
            <m:sty m:val="p"/>
          </m:rPr>
          <m:t>≤</m:t>
        </m:r>
        <m:r>
          <m:t>0.10</m:t>
        </m:r>
      </m:oMath>
      <w:r>
        <w:t xml:space="preserve"> </w:t>
      </w:r>
      <w:r>
        <w:t xml:space="preserve">along the whole main span. Table 1 lists the blind span ratios (Fig. 2); Supplementary Section S2 gives their closed forms, the optimal gauge position and the near-blind bands (Eqs. (S1) and (S2), Tables S2 and S3).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nor/>
              </m:rPr>
              <m:t>*</m:t>
            </m:r>
          </m:sup>
        </m:sSup>
        <m:d>
          <m:dPr>
            <m:begChr m:val="("/>
            <m:endChr m:val=")"/>
            <m:sepChr m:val=""/>
            <m:grow/>
          </m:dPr>
          <m:e>
            <m:r>
              <m:t>β</m:t>
            </m:r>
          </m:e>
        </m:d>
      </m:oMath>
      <w:r>
        <w:t xml:space="preserve"> </w:t>
      </w:r>
      <w:r>
        <w:t xml:space="preserve">of the positive indicator (dashed; the negative one near the pier is larger beyond</w:t>
      </w:r>
      <w:r>
        <w:t xml:space="preserve"> </w:t>
      </w:r>
      <m:oMath>
        <m:r>
          <m:t>β</m:t>
        </m:r>
        <m:r>
          <m:rPr>
            <m:sty m:val="p"/>
          </m:rPr>
          <m:t>=</m:t>
        </m:r>
        <m:r>
          <m:t>1.639</m:t>
        </m:r>
      </m:oMath>
      <w:r>
        <w:t xml:space="preserve">)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 Each indicator is normalized by the span containing the sensor, so the steps of</w:t>
      </w:r>
      <w:r>
        <w:t xml:space="preserve"> </w:t>
      </w:r>
      <m:oMath>
        <m:sSub>
          <m:e>
            <m:r>
              <m:t>N</m:t>
            </m:r>
          </m:e>
          <m:sub>
            <m:r>
              <m:t>w</m:t>
            </m:r>
          </m:sub>
        </m:sSub>
      </m:oMath>
      <w:r>
        <w:t xml:space="preserve">,</w:t>
      </w:r>
      <w:r>
        <w:t xml:space="preserve"> </w:t>
      </w:r>
      <m:oMath>
        <m:sSub>
          <m:e>
            <m:r>
              <m:t>N</m:t>
            </m:r>
          </m:e>
          <m:sub>
            <m:r>
              <m:t>θ</m:t>
            </m:r>
          </m:sub>
        </m:sSub>
      </m:oMath>
      <w:r>
        <w:t xml:space="preserve"> </w:t>
      </w:r>
      <w:r>
        <w:t xml:space="preserve">and</w:t>
      </w:r>
      <w:r>
        <w:t xml:space="preserve"> </w:t>
      </w:r>
      <m:oMath>
        <m:sSub>
          <m:e>
            <m:r>
              <m:t>N</m:t>
            </m:r>
          </m:e>
          <m:sub>
            <m:r>
              <m:t>M</m:t>
            </m:r>
          </m:sub>
        </m:sSub>
      </m:oMath>
      <w:r>
        <w:t xml:space="preserve"> </w:t>
      </w:r>
      <w:r>
        <w:t xml:space="preserve">at the piers are changes of scale; the step of</w:t>
      </w:r>
      <w:r>
        <w:t xml:space="preserve"> </w:t>
      </w:r>
      <m:oMath>
        <m:sSub>
          <m:e>
            <m:r>
              <m:t>N</m:t>
            </m:r>
          </m:e>
          <m:sub>
            <m:r>
              <m:t>V</m:t>
            </m:r>
          </m:sub>
        </m:sSub>
      </m:oMath>
      <w:r>
        <w:t xml:space="preserve"> </w:t>
      </w:r>
      <w:r>
        <w:t xml:space="preserve">is the support reaction.</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nor/>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r>
              <w:t xml:space="preserve">; main span: blind for</w:t>
            </w:r>
            <w:r>
              <w:t xml:space="preserve"> </w:t>
            </w:r>
            <m:oMath>
              <m:r>
                <m:t>0.9647</m:t>
              </m:r>
              <m:r>
                <m:rPr>
                  <m:sty m:val="p"/>
                </m:rPr>
                <m:t>≤</m:t>
              </m:r>
              <m:r>
                <m:t>β</m:t>
              </m:r>
              <m:r>
                <m:rPr>
                  <m:sty m:val="p"/>
                </m:rPr>
                <m:t>&lt;</m:t>
              </m:r>
              <m:r>
                <m:t>1.2247</m:t>
              </m:r>
            </m:oMath>
            <w:r>
              <w:t xml:space="preserve"> </w:t>
            </w:r>
            <w:r>
              <w:t xml:space="preserve">(equal spans: 0.276 from each pier)</w:t>
            </w:r>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nor/>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nor/>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nor/>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 the offset-equivalent load of Eq. (10) scales as</w:t>
      </w:r>
      <w:r>
        <w:t xml:space="preserve"> </w:t>
      </w:r>
      <m:oMath>
        <m:r>
          <m:t>1</m:t>
        </m:r>
        <m:r>
          <m:rPr>
            <m:sty m:val="p"/>
          </m:rPr>
          <m:t>/</m:t>
        </m:r>
        <m:r>
          <m:t>C</m:t>
        </m:r>
      </m:oMath>
      <w:r>
        <w:t xml:space="preserve">, an indicator of 0.2 multiplies it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nor/>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nor/>
                          </m:rPr>
                          <m:t>+</m:t>
                        </m:r>
                      </m:sup>
                    </m:sSup>
                  </m:den>
                </m:f>
                <m:r>
                  <m:rPr>
                    <m:sty m:val="p"/>
                  </m:rPr>
                  <m:t>=</m:t>
                </m:r>
                <m:r>
                  <m:t>1</m:t>
                </m:r>
                <m:r>
                  <m:rPr>
                    <m:sty m:val="p"/>
                  </m:rPr>
                  <m:t>−</m:t>
                </m:r>
                <m:f>
                  <m:fPr>
                    <m:type m:val="bar"/>
                  </m:fPr>
                  <m:num>
                    <m:d>
                      <m:dPr>
                        <m:begChr m:val="|"/>
                        <m:endChr m:val="|"/>
                        <m:sepChr m:val=""/>
                        <m:grow/>
                      </m:dPr>
                      <m:e>
                        <m:sSup>
                          <m:e>
                            <m:r>
                              <m:t>A</m:t>
                            </m:r>
                          </m:e>
                          <m:sup>
                            <m:r>
                              <m:rPr>
                                <m:nor/>
                              </m:rPr>
                              <m:t>−</m:t>
                            </m:r>
                          </m:sup>
                        </m:sSup>
                      </m:e>
                    </m:d>
                  </m:num>
                  <m:den>
                    <m:sSup>
                      <m:e>
                        <m:r>
                          <m:t>A</m:t>
                        </m:r>
                      </m:e>
                      <m:sup>
                        <m:r>
                          <m:rPr>
                            <m:nor/>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nor/>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nor/>
              </m:rPr>
              <m:t>+</m:t>
            </m:r>
          </m:sup>
        </m:sSup>
      </m:oMath>
      <w:r>
        <w:t xml:space="preserve"> </w:t>
      </w:r>
      <w:r>
        <w:t xml:space="preserve">and</w:t>
      </w:r>
      <w:r>
        <w:t xml:space="preserve"> </w:t>
      </w:r>
      <m:oMath>
        <m:sSup>
          <m:e>
            <m:r>
              <m:t>A</m:t>
            </m:r>
          </m:e>
          <m:sup>
            <m:r>
              <m:rPr>
                <m:nor/>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nor/>
              </m:rPr>
              <m:t>tot</m:t>
            </m:r>
          </m:sub>
        </m:sSub>
      </m:oMath>
      <w:r>
        <w:t xml:space="preserve"> </w:t>
      </w:r>
      <w:r>
        <w:t xml:space="preserve">to the integral over a record of length</w:t>
      </w:r>
      <w:r>
        <w:t xml:space="preserve"> </w:t>
      </w:r>
      <m:oMath>
        <m:sSub>
          <m:e>
            <m:r>
              <m:t>L</m:t>
            </m:r>
          </m:e>
          <m:sub>
            <m:r>
              <m:rPr>
                <m:sty m:val="p"/>
                <m:nor/>
              </m:rPr>
              <m:t>tot</m:t>
            </m:r>
          </m:sub>
        </m:sSub>
      </m:oMath>
      <w:r>
        <w:t xml:space="preserve">. With</w:t>
      </w:r>
      <w:r>
        <w:t xml:space="preserve"> </w:t>
      </w:r>
      <m:oMath>
        <m:r>
          <m:t>J</m:t>
        </m:r>
        <m:r>
          <m:rPr>
            <m:sty m:val="p"/>
          </m:rPr>
          <m:t>=</m:t>
        </m:r>
        <m:r>
          <m:t>C</m:t>
        </m:r>
        <m:sSub>
          <m:e>
            <m:r>
              <m:t>P</m:t>
            </m:r>
          </m:e>
          <m:sub>
            <m:r>
              <m:rPr>
                <m:sty m:val="p"/>
                <m:nor/>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nor/>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nor/>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nor/>
              </m:rPr>
              <m:t>tot</m:t>
            </m:r>
          </m:sub>
        </m:sSub>
        <m:r>
          <m:rPr>
            <m:sty m:val="p"/>
          </m:rPr>
          <m:t>+</m:t>
        </m:r>
        <m:sSub>
          <m:e>
            <m:r>
              <m:t>δ</m:t>
            </m:r>
          </m:e>
          <m:sub>
            <m:r>
              <m:t>0</m:t>
            </m:r>
            <m:r>
              <m:rPr>
                <m:sty m:val="p"/>
              </m:rPr>
              <m:t>,</m:t>
            </m:r>
            <m:r>
              <m:t>j</m:t>
            </m:r>
          </m:sub>
        </m:sSub>
        <m:sSub>
          <m:e>
            <m:r>
              <m:t>L</m:t>
            </m:r>
          </m:e>
          <m:sub>
            <m:r>
              <m:rPr>
                <m:sty m:val="p"/>
                <m:nor/>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nor/>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nor/>
                  </m:rPr>
                  <m:t>Var</m:t>
                </m:r>
                <m:r>
                  <m:t> </m:t>
                </m:r>
                <m:sSup>
                  <m:e>
                    <m:acc>
                      <m:accPr>
                        <m:chr m:val="̂"/>
                      </m:accPr>
                      <m:e>
                        <m:r>
                          <m:t>P</m:t>
                        </m:r>
                      </m:e>
                    </m:acc>
                  </m:e>
                  <m:sup>
                    <m:r>
                      <m:rPr>
                        <m:nor/>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nor/>
                  </m:rPr>
                  <m:t>Var</m:t>
                </m:r>
                <m:r>
                  <m:t> </m:t>
                </m:r>
                <m:sSub>
                  <m:e>
                    <m:acc>
                      <m:accPr>
                        <m:chr m:val="̂"/>
                      </m:accPr>
                      <m:e>
                        <m:r>
                          <m:t>P</m:t>
                        </m:r>
                      </m:e>
                    </m:acc>
                  </m:e>
                  <m:sub>
                    <m:r>
                      <m:rPr>
                        <m:sty m:val="p"/>
                        <m:nor/>
                      </m:rPr>
                      <m:t>zs</m:t>
                    </m:r>
                  </m:sub>
                </m:sSub>
                <m:r>
                  <m:rPr>
                    <m:sty m:val="p"/>
                  </m:rPr>
                  <m:t>=</m:t>
                </m:r>
                <m:f>
                  <m:fPr>
                    <m:type m:val="bar"/>
                  </m:fPr>
                  <m:num>
                    <m:sSup>
                      <m:e>
                        <m:r>
                          <m:t>σ</m:t>
                        </m:r>
                      </m:e>
                      <m:sup>
                        <m:r>
                          <m:t>2</m:t>
                        </m:r>
                      </m:sup>
                    </m:sSup>
                    <m:r>
                      <m:t>Δ</m:t>
                    </m:r>
                    <m:r>
                      <m:t>x</m:t>
                    </m:r>
                    <m:r>
                      <m:t> </m:t>
                    </m:r>
                    <m:sSub>
                      <m:e>
                        <m:r>
                          <m:t>L</m:t>
                        </m:r>
                      </m:e>
                      <m:sub>
                        <m:r>
                          <m:rPr>
                            <m:sty m:val="p"/>
                            <m:nor/>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nor/>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nor/>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w:t>
      </w:r>
      <m:oMath>
        <m:sSub>
          <m:e>
            <m:r>
              <m:t>θ</m:t>
            </m:r>
          </m:e>
          <m:sub>
            <m:r>
              <m:t>6</m:t>
            </m:r>
          </m:sub>
        </m:sSub>
        <m:r>
          <m:rPr>
            <m:sty m:val="p"/>
          </m:rPr>
          <m:t>=</m:t>
        </m:r>
        <m:r>
          <m:rPr>
            <m:sty m:val="p"/>
          </m:rPr>
          <m:t>−</m:t>
        </m:r>
        <m:sSub>
          <m:e>
            <m:r>
              <m:t>θ</m:t>
            </m:r>
          </m:e>
          <m:sub>
            <m:r>
              <m:t>7</m:t>
            </m:r>
          </m:sub>
        </m:sSub>
      </m:oMath>
      <w:r>
        <w:t xml:space="preserve">)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referred to below as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nor/>
              </m:rPr>
              <m:t>ln</m:t>
            </m:r>
            <m:sSub>
              <m:e>
                <m:r>
                  <m:t>C</m:t>
                </m:r>
              </m:e>
              <m:sub>
                <m:r>
                  <m:t>m</m:t>
                </m:r>
              </m:sub>
            </m:sSub>
            <m:r>
              <m:rPr>
                <m:sty m:val="p"/>
              </m:rPr>
              <m:t>/</m:t>
            </m:r>
            <m:r>
              <m:rPr>
                <m:sty m:val="p"/>
              </m:rPr>
              <m:t>∂</m:t>
            </m:r>
            <m:r>
              <m:rPr>
                <m:sty m:val="p"/>
                <m:nor/>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nor/>
                          </m:rPr>
                          <m:t>side</m:t>
                        </m:r>
                      </m:sub>
                    </m:sSub>
                  </m:num>
                  <m:den>
                    <m:r>
                      <m:t>E</m:t>
                    </m:r>
                    <m:sSub>
                      <m:e>
                        <m:r>
                          <m:t>I</m:t>
                        </m:r>
                      </m:e>
                      <m:sub>
                        <m:r>
                          <m:rPr>
                            <m:sty m:val="p"/>
                            <m:nor/>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nor/>
              </m:rPr>
              <m:t>span</m:t>
            </m:r>
          </m:sub>
        </m:sSub>
      </m:oMath>
      <w:r>
        <w:t xml:space="preserve"> </w:t>
      </w:r>
      <w:r>
        <w:t xml:space="preserve">in Eq. (5). In the main span the end-moment parameter becomes</w:t>
      </w:r>
      <w:r>
        <w:t xml:space="preserve"> </w:t>
      </w:r>
      <m:oMath>
        <m:sSub>
          <m:e>
            <m:acc>
              <m:accPr>
                <m:chr m:val="¯"/>
              </m:accPr>
              <m:e>
                <m:r>
                  <m:t>M</m:t>
                </m:r>
              </m:e>
            </m:acc>
          </m:e>
          <m:sub>
            <m:r>
              <m:rPr>
                <m:sty m:val="p"/>
                <m:nor/>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the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(names beginning</w:t>
      </w:r>
      <w:r>
        <w:t xml:space="preserve"> </w:t>
      </w:r>
      <w:r>
        <w:t xml:space="preserve">“</w:t>
      </w:r>
      <w:r>
        <w:t xml:space="preserve">ch</w:t>
      </w:r>
      <w:r>
        <w:t xml:space="preserve">”</w:t>
      </w:r>
      <w:r>
        <w:t xml:space="preserve">), four of them without axle spikes; day 2 has four channels in one line under the wheel path (names beginning</w:t>
      </w:r>
      <w:r>
        <w:t xml:space="preserve">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against time; the integrals are converted to space with the measured speed. Thin traces: the same gauges unfiltered; thick traces: low-pass filtered at 0.5 Hz; vertical lines: entry and exit of the truck. Shaded: integration window; dashed: beam-model shape; legend values: integral</w:t>
      </w:r>
      <w:r>
        <w:t xml:space="preserve"> </w:t>
      </w:r>
      <m:oMath>
        <m:r>
          <m:rPr>
            <m:sty m:val="p"/>
          </m:rPr>
          <m:t>∫</m:t>
        </m:r>
        <m:r>
          <m:t>ε</m:t>
        </m:r>
        <m:r>
          <m:t> </m:t>
        </m:r>
        <m:r>
          <m:rPr>
            <m:sty m:val="p"/>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12 % (day 1) to 27 % (day 2).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(MAE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T6 and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and S12; axle positions in Table S16).</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nor/>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sepChr m:val=""/>
                <m:grow/>
              </m:dPr>
              <m:e>
                <m:r>
                  <m:t>c</m:t>
                </m:r>
                <m:r>
                  <m:rPr>
                    <m:sty m:val="p"/>
                  </m:rPr>
                  <m:t>/</m:t>
                </m:r>
                <m:r>
                  <m:t>E</m:t>
                </m:r>
                <m:r>
                  <m:t>I</m:t>
                </m:r>
              </m:e>
            </m:d>
          </m:e>
          <m:sub>
            <m:r>
              <m:rPr>
                <m:sty m:val="p"/>
                <m:nor/>
              </m:rPr>
              <m:t>mid</m:t>
            </m:r>
          </m:sub>
        </m:sSub>
        <m:sSup>
          <m:e>
            <m:r>
              <m:t>L</m:t>
            </m:r>
          </m:e>
          <m:sup>
            <m:r>
              <m:t>2</m:t>
            </m:r>
          </m:sup>
        </m:sSup>
        <m:r>
          <m:rPr>
            <m:sty m:val="p"/>
          </m:rPr>
          <m:t>/</m:t>
        </m:r>
        <m:r>
          <m:t>8</m:t>
        </m:r>
      </m:oMath>
      <w:r>
        <w:t xml:space="preserve">, with</w:t>
      </w:r>
      <w:r>
        <w:t xml:space="preserve"> </w:t>
      </w:r>
      <m:oMath>
        <m:sSub>
          <m:e>
            <m:d>
              <m:dPr>
                <m:begChr m:val="("/>
                <m:endChr m:val=")"/>
                <m:sepChr m:val=""/>
                <m:grow/>
              </m:dPr>
              <m:e>
                <m:r>
                  <m:t>c</m:t>
                </m:r>
                <m:r>
                  <m:rPr>
                    <m:sty m:val="p"/>
                  </m:rPr>
                  <m:t>/</m:t>
                </m:r>
                <m:r>
                  <m:t>E</m:t>
                </m:r>
                <m:r>
                  <m:t>I</m:t>
                </m:r>
              </m:e>
            </m:d>
          </m:e>
          <m:sub>
            <m:r>
              <m:rPr>
                <m:sty m:val="p"/>
                <m:nor/>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all panels each indicator is normalized by the span containing the point, so steps at the piers are changes of scale.</w:t>
      </w:r>
    </w:p>
    <w:bookmarkEnd w:id="51"/>
    <w:bookmarkStart w:id="55" w:name="what-the-static-data-identify"/>
    <w:p>
      <w:pPr>
        <w:pStyle w:val="Heading3"/>
      </w:pPr>
      <w:r>
        <w:t xml:space="preserve">5.2. What the static data identify</w:t>
      </w:r>
    </w:p>
    <w:p>
      <w:pPr>
        <w:pStyle w:val="FirstParagraph"/>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Over this set, the largest constant of the side-span gauge N8 is 6.6 times the smallest, against 1.5 for the main-span gauge N7, when the effective-to-design rigidity ratio</w:t>
      </w:r>
      <w:r>
        <w:t xml:space="preserve"> </w:t>
      </w:r>
      <m:oMath>
        <m:r>
          <m:t>α</m:t>
        </m:r>
      </m:oMath>
      <w:r>
        <w:t xml:space="preserve"> </w:t>
      </w:r>
      <w:r>
        <w:t xml:space="preserve">is free, and 2.4 against 1.1 when</w:t>
      </w:r>
      <w:r>
        <w:t xml:space="preserve"> </w:t>
      </w:r>
      <m:oMath>
        <m:r>
          <m:t>α</m:t>
        </m:r>
      </m:oMath>
      <w:r>
        <w:t xml:space="preserve"> </w:t>
      </w:r>
      <w:r>
        <w:t xml:space="preserve">is bounded to the material range 0.9–1.3 (Table 3; Supplementary Table S13). Across the model-form variants the factors are 2.6–16 for N8 against 1.3–1.6 for N7, so the contrast holds although its size depends on the model. The two factors are scenarios, not an estimate and a correction: the bound excludes calibration B. The factor of 6.6 is carried by the N8 constant</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ratio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Its</w:t>
      </w:r>
      <w:r>
        <w:t xml:space="preserve"> </w:t>
      </w:r>
      <m:oMath>
        <m:r>
          <m:t>α</m:t>
        </m:r>
        <m:r>
          <m:rPr>
            <m:sty m:val="p"/>
          </m:rPr>
          <m:t>=</m:t>
        </m:r>
        <m:r>
          <m:t>0.716</m:t>
        </m:r>
      </m:oMath>
      <w:r>
        <w:t xml:space="preserve"> </w:t>
      </w:r>
      <w:r>
        <w:t xml:space="preserve">is an effective rigidity 28 % below design, which is implausible as a material loss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 rigid pier zone) and admissible band</w:t>
      </w:r>
      <w:r>
        <w:t xml:space="preserve"> </w:t>
      </w:r>
      <m:oMath>
        <m:d>
          <m:dPr>
            <m:begChr m:val="|"/>
            <m:endChr m:val="|"/>
            <m:sepChr m:val=""/>
            <m:grow/>
          </m:dPr>
          <m:e>
            <m:r>
              <m:rPr>
                <m:sty m:val="p"/>
                <m:nor/>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nor/>
              </m:rPr>
              <m:t>*</m:t>
            </m:r>
          </m:sup>
        </m:sSup>
        <m:d>
          <m:dPr>
            <m:begChr m:val="("/>
            <m:endChr m:val=")"/>
            <m:sep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nor/>
              </m:rPr>
              <m:t>*</m:t>
            </m:r>
          </m:sup>
        </m:sSup>
        <m:d>
          <m:dPr>
            <m:begChr m:val="("/>
            <m:endChr m:val=")"/>
            <m:sepChr m:val=""/>
            <m:grow/>
          </m:dPr>
          <m:e>
            <m:r>
              <m:t>κ</m:t>
            </m:r>
          </m:e>
        </m:d>
      </m:oMath>
      <w:r>
        <w:t xml:space="preserve">: effective-to-design rigidity ratio that best fits both readings at given</w:t>
      </w:r>
      <w:r>
        <w:t xml:space="preserve"> </w:t>
      </w:r>
      <m:oMath>
        <m:r>
          <m:t>κ</m:t>
        </m:r>
      </m:oMath>
      <w:r>
        <w:t xml:space="preserve"> </w:t>
      </w:r>
      <w:r>
        <w:t xml:space="preserve">(log least squares; equal and opposite log misfits at N8 and N7).</w:t>
      </w:r>
    </w:p>
    <w:p>
      <w:pPr>
        <w:pStyle w:val="BodyText"/>
      </w:pPr>
      <w:r>
        <w:t xml:space="preserve">At</w:t>
      </w:r>
      <w:r>
        <w:t xml:space="preserve"> </w:t>
      </w:r>
      <m:oMath>
        <m:r>
          <m:t>τ</m:t>
        </m:r>
      </m:oMath>
      <w:r>
        <w:t xml:space="preserve"> </w:t>
      </w:r>
      <w:r>
        <w:t xml:space="preserve">= 5.3 %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rows: base model (</w:t>
      </w:r>
      <m:oMath>
        <m:sSub>
          <m:e>
            <m:r>
              <m:t>L</m:t>
            </m:r>
          </m:e>
          <m:sub>
            <m:r>
              <m:rPr>
                <m:sty m:val="p"/>
              </m:rPr>
              <m:t>v</m:t>
            </m:r>
          </m:sub>
        </m:sSub>
      </m:oMath>
      <w:r>
        <w:t xml:space="preserve"> </w:t>
      </w:r>
      <w:r>
        <w:t xml:space="preserve">= 44 m). Values at mid side span: Supplementary Table S15.</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pStyle w:val="Compact"/>
              <w:jc w:val="left"/>
            </w:pPr>
            <w:r>
              <w:t xml:space="preserve">Model</w:t>
            </w:r>
          </w:p>
        </w:tc>
        <w:tc>
          <w:tcPr>
            <w:tcW w:type="dxa" w:w="188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511"/>
          </w:tcPr>
          <w:p>
            <w:pPr>
              <w:pStyle w:val="Compact"/>
              <w:jc w:val="left"/>
            </w:pPr>
            <w:r>
              <w:t xml:space="preserve">Prismatic beam, pinned piers</w:t>
            </w:r>
          </w:p>
        </w:tc>
        <w:tc>
          <w:tcPr>
            <w:tcW w:type="dxa" w:w="1883"/>
          </w:tcPr>
          <w:p>
            <w:pPr>
              <w:pStyle w:val="Compact"/>
              <w:jc w:val="right"/>
            </w:pPr>
            <w:r>
              <w:t xml:space="preserve">0.287</w:t>
            </w:r>
          </w:p>
        </w:tc>
        <w:tc>
          <w:tcPr>
            <w:tcW w:type="dxa" w:w="1744"/>
          </w:tcPr>
          <w:p>
            <w:pPr>
              <w:pStyle w:val="Compact"/>
              <w:jc w:val="right"/>
            </w:pPr>
            <w:r>
              <w:t xml:space="preserve">0.755</w:t>
            </w:r>
          </w:p>
        </w:tc>
        <w:tc>
          <w:tcPr>
            <w:tcW w:type="dxa" w:w="1465"/>
          </w:tcPr>
          <w:p>
            <w:pPr>
              <w:pStyle w:val="Compact"/>
              <w:jc w:val="right"/>
            </w:pPr>
            <w:r>
              <w:t xml:space="preserve">0.14</w:t>
            </w:r>
          </w:p>
        </w:tc>
        <w:tc>
          <w:tcPr>
            <w:tcW w:type="dxa" w:w="1465"/>
          </w:tcPr>
          <w:p>
            <w:pPr>
              <w:pStyle w:val="Compact"/>
              <w:jc w:val="right"/>
            </w:pPr>
            <w:r>
              <w:t xml:space="preserve">0.70</w:t>
            </w:r>
          </w:p>
        </w:tc>
      </w:tr>
      <w:tr>
        <w:trPr>
          <w:cantSplit/>
        </w:trPr>
        <w:tc>
          <w:tcPr>
            <w:tcW w:type="dxa" w:w="2511"/>
          </w:tcPr>
          <w:p>
            <w:pPr>
              <w:pStyle w:val="Compact"/>
              <w:jc w:val="left"/>
            </w:pPr>
            <w:r>
              <w:t xml:space="preserve">Haunched, calibration A</w:t>
            </w:r>
          </w:p>
        </w:tc>
        <w:tc>
          <w:tcPr>
            <w:tcW w:type="dxa" w:w="1883"/>
          </w:tcPr>
          <w:p>
            <w:pPr>
              <w:pStyle w:val="Compact"/>
              <w:jc w:val="right"/>
            </w:pPr>
            <w:r>
              <w:t xml:space="preserve">0.181</w:t>
            </w:r>
          </w:p>
        </w:tc>
        <w:tc>
          <w:tcPr>
            <w:tcW w:type="dxa" w:w="1744"/>
          </w:tcPr>
          <w:p>
            <w:pPr>
              <w:pStyle w:val="Compact"/>
              <w:jc w:val="right"/>
            </w:pPr>
            <w:r>
              <w:t xml:space="preserve">0.209</w:t>
            </w:r>
          </w:p>
        </w:tc>
        <w:tc>
          <w:tcPr>
            <w:tcW w:type="dxa" w:w="1465"/>
          </w:tcPr>
          <w:p>
            <w:pPr>
              <w:pStyle w:val="Compact"/>
              <w:jc w:val="right"/>
            </w:pPr>
            <w:r>
              <w:t xml:space="preserve">0.18</w:t>
            </w:r>
          </w:p>
        </w:tc>
        <w:tc>
          <w:tcPr>
            <w:tcW w:type="dxa" w:w="1465"/>
          </w:tcPr>
          <w:p>
            <w:pPr>
              <w:pStyle w:val="Compact"/>
              <w:jc w:val="right"/>
            </w:pPr>
            <w:r>
              <w:t xml:space="preserve">0.59</w:t>
            </w:r>
          </w:p>
        </w:tc>
      </w:tr>
      <w:tr>
        <w:trPr>
          <w:cantSplit/>
        </w:trPr>
        <w:tc>
          <w:tcPr>
            <w:tcW w:type="dxa" w:w="2511"/>
          </w:tcPr>
          <w:p>
            <w:pPr>
              <w:pStyle w:val="Compact"/>
              <w:jc w:val="left"/>
            </w:pPr>
            <w:r>
              <w:t xml:space="preserve">Haunched, calibration B</w:t>
            </w:r>
          </w:p>
        </w:tc>
        <w:tc>
          <w:tcPr>
            <w:tcW w:type="dxa" w:w="1883"/>
          </w:tcPr>
          <w:p>
            <w:pPr>
              <w:pStyle w:val="Compact"/>
              <w:jc w:val="right"/>
            </w:pPr>
            <w:r>
              <w:t xml:space="preserve">0.476ᵃ</w:t>
            </w:r>
          </w:p>
        </w:tc>
        <w:tc>
          <w:tcPr>
            <w:tcW w:type="dxa" w:w="1744"/>
          </w:tcPr>
          <w:p>
            <w:pPr>
              <w:pStyle w:val="Compact"/>
              <w:jc w:val="right"/>
            </w:pPr>
            <w:r>
              <w:t xml:space="preserve">0.234</w:t>
            </w:r>
          </w:p>
        </w:tc>
        <w:tc>
          <w:tcPr>
            <w:tcW w:type="dxa" w:w="1465"/>
          </w:tcPr>
          <w:p>
            <w:pPr>
              <w:pStyle w:val="Compact"/>
              <w:jc w:val="right"/>
            </w:pPr>
            <w:r>
              <w:t xml:space="preserve">0.56</w:t>
            </w:r>
          </w:p>
        </w:tc>
        <w:tc>
          <w:tcPr>
            <w:tcW w:type="dxa" w:w="1465"/>
          </w:tcPr>
          <w:p>
            <w:pPr>
              <w:pStyle w:val="Compact"/>
              <w:jc w:val="right"/>
            </w:pPr>
            <w:r>
              <w:t xml:space="preserve">0.77</w:t>
            </w:r>
          </w:p>
        </w:tc>
      </w:tr>
      <w:tr>
        <w:trPr>
          <w:cantSplit/>
        </w:trPr>
        <w:tc>
          <w:tcPr>
            <w:tcW w:type="dxa" w:w="2511"/>
          </w:tcPr>
          <w:p>
            <w:pPr>
              <w:pStyle w:val="Compact"/>
              <w:jc w:val="left"/>
            </w:pPr>
            <w:r>
              <w:t xml:space="preserve">Haunched, admissible set</w:t>
            </w:r>
          </w:p>
        </w:tc>
        <w:tc>
          <w:tcPr>
            <w:tcW w:type="dxa" w:w="1883"/>
          </w:tcPr>
          <w:p>
            <w:pPr>
              <w:pStyle w:val="Compact"/>
              <w:jc w:val="right"/>
            </w:pPr>
            <w:r>
              <w:t xml:space="preserve">0.124–0.822ᵇ</w:t>
            </w:r>
          </w:p>
        </w:tc>
        <w:tc>
          <w:tcPr>
            <w:tcW w:type="dxa" w:w="1744"/>
          </w:tcPr>
          <w:p>
            <w:pPr>
              <w:pStyle w:val="Compact"/>
              <w:jc w:val="right"/>
            </w:pPr>
            <w:r>
              <w:t xml:space="preserve">0.190–0.286</w:t>
            </w:r>
          </w:p>
        </w:tc>
        <w:tc>
          <w:tcPr>
            <w:tcW w:type="dxa" w:w="1465"/>
          </w:tcPr>
          <w:p>
            <w:pPr>
              <w:pStyle w:val="Compact"/>
              <w:jc w:val="right"/>
            </w:pPr>
            <w:r>
              <w:t xml:space="preserve">0.13–1.00</w:t>
            </w:r>
          </w:p>
        </w:tc>
        <w:tc>
          <w:tcPr>
            <w:tcW w:type="dxa" w:w="1465"/>
          </w:tcPr>
          <w:p>
            <w:pPr>
              <w:pStyle w:val="Compact"/>
              <w:jc w:val="right"/>
            </w:pPr>
            <w:r>
              <w:t xml:space="preserve">0.56–1.00</w:t>
            </w:r>
          </w:p>
        </w:tc>
      </w:tr>
      <w:tr>
        <w:trPr>
          <w:cantSplit/>
        </w:trPr>
        <w:tc>
          <w:tcPr>
            <w:tcW w:type="dxa" w:w="2511"/>
          </w:tcPr>
          <w:p>
            <w:pPr>
              <w:pStyle w:val="Compact"/>
              <w:jc w:val="left"/>
            </w:pPr>
            <w:r>
              <w:t xml:space="preserve">Haunched, admissible set with prior</w:t>
            </w:r>
            <w:r>
              <w:t xml:space="preserve"> </w:t>
            </w:r>
            <m:oMath>
              <m:r>
                <m:t>α</m:t>
              </m:r>
            </m:oMath>
            <w:r>
              <w:t xml:space="preserve"> </w:t>
            </w:r>
            <w:r>
              <w:t xml:space="preserve">= 0.9–1.3</w:t>
            </w:r>
          </w:p>
        </w:tc>
        <w:tc>
          <w:tcPr>
            <w:tcW w:type="dxa" w:w="1883"/>
          </w:tcPr>
          <w:p>
            <w:pPr>
              <w:pStyle w:val="Compact"/>
              <w:jc w:val="right"/>
            </w:pPr>
            <w:r>
              <w:t xml:space="preserve">0.124–0.297</w:t>
            </w:r>
          </w:p>
        </w:tc>
        <w:tc>
          <w:tcPr>
            <w:tcW w:type="dxa" w:w="1744"/>
          </w:tcPr>
          <w:p>
            <w:pPr>
              <w:pStyle w:val="Compact"/>
              <w:jc w:val="right"/>
            </w:pPr>
            <w:r>
              <w:t xml:space="preserve">0.190–0.211</w:t>
            </w:r>
          </w:p>
        </w:tc>
        <w:tc>
          <w:tcPr>
            <w:tcW w:type="dxa" w:w="1465"/>
          </w:tcPr>
          <w:p>
            <w:pPr>
              <w:pStyle w:val="Compact"/>
              <w:jc w:val="right"/>
            </w:pPr>
            <w:r>
              <w:t xml:space="preserve">0.13–0.34</w:t>
            </w:r>
          </w:p>
        </w:tc>
        <w:tc>
          <w:tcPr>
            <w:tcW w:type="dxa" w:w="1465"/>
          </w:tcPr>
          <w:p>
            <w:pPr>
              <w:pStyle w:val="Compact"/>
              <w:jc w:val="right"/>
            </w:pPr>
            <w:r>
              <w:t xml:space="preserve">0.56–0.66</w:t>
            </w:r>
          </w:p>
        </w:tc>
      </w:tr>
      <w:tr>
        <w:trPr>
          <w:cantSplit/>
        </w:trPr>
        <w:tc>
          <w:tcPr>
            <w:tcW w:type="dxa" w:w="2511"/>
          </w:tcPr>
          <w:p>
            <w:pPr>
              <w:pStyle w:val="Compact"/>
              <w:jc w:val="left"/>
            </w:pPr>
            <w:r>
              <w:t xml:space="preserve">Haunched, pinned piers</w:t>
            </w:r>
          </w:p>
        </w:tc>
        <w:tc>
          <w:tcPr>
            <w:tcW w:type="dxa" w:w="1883"/>
          </w:tcPr>
          <w:p>
            <w:pPr>
              <w:pStyle w:val="Compact"/>
              <w:jc w:val="right"/>
            </w:pPr>
            <w:r>
              <w:t xml:space="preserve">0.030</w:t>
            </w:r>
          </w:p>
        </w:tc>
        <w:tc>
          <w:tcPr>
            <w:tcW w:type="dxa" w:w="1744"/>
          </w:tcPr>
          <w:p>
            <w:pPr>
              <w:pStyle w:val="Compact"/>
              <w:jc w:val="right"/>
            </w:pPr>
            <w:r>
              <w:t xml:space="preserve">0.248</w:t>
            </w:r>
          </w:p>
        </w:tc>
        <w:tc>
          <w:tcPr>
            <w:tcW w:type="dxa" w:w="1465"/>
          </w:tcPr>
          <w:p>
            <w:pPr>
              <w:pStyle w:val="Compact"/>
              <w:jc w:val="right"/>
            </w:pPr>
            <w:r>
              <w:t xml:space="preserve">0.02</w:t>
            </w:r>
          </w:p>
        </w:tc>
        <w:tc>
          <w:tcPr>
            <w:tcW w:type="dxa" w:w="1465"/>
          </w:tcPr>
          <w:p>
            <w:pPr>
              <w:pStyle w:val="Compact"/>
              <w:jc w:val="right"/>
            </w:pPr>
            <w:r>
              <w:t xml:space="preserve">0.51</w:t>
            </w:r>
          </w:p>
        </w:tc>
      </w:tr>
      <w:tr>
        <w:trPr>
          <w:cantSplit/>
        </w:trPr>
        <w:tc>
          <w:tcPr>
            <w:tcW w:type="dxa" w:w="2511"/>
          </w:tcPr>
          <w:p>
            <w:pPr>
              <w:pStyle w:val="Compact"/>
              <w:jc w:val="left"/>
            </w:pPr>
            <w:r>
              <w:t xml:space="preserve">Haunched, fixed piers</w:t>
            </w:r>
          </w:p>
        </w:tc>
        <w:tc>
          <w:tcPr>
            <w:tcW w:type="dxa" w:w="1883"/>
          </w:tcPr>
          <w:p>
            <w:pPr>
              <w:pStyle w:val="Compact"/>
              <w:jc w:val="right"/>
            </w:pPr>
            <w:r>
              <w:t xml:space="preserve">0.422</w:t>
            </w:r>
          </w:p>
        </w:tc>
        <w:tc>
          <w:tcPr>
            <w:tcW w:type="dxa" w:w="1744"/>
          </w:tcPr>
          <w:p>
            <w:pPr>
              <w:pStyle w:val="Compact"/>
              <w:jc w:val="right"/>
            </w:pPr>
            <w:r>
              <w:t xml:space="preserve">0.147</w:t>
            </w:r>
          </w:p>
        </w:tc>
        <w:tc>
          <w:tcPr>
            <w:tcW w:type="dxa" w:w="1465"/>
          </w:tcPr>
          <w:p>
            <w:pPr>
              <w:pStyle w:val="Compact"/>
              <w:jc w:val="right"/>
            </w:pPr>
            <w:r>
              <w:t xml:space="preserve">1.00</w:t>
            </w:r>
          </w:p>
        </w:tc>
        <w:tc>
          <w:tcPr>
            <w:tcW w:type="dxa" w:w="1465"/>
          </w:tcPr>
          <w:p>
            <w:pPr>
              <w:pStyle w:val="Compact"/>
              <w:jc w:val="right"/>
            </w:pPr>
            <w:r>
              <w:t xml:space="preserve">1.00</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1 % in variance of the calibration-specific optimum under both A and B. Under the assumed noise model of Supplementary Section S4 (calibration A), the standard deviation of the load for a 220 m record (200 m plus a 20 m convoy allowance)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(Supplementary Section S8), the Cramér–Rao bound on the standard deviation of</w:t>
      </w:r>
      <w:r>
        <w:t xml:space="preserve"> </w:t>
      </w:r>
      <m:oMath>
        <m:r>
          <m:rPr>
            <m:sty m:val="p"/>
            <m:nor/>
          </m:rPr>
          <m:t>ln</m:t>
        </m:r>
        <m:sSub>
          <m:e>
            <m:r>
              <m:t>C</m:t>
            </m:r>
          </m:e>
          <m:sub>
            <m:r>
              <m:t>8</m:t>
            </m:r>
          </m:sub>
        </m:sSub>
      </m:oMath>
      <w:r>
        <w:t xml:space="preserve"> </w:t>
      </w:r>
      <w:r>
        <w:t xml:space="preserve">falls from 0.87 with the two deflections to 0.18 with the tiltmeter. The bound assumes standard uncertainties of 2.64 % per deflection and 3 % of the pier rotation; the rotation itself is about 167 µrad under the side-span test load. Frequencies and the case of calibration B are discussed in Supplementary Section S8.</w:t>
      </w:r>
    </w:p>
    <w:p>
      <w:pPr>
        <w:pStyle w:val="BodyText"/>
      </w:pPr>
      <w:r>
        <w:t xml:space="preserve">A moving-load test with weighed trucks has been designed but not performed; its predictions are in Supplementary Table S19. The ratio of the N8 and N7 integrals is independent of truck weight and absolute rigidity and differs by a factor of 2.3 between A and B.</w:t>
      </w:r>
    </w:p>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nor/>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Single-point influence-area weighing on this 200 m unit is therefore marginal even at the best location, and non-contact techniques, such as terrestrial laser scanning of bridge deflection (Vu et al., 2023),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The treatment is one-dimensional along each lane.</w:t>
      </w:r>
    </w:p>
    <w:bookmarkEnd w:id="58"/>
    <w:bookmarkStart w:id="59" w:name="conclusions"/>
    <w:p>
      <w:pPr>
        <w:pStyle w:val="Heading2"/>
      </w:pPr>
      <w:r>
        <w:t xml:space="preserve">7. Conclusions</w:t>
      </w:r>
    </w:p>
    <w:p>
      <w:pPr>
        <w:pStyle w:val="FirstParagraph"/>
      </w:pPr>
      <w:r>
        <w:t xml:space="preserve">The main results are as follows.</w:t>
      </w:r>
    </w:p>
    <w:p>
      <w:pPr>
        <w:numPr>
          <w:ilvl w:val="0"/>
          <w:numId w:val="1001"/>
        </w:numPr>
        <w:pStyle w:val="BodyText"/>
      </w:pPr>
      <w:r>
        <w:t xml:space="preserve">Blind loci. 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 and in the main span of three nearly equal spans.</w:t>
      </w:r>
    </w:p>
    <w:p>
      <w:pPr>
        <w:numPr>
          <w:ilvl w:val="0"/>
          <w:numId w:val="1001"/>
        </w:numPr>
        <w:pStyle w:val="BodyText"/>
      </w:pPr>
      <w:r>
        <w:t xml:space="preserve">Placement.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Pier stiffness. For a symmetric girder with equal piers, the constant is a linear-fractional (Möbius) function of the scaled pier stiffness. On a 55 + 90 + 55 m box girder, two static readings leave the side-span deflection constant of the base model uncertain by a factor of 6.6 against 1.5 for the main-span constant, or 2.4 against 1.1 with girder rigidity bounded to 0.9–1.3 times design; at the design pier stiffness a pier tiltmeter would reduce the Cramér–Rao bound on the standard deviation of</w:t>
      </w:r>
      <w:r>
        <w:t xml:space="preserve"> </w:t>
      </w:r>
      <m:oMath>
        <m:r>
          <m:rPr>
            <m:sty m:val="p"/>
            <m:nor/>
          </m:rPr>
          <m:t>ln</m:t>
        </m:r>
        <m:sSub>
          <m:e>
            <m:r>
              <m:t>C</m:t>
            </m:r>
          </m:e>
          <m:sub>
            <m:r>
              <m:t>8</m:t>
            </m:r>
          </m:sub>
        </m:sSub>
      </m:oMath>
      <w:r>
        <w:t xml:space="preserve"> </w:t>
      </w:r>
      <w:r>
        <w:t xml:space="preserve">from 0.87 to 0.18.</w:t>
      </w:r>
    </w:p>
    <w:p>
      <w:pPr>
        <w:numPr>
          <w:ilvl w:val="0"/>
          <w:numId w:val="1001"/>
        </w:numPr>
        <w:pStyle w:val="BodyText"/>
      </w:pPr>
      <w:r>
        <w:t xml:space="preserve">Public records. On public moving-truck records, the gauge-average constants were consistent with invariance and superposition within the 12 % (day 1) to 27 % (day 2)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Residual offset. On the same box girder, with a 200 m record, a residual offset of 0.1 mm would bias a 25 t truck by 16–25 % even at mid main span.</w:t>
      </w:r>
    </w:p>
    <w:p>
      <w:pPr>
        <w:pStyle w:val="FirstParagraph"/>
      </w:pPr>
      <w:r>
        <w:t xml:space="preserve">The contribution is thus a set of design criteria for choosing channels and locations, not a new weighing method. 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mean readings, the processed Mây Bridge data, the scripts with their logs and the derived data (CSV and NumPy files) are provided as Supplementary Material; the records behind Figs. S16 and S17 are not.</w:t>
      </w:r>
    </w:p>
    <w:bookmarkEnd w:id="67"/>
    <w:bookmarkEnd w:id="68"/>
    <w:bookmarkStart w:id="69" w:name="references"/>
    <w:p>
      <w:pPr>
        <w:pStyle w:val="Heading2"/>
      </w:pPr>
      <w:r>
        <w:t xml:space="preserve">References</w:t>
      </w:r>
    </w:p>
    <w:p>
      <w:pPr>
        <w:pStyle w:val="FirstParagraph"/>
        <w:ind w:left="425" w:hanging="425"/>
        <w:jc w:val="left"/>
      </w:pPr>
      <w:r>
        <w:t xml:space="preserve">AASHTO (2024)</w:t>
      </w:r>
      <w:r>
        <w:t xml:space="preserve"> </w:t>
      </w:r>
      <w:r>
        <w:rPr>
          <w:iCs/>
          <w:i/>
        </w:rPr>
        <w:t xml:space="preserve">LRFD Bridge Design Specifications</w:t>
      </w:r>
      <w:r>
        <w:t xml:space="preserve">.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w:t>
      </w:r>
      <w:r>
        <w:t xml:space="preserve"> </w:t>
      </w:r>
      <w:r>
        <w:rPr>
          <w:iCs/>
          <w:i/>
        </w:rPr>
        <w:t xml:space="preserve">Journal of Bridge Engineering</w:t>
      </w:r>
      <w:r>
        <w:t xml:space="preserve"> </w:t>
      </w:r>
      <w:r>
        <w:t xml:space="preserve">28(2): 04022138. DOI: 10.1061/JBENF2.BEENG-5760.</w:t>
      </w:r>
    </w:p>
    <w:p>
      <w:pPr>
        <w:pStyle w:val="BodyText"/>
        <w:ind w:left="425" w:hanging="425"/>
        <w:jc w:val="left"/>
      </w:pPr>
      <w:r>
        <w:t xml:space="preserve">Agüero-Barrantes P, Lobo Aguilar S and Christenson RE (2021) Sparse sensing bridge weigh-in-motion for single-span bridges.</w:t>
      </w:r>
      <w:r>
        <w:t xml:space="preserve"> </w:t>
      </w:r>
      <w:r>
        <w:rPr>
          <w:iCs/>
          <w:i/>
        </w:rPr>
        <w:t xml:space="preserve">Métodos y Materiales</w:t>
      </w:r>
      <w:r>
        <w:t xml:space="preserve"> </w:t>
      </w:r>
      <w:r>
        <w:t xml:space="preserve">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w:t>
      </w:r>
      <w:r>
        <w:t xml:space="preserve"> </w:t>
      </w:r>
      <w:r>
        <w:rPr>
          <w:iCs/>
          <w:i/>
        </w:rPr>
        <w:t xml:space="preserve">Journal of Bridge Engineering</w:t>
      </w:r>
      <w:r>
        <w:t xml:space="preserve"> </w:t>
      </w:r>
      <w:r>
        <w:t xml:space="preserve">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w:t>
      </w:r>
      <w:r>
        <w:t xml:space="preserve"> </w:t>
      </w:r>
      <w:r>
        <w:rPr>
          <w:iCs/>
          <w:i/>
        </w:rPr>
        <w:t xml:space="preserve">Journal of Sound and Vibration</w:t>
      </w:r>
      <w:r>
        <w:t xml:space="preserve"> </w:t>
      </w:r>
      <w:r>
        <w:t xml:space="preserve">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w:t>
      </w:r>
      <w:r>
        <w:t xml:space="preserve"> </w:t>
      </w:r>
      <w:r>
        <w:rPr>
          <w:iCs/>
          <w:i/>
        </w:rPr>
        <w:t xml:space="preserve">Structures</w:t>
      </w:r>
      <w:r>
        <w:t xml:space="preserve"> </w:t>
      </w:r>
      <w:r>
        <w:t xml:space="preserve">73: 108298. DOI: 10.1016/j.istruc.2025.108298.</w:t>
      </w:r>
    </w:p>
    <w:p>
      <w:pPr>
        <w:pStyle w:val="BodyText"/>
        <w:ind w:left="425" w:hanging="425"/>
        <w:jc w:val="left"/>
      </w:pPr>
      <w:r>
        <w:t xml:space="preserve">Cross EJ, Koo KY, Brownjohn JMW and Worden K (2013) Long-term monitoring and data analysis of the Tamar Bridge.</w:t>
      </w:r>
      <w:r>
        <w:t xml:space="preserve"> </w:t>
      </w:r>
      <w:r>
        <w:rPr>
          <w:iCs/>
          <w:i/>
        </w:rPr>
        <w:t xml:space="preserve">Mechanical Systems and Signal Processing</w:t>
      </w:r>
      <w:r>
        <w:t xml:space="preserve"> </w:t>
      </w:r>
      <w:r>
        <w:t xml:space="preserve">35(1–2): 16–34. DOI: 10.1016/j.ymssp.2012.08.026.</w:t>
      </w:r>
    </w:p>
    <w:p>
      <w:pPr>
        <w:pStyle w:val="BodyText"/>
        <w:ind w:left="425" w:hanging="425"/>
        <w:jc w:val="left"/>
      </w:pPr>
      <w:r>
        <w:t xml:space="preserve">Dang NTV, Ho DD and Ha MT (2023) [Diagnosis of stiffness reduction in beam structures using displacement influence line data].</w:t>
      </w:r>
      <w:r>
        <w:t xml:space="preserve"> </w:t>
      </w:r>
      <w:r>
        <w:rPr>
          <w:iCs/>
          <w:i/>
        </w:rPr>
        <w:t xml:space="preserve">Journal of Science and Technology in Civil Engineering (HUCE)</w:t>
      </w:r>
      <w:r>
        <w:t xml:space="preserve"> </w:t>
      </w:r>
      <w:r>
        <w:t xml:space="preserve">17(3V): 47–65 (in Vietnamese). DOI: 10.31814/stce.huce2023-17(3V)-04.</w:t>
      </w:r>
    </w:p>
    <w:p>
      <w:pPr>
        <w:pStyle w:val="BodyText"/>
        <w:ind w:left="425" w:hanging="425"/>
        <w:jc w:val="left"/>
      </w:pPr>
      <w:r>
        <w:t xml:space="preserve">Deng L, Liu P, Huang T and Kaewunruen S (2025) A novel moving load identification method for continuous rigid-frame bridges using a field-based displacement influence line.</w:t>
      </w:r>
      <w:r>
        <w:t xml:space="preserve"> </w:t>
      </w:r>
      <w:r>
        <w:rPr>
          <w:iCs/>
          <w:i/>
        </w:rPr>
        <w:t xml:space="preserve">Applied Sciences</w:t>
      </w:r>
      <w:r>
        <w:t xml:space="preserve"> </w:t>
      </w:r>
      <w:r>
        <w:t xml:space="preserve">15(11): 6028. DOI: 10.3390/app15116028.</w:t>
      </w:r>
    </w:p>
    <w:p>
      <w:pPr>
        <w:pStyle w:val="BodyText"/>
        <w:ind w:left="425" w:hanging="425"/>
        <w:jc w:val="left"/>
      </w:pPr>
      <w:r>
        <w:t xml:space="preserve">Elfving G (1952) Optimum allocation in linear regression theory.</w:t>
      </w:r>
      <w:r>
        <w:t xml:space="preserve"> </w:t>
      </w:r>
      <w:r>
        <w:rPr>
          <w:iCs/>
          <w:i/>
        </w:rPr>
        <w:t xml:space="preserve">Annals of Mathematical Statistics</w:t>
      </w:r>
      <w:r>
        <w:t xml:space="preserve"> </w:t>
      </w:r>
      <w:r>
        <w:t xml:space="preserve">23(2): 255–262. DOI: 10.1214/aoms/1177729442.</w:t>
      </w:r>
    </w:p>
    <w:p>
      <w:pPr>
        <w:pStyle w:val="BodyText"/>
        <w:ind w:left="425" w:hanging="425"/>
        <w:jc w:val="left"/>
      </w:pPr>
      <w:r>
        <w:t xml:space="preserve">Fan Y, Zhu J, Pei J, Li Z and Wu Y (2015) Analysis for Yangmingtan Bridge collapse.</w:t>
      </w:r>
      <w:r>
        <w:t xml:space="preserve"> </w:t>
      </w:r>
      <w:r>
        <w:rPr>
          <w:iCs/>
          <w:i/>
        </w:rPr>
        <w:t xml:space="preserve">Engineering Failure Analysis</w:t>
      </w:r>
      <w:r>
        <w:t xml:space="preserve"> </w:t>
      </w:r>
      <w:r>
        <w:t xml:space="preserve">56: 20–27. DOI: 10.1016/j.engfailanal.2015.05.003.</w:t>
      </w:r>
    </w:p>
    <w:p>
      <w:pPr>
        <w:pStyle w:val="BodyText"/>
        <w:ind w:left="425" w:hanging="425"/>
        <w:jc w:val="left"/>
      </w:pPr>
      <w:r>
        <w:t xml:space="preserve">Frýba L (1999)</w:t>
      </w:r>
      <w:r>
        <w:t xml:space="preserve"> </w:t>
      </w:r>
      <w:r>
        <w:rPr>
          <w:iCs/>
          <w:i/>
        </w:rPr>
        <w:t xml:space="preserve">Vibration of Solids and Structures under Moving Loads</w:t>
      </w:r>
      <w:r>
        <w:t xml:space="preserve">. 3rd ed. London: Thomas Telford.</w:t>
      </w:r>
    </w:p>
    <w:p>
      <w:pPr>
        <w:pStyle w:val="BodyText"/>
        <w:ind w:left="425" w:hanging="425"/>
        <w:jc w:val="left"/>
      </w:pPr>
      <w:r>
        <w:t xml:space="preserve">Ghali A, Neville AM and Brown TG (2017)</w:t>
      </w:r>
      <w:r>
        <w:t xml:space="preserve"> </w:t>
      </w:r>
      <w:r>
        <w:rPr>
          <w:iCs/>
          <w:i/>
        </w:rPr>
        <w:t xml:space="preserve">Structural Analysis: A Unified Classical and Matrix Approach</w:t>
      </w:r>
      <w:r>
        <w:t xml:space="preserve">. 6th ed. Boca Raton: CRC Press. DOI: 10.1201/9781315273006.</w:t>
      </w:r>
    </w:p>
    <w:p>
      <w:pPr>
        <w:pStyle w:val="BodyText"/>
        <w:ind w:left="425" w:hanging="425"/>
        <w:jc w:val="left"/>
      </w:pPr>
      <w:r>
        <w:t xml:space="preserve">Hao T, Xie Z and Yu M (2019) The identification technology of vehicle weight based on bridge strain time-history curve.</w:t>
      </w:r>
      <w:r>
        <w:t xml:space="preserve"> </w:t>
      </w:r>
      <w:r>
        <w:rPr>
          <w:iCs/>
          <w:i/>
        </w:rPr>
        <w:t xml:space="preserve">Advances in Structural Engineering</w:t>
      </w:r>
      <w:r>
        <w:t xml:space="preserve"> </w:t>
      </w:r>
      <w:r>
        <w:t xml:space="preserve">22(7): 1606–1616. DOI: 10.1177/1369433218823487.</w:t>
      </w:r>
    </w:p>
    <w:p>
      <w:pPr>
        <w:pStyle w:val="BodyText"/>
        <w:ind w:left="425" w:hanging="425"/>
        <w:jc w:val="left"/>
      </w:pPr>
      <w:r>
        <w:t xml:space="preserve">Helmi K, Bakht B and Mufti A (2014) Accurate measurements of gross vehicle weight through bridge weigh-in-motion: a case study.</w:t>
      </w:r>
      <w:r>
        <w:t xml:space="preserve"> </w:t>
      </w:r>
      <w:r>
        <w:rPr>
          <w:iCs/>
          <w:i/>
        </w:rPr>
        <w:t xml:space="preserve">Journal of Civil Structural Health Monitoring</w:t>
      </w:r>
      <w:r>
        <w:t xml:space="preserve"> </w:t>
      </w:r>
      <w:r>
        <w:t xml:space="preserve">4(3): 195–208. DOI: 10.1007/s13349-014-0076-5.</w:t>
      </w:r>
    </w:p>
    <w:p>
      <w:pPr>
        <w:pStyle w:val="BodyText"/>
        <w:ind w:left="425" w:hanging="425"/>
        <w:jc w:val="left"/>
      </w:pPr>
      <w:r>
        <w:t xml:space="preserve">Hong W, Cao Y and Wu Z (2016) Strain-based damage-assessment method for bridges under moving vehicular loads using long-gauge strain sensing.</w:t>
      </w:r>
      <w:r>
        <w:t xml:space="preserve"> </w:t>
      </w:r>
      <w:r>
        <w:rPr>
          <w:iCs/>
          <w:i/>
        </w:rPr>
        <w:t xml:space="preserve">Journal of Bridge Engineering</w:t>
      </w:r>
      <w:r>
        <w:t xml:space="preserve"> </w:t>
      </w:r>
      <w:r>
        <w:t xml:space="preserve">21(10): 04016059. DOI: 10.1061/(ASCE)BE.1943-5592.0000933.</w:t>
      </w:r>
    </w:p>
    <w:p>
      <w:pPr>
        <w:pStyle w:val="BodyText"/>
        <w:ind w:left="425" w:hanging="425"/>
        <w:jc w:val="left"/>
      </w:pPr>
      <w:r>
        <w:t xml:space="preserve">Jacob B, OBrien EJ and Jehaes S (eds) (2002)</w:t>
      </w:r>
      <w:r>
        <w:t xml:space="preserve"> </w:t>
      </w:r>
      <w:r>
        <w:rPr>
          <w:iCs/>
          <w:i/>
        </w:rPr>
        <w:t xml:space="preserve">Weigh-in-Motion of Road Vehicles: Final Report of the COST 323 Action</w:t>
      </w:r>
      <w:r>
        <w:t xml:space="preserve">. Paris: LCPC.</w:t>
      </w:r>
    </w:p>
    <w:p>
      <w:pPr>
        <w:pStyle w:val="BodyText"/>
        <w:ind w:left="425" w:hanging="425"/>
        <w:jc w:val="left"/>
      </w:pPr>
      <w:r>
        <w:t xml:space="preserve">Katafygiotis LS and Beck JL (1998) Updating models and their uncertainties. II: Model identifiability.</w:t>
      </w:r>
      <w:r>
        <w:t xml:space="preserve"> </w:t>
      </w:r>
      <w:r>
        <w:rPr>
          <w:iCs/>
          <w:i/>
        </w:rPr>
        <w:t xml:space="preserve">Journal of Engineering Mechanics</w:t>
      </w:r>
      <w:r>
        <w:t xml:space="preserve"> </w:t>
      </w:r>
      <w:r>
        <w:t xml:space="preserve">124(4): 463–467. DOI: 10.1061/(ASCE)0733-9399(1998)124:4(463).</w:t>
      </w:r>
    </w:p>
    <w:p>
      <w:pPr>
        <w:pStyle w:val="BodyText"/>
        <w:ind w:left="425" w:hanging="425"/>
        <w:jc w:val="left"/>
      </w:pPr>
      <w:r>
        <w:t xml:space="preserve">Law SS and Zhu XQ (2000) Study on different beam models in moving force identification.</w:t>
      </w:r>
      <w:r>
        <w:t xml:space="preserve"> </w:t>
      </w:r>
      <w:r>
        <w:rPr>
          <w:iCs/>
          <w:i/>
        </w:rPr>
        <w:t xml:space="preserve">Journal of Sound and Vibration</w:t>
      </w:r>
      <w:r>
        <w:t xml:space="preserve"> </w:t>
      </w:r>
      <w:r>
        <w:t xml:space="preserve">234(4): 661–679. DOI: 10.1006/jsvi.2000.2867.</w:t>
      </w:r>
    </w:p>
    <w:p>
      <w:pPr>
        <w:pStyle w:val="BodyText"/>
        <w:ind w:left="425" w:hanging="425"/>
        <w:jc w:val="left"/>
      </w:pPr>
      <w:r>
        <w:t xml:space="preserve">Law SS, Chan THT and Zeng QH (1997) Moving force identification: a time domain method.</w:t>
      </w:r>
      <w:r>
        <w:t xml:space="preserve"> </w:t>
      </w:r>
      <w:r>
        <w:rPr>
          <w:iCs/>
          <w:i/>
        </w:rPr>
        <w:t xml:space="preserve">Journal of Sound and Vibration</w:t>
      </w:r>
      <w:r>
        <w:t xml:space="preserve"> </w:t>
      </w:r>
      <w:r>
        <w:t xml:space="preserve">201(1): 1–22. DOI: 10.1006/jsvi.1996.0774.</w:t>
      </w:r>
    </w:p>
    <w:p>
      <w:pPr>
        <w:pStyle w:val="BodyText"/>
        <w:ind w:left="425" w:hanging="425"/>
        <w:jc w:val="left"/>
      </w:pPr>
      <w:r>
        <w:t xml:space="preserve">Lin SW, Du YL, Yi TH and Yang DH (2023) Influence lines-based model updating of suspension bridges considering boundary conditions.</w:t>
      </w:r>
      <w:r>
        <w:t xml:space="preserve"> </w:t>
      </w:r>
      <w:r>
        <w:rPr>
          <w:iCs/>
          <w:i/>
        </w:rPr>
        <w:t xml:space="preserve">Advances in Structural Engineering</w:t>
      </w:r>
      <w:r>
        <w:t xml:space="preserve"> </w:t>
      </w:r>
      <w:r>
        <w:t xml:space="preserve">26(2): 316–328. DOI: 10.1177/13694332221126374.</w:t>
      </w:r>
    </w:p>
    <w:p>
      <w:pPr>
        <w:pStyle w:val="BodyText"/>
        <w:ind w:left="425" w:hanging="425"/>
        <w:jc w:val="left"/>
      </w:pPr>
      <w:r>
        <w:t xml:space="preserve">Lobo Aguilar S and Christenson RE (2018) A simplified shear-strain based bridge weigh-in-motion method for in-service highway bridges.</w:t>
      </w:r>
      <w:r>
        <w:t xml:space="preserve"> </w:t>
      </w:r>
      <w:r>
        <w:rPr>
          <w:iCs/>
          <w:i/>
        </w:rPr>
        <w:t xml:space="preserve">Métodos y Materiales</w:t>
      </w:r>
      <w:r>
        <w:t xml:space="preserve"> </w:t>
      </w:r>
      <w:r>
        <w:t xml:space="preserve">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w:t>
      </w:r>
      <w:r>
        <w:t xml:space="preserve"> </w:t>
      </w:r>
      <w:r>
        <w:rPr>
          <w:iCs/>
          <w:i/>
        </w:rPr>
        <w:t xml:space="preserve">Automation in Construction</w:t>
      </w:r>
      <w:r>
        <w:t xml:space="preserve"> </w:t>
      </w:r>
      <w:r>
        <w:t xml:space="preserve">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w:t>
      </w:r>
      <w:r>
        <w:t xml:space="preserve"> </w:t>
      </w:r>
      <w:r>
        <w:rPr>
          <w:iCs/>
          <w:i/>
        </w:rPr>
        <w:t xml:space="preserve">Journal of Structural Integrity and Maintenance</w:t>
      </w:r>
      <w:r>
        <w:t xml:space="preserve"> </w:t>
      </w:r>
      <w:r>
        <w:t xml:space="preserve">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w:t>
      </w:r>
      <w:r>
        <w:t xml:space="preserve"> </w:t>
      </w:r>
      <w:r>
        <w:rPr>
          <w:iCs/>
          <w:i/>
        </w:rPr>
        <w:t xml:space="preserve">Automation in Construction</w:t>
      </w:r>
      <w:r>
        <w:t xml:space="preserve"> </w:t>
      </w:r>
      <w:r>
        <w:t xml:space="preserve">148: 104768. DOI: 10.1016/j.autcon.2023.104768.</w:t>
      </w:r>
    </w:p>
    <w:p>
      <w:pPr>
        <w:pStyle w:val="BodyText"/>
        <w:ind w:left="425" w:hanging="425"/>
        <w:jc w:val="left"/>
      </w:pPr>
      <w:r>
        <w:t xml:space="preserve">Moses F (1979) Weigh-in-motion system using instrumented bridges.</w:t>
      </w:r>
      <w:r>
        <w:t xml:space="preserve"> </w:t>
      </w:r>
      <w:r>
        <w:rPr>
          <w:iCs/>
          <w:i/>
        </w:rPr>
        <w:t xml:space="preserve">Transportation Engineering Journal of ASCE</w:t>
      </w:r>
      <w:r>
        <w:t xml:space="preserve"> </w:t>
      </w:r>
      <w:r>
        <w:t xml:space="preserve">105(3): 233–249. DOI: 10.1061/TPEJAN.0000783.</w:t>
      </w:r>
    </w:p>
    <w:p>
      <w:pPr>
        <w:pStyle w:val="BodyText"/>
        <w:ind w:left="425" w:hanging="425"/>
        <w:jc w:val="left"/>
      </w:pPr>
      <w:r>
        <w:t xml:space="preserve">Nguyen QB, Hoang T and Nguyen HS (2024) [Determination of the load applied on a simply supported beam based on measured deflection data].</w:t>
      </w:r>
      <w:r>
        <w:t xml:space="preserve"> </w:t>
      </w:r>
      <w:r>
        <w:rPr>
          <w:iCs/>
          <w:i/>
        </w:rPr>
        <w:t xml:space="preserve">Journal of Science and Technology in Civil Engineering (HUCE)</w:t>
      </w:r>
      <w:r>
        <w:t xml:space="preserve"> </w:t>
      </w:r>
      <w:r>
        <w:t xml:space="preserve">18(2V): 61–71 (in Vietnamese). DOI: 10.31814/stce.huce2024-18(2V)-05.</w:t>
      </w:r>
    </w:p>
    <w:p>
      <w:pPr>
        <w:pStyle w:val="BodyText"/>
        <w:ind w:left="425" w:hanging="425"/>
        <w:jc w:val="left"/>
      </w:pPr>
      <w:r>
        <w:t xml:space="preserve">OBrien EJ, Quilligan MJ and Karoumi R (2006) Calculating an influence line from direct measurements.</w:t>
      </w:r>
      <w:r>
        <w:t xml:space="preserve"> </w:t>
      </w:r>
      <w:r>
        <w:rPr>
          <w:iCs/>
          <w:i/>
        </w:rPr>
        <w:t xml:space="preserve">Proceedings of the Institution of Civil Engineers: Bridge Engineering</w:t>
      </w:r>
      <w:r>
        <w:t xml:space="preserve"> </w:t>
      </w:r>
      <w:r>
        <w:t xml:space="preserve">159(1): 31–34. DOI: 10.1680/bren.2006.159.1.31.</w:t>
      </w:r>
    </w:p>
    <w:p>
      <w:pPr>
        <w:pStyle w:val="BodyText"/>
        <w:ind w:left="425" w:hanging="425"/>
        <w:jc w:val="left"/>
      </w:pPr>
      <w:r>
        <w:t xml:space="preserve">OBrien EJ, Rowley CW, González A and Green MF (2009) A regularised solution to the bridge weigh-in-motion equations.</w:t>
      </w:r>
      <w:r>
        <w:t xml:space="preserve"> </w:t>
      </w:r>
      <w:r>
        <w:rPr>
          <w:iCs/>
          <w:i/>
        </w:rPr>
        <w:t xml:space="preserve">International Journal of Heavy Vehicle Systems</w:t>
      </w:r>
      <w:r>
        <w:t xml:space="preserve"> </w:t>
      </w:r>
      <w:r>
        <w:t xml:space="preserve">16(3): 310–327. DOI: 10.1504/IJHVS.2009.027135.</w:t>
      </w:r>
    </w:p>
    <w:p>
      <w:pPr>
        <w:pStyle w:val="BodyText"/>
        <w:ind w:left="425" w:hanging="425"/>
        <w:jc w:val="left"/>
      </w:pPr>
      <w:r>
        <w:t xml:space="preserve">Ojio T and Yamada K (2002) Bridge weigh-in-motion systems using stringers of plate girder bridges. In:</w:t>
      </w:r>
      <w:r>
        <w:t xml:space="preserve"> </w:t>
      </w:r>
      <w:r>
        <w:rPr>
          <w:iCs/>
          <w:i/>
        </w:rPr>
        <w:t xml:space="preserve">Proceedings of the Third International Conference on Weigh-in-Motion (ICWIM3)</w:t>
      </w:r>
      <w:r>
        <w:t xml:space="preserve">. Orlando, FL, pp. 209–218.</w:t>
      </w:r>
    </w:p>
    <w:p>
      <w:pPr>
        <w:pStyle w:val="BodyText"/>
        <w:ind w:left="425" w:hanging="425"/>
        <w:jc w:val="left"/>
      </w:pPr>
      <w:r>
        <w:t xml:space="preserve">Papadimitriou C (2004) Optimal sensor placement methodology for parametric identification of structural systems.</w:t>
      </w:r>
      <w:r>
        <w:t xml:space="preserve"> </w:t>
      </w:r>
      <w:r>
        <w:rPr>
          <w:iCs/>
          <w:i/>
        </w:rPr>
        <w:t xml:space="preserve">Journal of Sound and Vibration</w:t>
      </w:r>
      <w:r>
        <w:t xml:space="preserve"> </w:t>
      </w:r>
      <w:r>
        <w:t xml:space="preserve">278(4–5): 923–947. DOI: 10.1016/j.jsv.2003.10.063.</w:t>
      </w:r>
    </w:p>
    <w:p>
      <w:pPr>
        <w:pStyle w:val="BodyText"/>
        <w:ind w:left="425" w:hanging="425"/>
        <w:jc w:val="left"/>
      </w:pPr>
      <w:r>
        <w:t xml:space="preserve">Pukelsheim F (2006)</w:t>
      </w:r>
      <w:r>
        <w:t xml:space="preserve"> </w:t>
      </w:r>
      <w:r>
        <w:rPr>
          <w:iCs/>
          <w:i/>
        </w:rPr>
        <w:t xml:space="preserve">Optimal Design of Experiments</w:t>
      </w:r>
      <w:r>
        <w:t xml:space="preserve">. Philadelphia: SIAM. DOI: 10.1137/1.9780898719109.</w:t>
      </w:r>
    </w:p>
    <w:p>
      <w:pPr>
        <w:pStyle w:val="BodyText"/>
        <w:ind w:left="425" w:hanging="425"/>
        <w:jc w:val="left"/>
      </w:pPr>
      <w:r>
        <w:t xml:space="preserve">Sherman J and Morrison WJ (1950) Adjustment of an inverse matrix corresponding to a change in one element of a given matrix.</w:t>
      </w:r>
      <w:r>
        <w:t xml:space="preserve"> </w:t>
      </w:r>
      <w:r>
        <w:rPr>
          <w:iCs/>
          <w:i/>
        </w:rPr>
        <w:t xml:space="preserve">Annals of Mathematical Statistics</w:t>
      </w:r>
      <w:r>
        <w:t xml:space="preserve"> </w:t>
      </w:r>
      <w:r>
        <w:t xml:space="preserve">21(1): 124–127. DOI: 10.1214/aoms/1177729893.</w:t>
      </w:r>
    </w:p>
    <w:p>
      <w:pPr>
        <w:pStyle w:val="BodyText"/>
        <w:ind w:left="425" w:hanging="425"/>
        <w:jc w:val="left"/>
      </w:pPr>
      <w:r>
        <w:t xml:space="preserve">Shi S, Yarnold M, Hurlebaus S and Mander J (2025) Evaluation of a load cell-based bridge weigh-in-motion system.</w:t>
      </w:r>
      <w:r>
        <w:t xml:space="preserve"> </w:t>
      </w:r>
      <w:r>
        <w:rPr>
          <w:iCs/>
          <w:i/>
        </w:rPr>
        <w:t xml:space="preserve">Transportation Research Record</w:t>
      </w:r>
      <w:r>
        <w:t xml:space="preserve"> </w:t>
      </w:r>
      <w:r>
        <w:t xml:space="preserve">2679(2): 535–549. DOI: 10.1177/03611981241263336.</w:t>
      </w:r>
    </w:p>
    <w:p>
      <w:pPr>
        <w:pStyle w:val="BodyText"/>
        <w:ind w:left="425" w:hanging="425"/>
        <w:jc w:val="left"/>
      </w:pPr>
      <w:r>
        <w:t xml:space="preserve">Sohn H (2007) Effects of environmental and operational variability on structural health monitoring.</w:t>
      </w:r>
      <w:r>
        <w:t xml:space="preserve"> </w:t>
      </w:r>
      <w:r>
        <w:rPr>
          <w:iCs/>
          <w:i/>
        </w:rPr>
        <w:t xml:space="preserve">Philosophical Transactions of the Royal Society A</w:t>
      </w:r>
      <w:r>
        <w:t xml:space="preserve"> </w:t>
      </w:r>
      <w:r>
        <w:t xml:space="preserve">365(1851): 539–560. DOI: 10.1098/rsta.2006.1935.</w:t>
      </w:r>
    </w:p>
    <w:p>
      <w:pPr>
        <w:pStyle w:val="BodyText"/>
        <w:ind w:left="425" w:hanging="425"/>
        <w:jc w:val="left"/>
      </w:pPr>
      <w:r>
        <w:t xml:space="preserve">Udwadia FE (1994) Methodology for optimum sensor locations for parameter identification in dynamic systems.</w:t>
      </w:r>
      <w:r>
        <w:t xml:space="preserve"> </w:t>
      </w:r>
      <w:r>
        <w:rPr>
          <w:iCs/>
          <w:i/>
        </w:rPr>
        <w:t xml:space="preserve">Journal of Engineering Mechanics</w:t>
      </w:r>
      <w:r>
        <w:t xml:space="preserve"> </w:t>
      </w:r>
      <w:r>
        <w:t xml:space="preserve">120(2): 368–390. DOI: 10.1061/(ASCE)0733-9399(1994)120:2(368).</w:t>
      </w:r>
    </w:p>
    <w:p>
      <w:pPr>
        <w:pStyle w:val="BodyText"/>
        <w:ind w:left="425" w:hanging="425"/>
        <w:jc w:val="left"/>
      </w:pPr>
      <w:r>
        <w:t xml:space="preserve">Ventura R, Barabino B and Maternini G (2024) Estimating the frequency of traffic overloading on road bridges.</w:t>
      </w:r>
      <w:r>
        <w:t xml:space="preserve"> </w:t>
      </w:r>
      <w:r>
        <w:rPr>
          <w:iCs/>
          <w:i/>
        </w:rPr>
        <w:t xml:space="preserve">Journal of Traffic and Transportation Engineering (English Edition)</w:t>
      </w:r>
      <w:r>
        <w:t xml:space="preserve"> </w:t>
      </w:r>
      <w:r>
        <w:t xml:space="preserve">11(4): 776–796. DOI: 10.1016/j.jtte.2023.11.005.</w:t>
      </w:r>
    </w:p>
    <w:p>
      <w:pPr>
        <w:pStyle w:val="BodyText"/>
        <w:ind w:left="425" w:hanging="425"/>
        <w:jc w:val="left"/>
      </w:pPr>
      <w:r>
        <w:t xml:space="preserve">Vu DC, Luong ND, Cu VH, Vu NQ and Bui NS (2023) Study on the application of TLS for bridge deflection inspection in Vietnam.</w:t>
      </w:r>
      <w:r>
        <w:t xml:space="preserve"> </w:t>
      </w:r>
      <w:r>
        <w:rPr>
          <w:iCs/>
          <w:i/>
        </w:rPr>
        <w:t xml:space="preserve">Journal of Science and Technology in Civil Engineering (HUCE)</w:t>
      </w:r>
      <w:r>
        <w:t xml:space="preserve"> </w:t>
      </w:r>
      <w:r>
        <w:t xml:space="preserve">17(4): 14–25. DOI: 10.31814/stce.huce2023-17(4)-02.</w:t>
      </w:r>
    </w:p>
    <w:p>
      <w:pPr>
        <w:pStyle w:val="BodyText"/>
        <w:ind w:left="425" w:hanging="425"/>
        <w:jc w:val="left"/>
      </w:pPr>
      <w:r>
        <w:t xml:space="preserve">Wang C, Zhang WS, Pan X, He WY and Ren WX (2026) Deflection influence line identification under moving vehicle based on variational modal decomposition and B-spline basis function.</w:t>
      </w:r>
      <w:r>
        <w:t xml:space="preserve"> </w:t>
      </w:r>
      <w:r>
        <w:rPr>
          <w:iCs/>
          <w:i/>
        </w:rPr>
        <w:t xml:space="preserve">Advances in Structural Engineering</w:t>
      </w:r>
      <w:r>
        <w:t xml:space="preserve"> </w:t>
      </w:r>
      <w:r>
        <w:t xml:space="preserve">29(4): 779–792. DOI: 10.1177/13694332251363355.</w:t>
      </w:r>
    </w:p>
    <w:p>
      <w:pPr>
        <w:pStyle w:val="BodyText"/>
        <w:ind w:left="425" w:hanging="425"/>
        <w:jc w:val="left"/>
      </w:pPr>
      <w:r>
        <w:t xml:space="preserve">Wu B, Wu G, Yang C and He Y (2018) Damage identification method for continuous girder bridges based on spatially-distributed long-gauge strain sensing under moving loads.</w:t>
      </w:r>
      <w:r>
        <w:t xml:space="preserve"> </w:t>
      </w:r>
      <w:r>
        <w:rPr>
          <w:iCs/>
          <w:i/>
        </w:rPr>
        <w:t xml:space="preserve">Mechanical Systems and Signal Processing</w:t>
      </w:r>
      <w:r>
        <w:t xml:space="preserve"> </w:t>
      </w:r>
      <w:r>
        <w:t xml:space="preserve">104: 415–435. DOI: 10.1016/j.ymssp.2017.10.040.</w:t>
      </w:r>
    </w:p>
    <w:p>
      <w:pPr>
        <w:pStyle w:val="BodyText"/>
        <w:ind w:left="425" w:hanging="425"/>
        <w:jc w:val="left"/>
      </w:pPr>
      <w:r>
        <w:t xml:space="preserve">Wu H, Zhao H, Liu J and Hu Z (2020) A filtering-based bridge weigh-in-motion system on a continuous multi-girder bridge considering the influence lines of different lanes.</w:t>
      </w:r>
      <w:r>
        <w:t xml:space="preserve"> </w:t>
      </w:r>
      <w:r>
        <w:rPr>
          <w:iCs/>
          <w:i/>
        </w:rPr>
        <w:t xml:space="preserve">Frontiers of Structural and Civil Engineering</w:t>
      </w:r>
      <w:r>
        <w:t xml:space="preserve"> </w:t>
      </w:r>
      <w:r>
        <w:t xml:space="preserve">14(5): 1232–1246. DOI: 10.1007/s11709-020-0653-0.</w:t>
      </w:r>
    </w:p>
    <w:p>
      <w:pPr>
        <w:pStyle w:val="BodyText"/>
        <w:ind w:left="425" w:hanging="425"/>
        <w:jc w:val="left"/>
      </w:pPr>
      <w:r>
        <w:t xml:space="preserve">Yamaguchi E, Kawamura S, Matuso K, Matsuki Y and Naito Y (2009) Bridge-weigh-in-motion by two-span continuous bridge with skew and heavy-truck flow in Fukuoka area, Japan.</w:t>
      </w:r>
      <w:r>
        <w:t xml:space="preserve"> </w:t>
      </w:r>
      <w:r>
        <w:rPr>
          <w:iCs/>
          <w:i/>
        </w:rPr>
        <w:t xml:space="preserve">Advances in Structural Engineering</w:t>
      </w:r>
      <w:r>
        <w:t xml:space="preserve"> </w:t>
      </w:r>
      <w:r>
        <w:t xml:space="preserve">12(1): 115–125. DOI: 10.1260/136943309787522614.</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w:t>
      </w:r>
      <w:r>
        <w:t xml:space="preserve"> </w:t>
      </w:r>
      <w:r>
        <w:rPr>
          <w:iCs/>
          <w:i/>
        </w:rPr>
        <w:t xml:space="preserve">Mechanical Systems and Signal Processing</w:t>
      </w:r>
      <w:r>
        <w:t xml:space="preserve"> </w:t>
      </w:r>
      <w:r>
        <w:t xml:space="preserve">177: 109133. DOI: 10.1016/j.ymssp.2022.109133.</w:t>
      </w:r>
    </w:p>
    <w:p>
      <w:pPr>
        <w:pStyle w:val="BodyText"/>
        <w:ind w:left="425" w:hanging="425"/>
        <w:jc w:val="left"/>
      </w:pPr>
      <w:r>
        <w:t xml:space="preserve">Yang J, Hou P, Yang C and Zhang Y (2021) Study on the method of moving load identification based on strain influence line.</w:t>
      </w:r>
      <w:r>
        <w:t xml:space="preserve"> </w:t>
      </w:r>
      <w:r>
        <w:rPr>
          <w:iCs/>
          <w:i/>
        </w:rPr>
        <w:t xml:space="preserve">Applied Sciences</w:t>
      </w:r>
      <w:r>
        <w:t xml:space="preserve"> </w:t>
      </w:r>
      <w:r>
        <w:t xml:space="preserve">11(2): 853. DOI: 10.3390/app11020853.</w:t>
      </w:r>
    </w:p>
    <w:p>
      <w:pPr>
        <w:pStyle w:val="BodyText"/>
        <w:ind w:left="425" w:hanging="425"/>
        <w:jc w:val="left"/>
      </w:pPr>
      <w:r>
        <w:t xml:space="preserve">Yu Y, Cai CS and Deng L (2016) State-of-the-art review on bridge weigh-in-motion technology.</w:t>
      </w:r>
      <w:r>
        <w:t xml:space="preserve"> </w:t>
      </w:r>
      <w:r>
        <w:rPr>
          <w:iCs/>
          <w:i/>
        </w:rPr>
        <w:t xml:space="preserve">Advances in Structural Engineering</w:t>
      </w:r>
      <w:r>
        <w:t xml:space="preserve"> </w:t>
      </w:r>
      <w:r>
        <w:t xml:space="preserve">19(9): 1514–1530. DOI: 10.1177/1369433216655922.</w:t>
      </w:r>
    </w:p>
    <w:p>
      <w:pPr>
        <w:pStyle w:val="BodyText"/>
        <w:ind w:left="425" w:hanging="425"/>
        <w:jc w:val="left"/>
      </w:pPr>
      <w:r>
        <w:t xml:space="preserve">Yu Y, Cai CS and Deng L (2018) Nothing-on-road bridge weigh-in-motion considering the transverse position of the vehicle.</w:t>
      </w:r>
      <w:r>
        <w:t xml:space="preserve"> </w:t>
      </w:r>
      <w:r>
        <w:rPr>
          <w:iCs/>
          <w:i/>
        </w:rPr>
        <w:t xml:space="preserve">Structure and Infrastructure Engineering</w:t>
      </w:r>
      <w:r>
        <w:t xml:space="preserve"> </w:t>
      </w:r>
      <w:r>
        <w:t xml:space="preserve">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w:t>
      </w:r>
      <w:r>
        <w:t xml:space="preserve"> </w:t>
      </w:r>
      <w:r>
        <w:rPr>
          <w:iCs/>
          <w:i/>
        </w:rPr>
        <w:t xml:space="preserve">Structures</w:t>
      </w:r>
      <w:r>
        <w:t xml:space="preserve"> </w:t>
      </w:r>
      <w:r>
        <w:t xml:space="preserve">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w:t>
      </w:r>
      <w:r>
        <w:t xml:space="preserve"> </w:t>
      </w:r>
      <w:r>
        <w:rPr>
          <w:iCs/>
          <w:i/>
        </w:rPr>
        <w:t xml:space="preserve">Mechanical Systems and Signal Processing</w:t>
      </w:r>
      <w:r>
        <w:t xml:space="preserve"> </w:t>
      </w:r>
      <w:r>
        <w:t xml:space="preserve">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w:t>
      </w:r>
      <w:r>
        <w:t xml:space="preserve"> </w:t>
      </w:r>
      <w:r>
        <w:rPr>
          <w:iCs/>
          <w:i/>
        </w:rPr>
        <w:t xml:space="preserve">Structural Control and Health Monitoring</w:t>
      </w:r>
      <w:r>
        <w:t xml:space="preserve"> </w:t>
      </w:r>
      <w:r>
        <w:t xml:space="preserve">2026(1): 1361157. DOI: 10.1155/stc/1361157.</w:t>
      </w:r>
    </w:p>
    <w:p>
      <w:pPr>
        <w:pStyle w:val="BodyText"/>
        <w:ind w:left="425" w:hanging="425"/>
        <w:jc w:val="left"/>
      </w:pPr>
      <w:r>
        <w:t xml:space="preserve">Zhu J, Wang C, Qi T and Zhou Z (2022) Vehicle load identification on orthotropic steel box beam bridge based on the strain response area.</w:t>
      </w:r>
      <w:r>
        <w:t xml:space="preserve"> </w:t>
      </w:r>
      <w:r>
        <w:rPr>
          <w:iCs/>
          <w:i/>
        </w:rPr>
        <w:t xml:space="preserve">Applied Sciences</w:t>
      </w:r>
      <w:r>
        <w:t xml:space="preserve"> </w:t>
      </w:r>
      <w:r>
        <w:t xml:space="preserve">12(23): 12394. DOI: 10.3390/app122312394.</w:t>
      </w:r>
    </w:p>
    <w:p>
      <w:pPr>
        <w:pStyle w:val="BodyText"/>
        <w:ind w:left="425" w:hanging="425"/>
        <w:jc w:val="left"/>
      </w:pPr>
      <w:r>
        <w:t xml:space="preserve">Zhu XQ and Law SS (2006) Moving load identification on multi-span continuous bridges with elastic bearings.</w:t>
      </w:r>
      <w:r>
        <w:t xml:space="preserve"> </w:t>
      </w:r>
      <w:r>
        <w:rPr>
          <w:iCs/>
          <w:i/>
        </w:rPr>
        <w:t xml:space="preserve">Mechanical Systems and Signal Processing</w:t>
      </w:r>
      <w:r>
        <w:t xml:space="preserve"> </w:t>
      </w:r>
      <w:r>
        <w:t xml:space="preserve">20(7): 1759–1782. DOI: 10.1016/j.ymssp.2005.06.004.</w:t>
      </w:r>
    </w:p>
    <w:p>
      <w:pPr>
        <w:pStyle w:val="BodyText"/>
        <w:ind w:left="425" w:hanging="425"/>
        <w:jc w:val="left"/>
      </w:pPr>
      <w:r>
        <w:t xml:space="preserve">Žnidarič A, Kalin J and Kreslin M (2018) Improved accuracy and robustness of bridge weigh-in-motion systems.</w:t>
      </w:r>
      <w:r>
        <w:t xml:space="preserve"> </w:t>
      </w:r>
      <w:r>
        <w:rPr>
          <w:iCs/>
          <w:i/>
        </w:rPr>
        <w:t xml:space="preserve">Structure and Infrastructure Engineering</w:t>
      </w:r>
      <w:r>
        <w:t xml:space="preserve"> </w:t>
      </w:r>
      <w:r>
        <w:t xml:space="preserve">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w:t>
      </w:r>
      <w:r>
        <w:t xml:space="preserve"> </w:t>
      </w:r>
      <w:r>
        <w:rPr>
          <w:iCs/>
          <w:i/>
        </w:rPr>
        <w:t xml:space="preserve">Advances in Structural Engineering</w:t>
      </w:r>
      <w:r>
        <w:t xml:space="preserve"> </w:t>
      </w:r>
      <w:r>
        <w:t xml:space="preserve">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2026-10-21T11:06:46Z</dcterms:created>
  <dcterms:modified xsi:type="dcterms:W3CDTF">2026-10-21T11:06:46Z</dcterms:modified>
</cp:coreProperties>
</file>

<file path=docProps/custom.xml><?xml version="1.0" encoding="utf-8"?>
<Properties xmlns="http://schemas.openxmlformats.org/officeDocument/2006/custom-properties" xmlns:vt="http://schemas.openxmlformats.org/officeDocument/2006/docPropsVTypes"/>
</file>