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Observability and sensor layout for influence-area load monitoring of continuous girder bridges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fiber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mid</m:t>
                  </m:r>
                </m:sub>
              </m:sSub>
            </m:oMath>
            <w:r>
              <w:t xml:space="preserve">,</w:t>
            </w:r>
            <w:r>
              <w:t xml:space="preserve"> </w:t>
            </w:r>
            <m:oMath>
              <m:r>
                <m:t>E</m:t>
              </m:r>
              <m:sSub>
                <m:e>
                  <m:r>
                    <m:t>I</m:t>
                  </m:r>
                </m:e>
                <m:sub>
                  <m:r>
                    <m:rPr>
                      <m:sty m:val="p"/>
                    </m:rPr>
                    <m:t>ref</m:t>
                  </m:r>
                </m:sub>
              </m:sSub>
            </m:oMath>
          </w:p>
        </w:tc>
        <w:tc>
          <w:tcPr>
            <w:tcW w:type="dxa" w:w="6177"/>
          </w:tcPr>
          <w:p>
            <w:pPr>
              <w:pStyle w:val="Compact"/>
              <w:jc w:val="left"/>
            </w:pPr>
            <w:r>
              <w:t xml:space="preserve">flexural rigidity;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side</m:t>
                  </m:r>
                </m:sub>
              </m:sSub>
              <m:r>
                <m:rPr>
                  <m:sty m:val="p"/>
                </m:rPr>
                <m:t>/</m:t>
              </m:r>
              <m:r>
                <m:t>E</m:t>
              </m:r>
              <m:sSub>
                <m:e>
                  <m:r>
                    <m:t>I</m:t>
                  </m:r>
                </m:e>
                <m:sub>
                  <m:r>
                    <m:rPr>
                      <m:sty m:val="p"/>
                    </m:rPr>
                    <m:t>side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p>
        </w:tc>
        <w:tc>
          <w:tcPr>
            <w:tcW w:type="dxa" w:w="6177"/>
          </w:tcPr>
          <w:p>
            <w:pPr>
              <w:pStyle w:val="Compact"/>
              <w:jc w:val="left"/>
            </w:pPr>
            <w:r>
              <w:t xml:space="preserve">length of the span containing the sensor, including the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tot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tot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tot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main</m:t>
                  </m:r>
                </m:sub>
              </m:sSub>
              <m:r>
                <m:rPr>
                  <m:sty m:val="p"/>
                </m:rPr>
                <m:t>/</m:t>
              </m:r>
              <m:sSub>
                <m:e>
                  <m:r>
                    <m:t>L</m:t>
                  </m:r>
                </m:e>
                <m:sub>
                  <m:r>
                    <m:rPr>
                      <m:sty m:val="p"/>
                    </m:rPr>
                    <m:t>side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rPr>
                    <m:t>side</m:t>
                  </m:r>
                </m:sub>
              </m:sSub>
            </m:oMath>
            <w:r>
              <w:t xml:space="preserve"> </w:t>
            </w:r>
            <w:r>
              <w:t xml:space="preserve">(three spans); Eqs. (4), (16)</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noise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generalized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2892"/>
          </w:tcPr>
          <w:p>
            <w:pPr>
              <w:pStyle w:val="Compact"/>
              <w:jc w:val="left"/>
            </w:pPr>
            <w:r>
              <w:t xml:space="preserve">T5–T8</w:t>
            </w:r>
          </w:p>
        </w:tc>
        <w:tc>
          <w:tcPr>
            <w:tcW w:type="dxa" w:w="617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main</m:t>
            </m:r>
          </m:sub>
        </m:sSub>
      </m:oMath>
      <w:r>
        <w:t xml:space="preserve"> </w:t>
      </w:r>
      <w:r>
        <w:t xml:space="preserve">in the main span,</w:t>
      </w:r>
      <w:r>
        <w:t xml:space="preserve"> </w:t>
      </w:r>
      <m:oMath>
        <m:r>
          <m:t>192</m:t>
        </m:r>
        <m:r>
          <m:t>E</m:t>
        </m:r>
        <m:sSub>
          <m:e>
            <m:r>
              <m:t>I</m:t>
            </m:r>
          </m:e>
          <m:sub>
            <m:r>
              <m:rPr>
                <m:sty m:val="p"/>
              </m:rPr>
              <m:t>main</m:t>
            </m:r>
          </m:sub>
        </m:sSub>
        <m:sSub>
          <m:e>
            <m:r>
              <m:t>C</m:t>
            </m:r>
          </m:e>
          <m:sub>
            <m:r>
              <m:t>m</m:t>
            </m:r>
          </m:sub>
        </m:sSub>
        <m:r>
          <m:rPr>
            <m:sty m:val="p"/>
          </m:rPr>
          <m:t>/</m:t>
        </m:r>
        <m:sSubSup>
          <m:e>
            <m:r>
              <m:t>L</m:t>
            </m:r>
          </m:e>
          <m:sub>
            <m:r>
              <m:rPr>
                <m:sty m:val="p"/>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(16) and the main-span values from</w:t>
      </w:r>
      <w:r>
        <w:t xml:space="preserve"> </w:t>
      </w:r>
      <m:oMath>
        <m:sSub>
          <m:e>
            <m:acc>
              <m:accPr>
                <m:chr m:val="‾"/>
              </m:accPr>
              <m:e>
                <m:r>
                  <m:t>M</m:t>
                </m:r>
              </m:e>
            </m:acc>
          </m:e>
          <m:sub>
            <m:r>
              <m:rPr>
                <m:sty m:val="p"/>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w:t>
      </w:r>
      <w:r>
        <w:t xml:space="preserve"> </w:t>
      </w:r>
      <m:oMath>
        <m:sSubSup>
          <m:e>
            <m:r>
              <m:t>δ</m:t>
            </m:r>
          </m:e>
          <m:sub>
            <m:r>
              <m:t>0</m:t>
            </m:r>
          </m:sub>
          <m:sup>
            <m:r>
              <m:t>2</m:t>
            </m:r>
          </m:sup>
        </m:sSubSup>
        <m:sSubSup>
          <m:e>
            <m:r>
              <m:t>L</m:t>
            </m:r>
          </m:e>
          <m:sub>
            <m:r>
              <m:rPr>
                <m:sty m:val="p"/>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(13) and (14)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3376"/>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3376"/>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w:t>
      </w:r>
      <w:r>
        <w:t xml:space="preserve"> </w:t>
      </w:r>
      <m:oMath>
        <m:r>
          <m:t>k</m:t>
        </m:r>
      </m:oMath>
      <w:r>
        <w:t xml:space="preserve"> </w:t>
      </w:r>
      <w:r>
        <w:t xml:space="preserve">= 2 sensors solid,</w:t>
      </w:r>
      <w:r>
        <w:t xml:space="preserve"> </w:t>
      </w:r>
      <m:oMath>
        <m:r>
          <m:t>k</m:t>
        </m:r>
      </m:oMath>
      <w:r>
        <w:t xml:space="preserve"> </w:t>
      </w:r>
      <w:r>
        <w:t xml:space="preserve">= 3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antisymmetric pier stiffness</w:t>
      </w:r>
      <w:r>
        <w:t xml:space="preserve"> </w:t>
      </w:r>
      <m:oMath>
        <m:sSub>
          <m:e>
            <m:r>
              <m:t>k</m:t>
            </m:r>
          </m:e>
          <m:sub>
            <m:r>
              <m:t>g</m:t>
            </m:r>
          </m:sub>
        </m:sSub>
        <m:sSub>
          <m:e>
            <m:r>
              <m:t>L</m:t>
            </m:r>
          </m:e>
          <m:sub>
            <m:r>
              <m:rPr>
                <m:sty m:val="p"/>
              </m:rPr>
              <m:t>side</m:t>
            </m:r>
          </m:sub>
        </m:sSub>
        <m:r>
          <m:rPr>
            <m:sty m:val="p"/>
          </m:rPr>
          <m:t>/</m:t>
        </m:r>
        <m:r>
          <m:t>E</m:t>
        </m:r>
        <m:sSub>
          <m:e>
            <m:r>
              <m:t>I</m:t>
            </m:r>
          </m:e>
          <m:sub>
            <m:r>
              <m:rPr>
                <m:sty m:val="p"/>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symmetric pattern, which Eq. (15)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Table S3 compares the identified total loads with direct weighing, and Table S4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S4).</w:t>
      </w:r>
    </w:p>
    <w:p>
      <w:pPr>
        <w:pStyle w:val="BodyText"/>
        <w:keepNext/>
      </w:pPr>
      <w:r>
        <w:rPr>
          <w:bCs/>
          <w:b/>
        </w:rPr>
        <w:t xml:space="preserve">Table S3.</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S4.</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S5). The first truck ran at 10.4–12.8 m/s and the second at 19.1–19.8 m/s, so speed and truck are confounded. Day-2 speeds were 13–28 m/s; no speed effect was resolved (+6 % per 10 m/s, 95 % CI −23 to +35 %), but the confidence interval of the slope is too wide to call the constant speed-independent (Fig. S9). Equivalence was tested by two one-sided tests (TOST; Table S6).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w:t>
      </w:r>
    </w:p>
    <w:p>
      <w:pPr>
        <w:pStyle w:val="BodyText"/>
      </w:pPr>
      <w:r>
        <w:t xml:space="preserve">Estimators. Table S7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S8 and Fig. S11 give the correlations behind this result, and Table S9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S5.</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S6.</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S5)</w:t>
            </w:r>
          </w:p>
        </w:tc>
      </w:tr>
    </w:tbl>
    <w:p>
      <w:pPr>
        <w:pStyle w:val="BodyText"/>
        <w:keepNext/>
      </w:pPr>
      <w:r>
        <w:rPr>
          <w:bCs/>
          <w:b/>
        </w:rPr>
        <w:t xml:space="preserve">Table S7.</w:t>
      </w:r>
      <w:r>
        <w:t xml:space="preserve"> </w:t>
      </w:r>
      <w:r>
        <w:t xml:space="preserve">Mean absolute error of the gross weight (% of GVW), out of sample, with 95 % bootstrap CIs over the test runs (n = 8 on day 2, n =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S8.</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S9.</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S10). Mitutoyo dial gauges, mounted on independent frames fixed to the ground, read the peak deflection under central and eccentric transverse positions at three measuring points across each section (Table S11). The longitudinal truck positions are given as drawings in the test report and are not tabulated.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Admissible sets (Table S12). The conclusions depend on the tolerance.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w:t>
      </w:r>
    </w:p>
    <w:p>
      <w:pPr>
        <w:pStyle w:val="BodyText"/>
      </w:pPr>
      <w:r>
        <w:t xml:space="preserve">Frequencies. The measured vertical frequencies (3.43–3.64 Hz; Table S13)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that the first and third frequencies would give (Section 5.3) assumes a measurement that was not made.</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sty m:val="p"/>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w:t>
      </w:r>
    </w:p>
    <w:p>
      <w:pPr>
        <w:pStyle w:val="BodyText"/>
      </w:pPr>
      <w:r>
        <w:t xml:space="preserve">Indicators and channels (Table S14). Going from pinned to fixed piers multiplies the N8 constant by 14.0 but reduces the N7 constant to 0.59 of its pinned value. A strain gauge at mid side span would be practically blind under calibration A (</w:t>
      </w:r>
      <m:oMath>
        <m:sSub>
          <m:e>
            <m:r>
              <m:t>N</m:t>
            </m:r>
          </m:e>
          <m:sub>
            <m:r>
              <m:t>M</m:t>
            </m:r>
          </m:sub>
        </m:sSub>
        <m:r>
          <m:rPr>
            <m:sty m:val="p"/>
          </m:rPr>
          <m:t>=</m:t>
        </m:r>
        <m:r>
          <m:t>0.048</m:t>
        </m:r>
      </m:oMath>
      <w:r>
        <w:t xml:space="preserve">) and would change sign with pinned piers.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w:t>
      </w:r>
    </w:p>
    <w:p>
      <w:pPr>
        <w:pStyle w:val="BodyText"/>
        <w:keepNext/>
      </w:pPr>
      <w:r>
        <w:rPr>
          <w:bCs/>
          <w:b/>
        </w:rPr>
        <w:t xml:space="preserve">Table S10.</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S11.</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S12.</w:t>
      </w:r>
      <w:r>
        <w:t xml:space="preserve"> </w:t>
      </w:r>
      <w:r>
        <w:t xml:space="preserve">Admissible set of the Mây Bridge model against the tolerance</w:t>
      </w:r>
      <w:r>
        <w:t xml:space="preserve"> </w:t>
      </w:r>
      <m:oMath>
        <m:r>
          <m:t>τ</m:t>
        </m:r>
      </m:oMath>
      <w:r>
        <w:t xml:space="preserve"> </w:t>
      </w:r>
      <w:r>
        <w:t xml:space="preserve">on the misfit of each gauge.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38"/>
        <w:gridCol w:w="1290"/>
        <w:gridCol w:w="1188"/>
        <w:gridCol w:w="1358"/>
        <w:gridCol w:w="1766"/>
        <w:gridCol w:w="1426"/>
      </w:tblGrid>
      <w:tr>
        <w:trPr>
          <w:tblHeader w:val="true"/>
          <w:tblHeader w:val="true"/>
          <w:cantSplit/>
        </w:trPr>
        <w:tc>
          <w:tcPr>
            <w:tcW w:type="dxa" w:w="2038"/>
            <w:tcBorders>
              <w:top w:val="nil"/>
              <w:left w:val="nil"/>
              <w:bottom w:val="single" w:sz="6" w:space="0" w:color="000000"/>
              <w:right w:val="nil"/>
            </w:tcBorders>
          </w:tcPr>
          <w:p>
            <w:pPr>
              <w:pStyle w:val="Compact"/>
              <w:jc w:val="left"/>
            </w:pPr>
            <w:r>
              <w:t xml:space="preserve">Tolerance, prior</w:t>
            </w:r>
          </w:p>
        </w:tc>
        <w:tc>
          <w:tcPr>
            <w:tcW w:type="dxa" w:w="1290"/>
            <w:tcBorders>
              <w:top w:val="nil"/>
              <w:left w:val="nil"/>
              <w:bottom w:val="single" w:sz="6" w:space="0" w:color="000000"/>
              <w:right w:val="nil"/>
            </w:tcBorders>
          </w:tcPr>
          <w:p>
            <w:pPr>
              <w:pStyle w:val="Compact"/>
              <w:jc w:val="left"/>
            </w:pPr>
            <m:oMath>
              <m:r>
                <m:t>κ</m:t>
              </m:r>
            </m:oMath>
            <w:r>
              <w:t xml:space="preserve"> </w:t>
            </w:r>
            <w:r>
              <w:t xml:space="preserve">(kN m/rad)</w:t>
            </w:r>
          </w:p>
        </w:tc>
        <w:tc>
          <w:tcPr>
            <w:tcW w:type="dxa" w:w="1188"/>
            <w:tcBorders>
              <w:top w:val="nil"/>
              <w:left w:val="nil"/>
              <w:bottom w:val="single" w:sz="6" w:space="0" w:color="000000"/>
              <w:right w:val="nil"/>
            </w:tcBorders>
          </w:tcPr>
          <w:p>
            <w:pPr>
              <w:pStyle w:val="Compact"/>
              <w:jc w:val="right"/>
            </w:pPr>
            <m:oMath>
              <m:r>
                <m:t>α</m:t>
              </m:r>
            </m:oMath>
          </w:p>
        </w:tc>
        <w:tc>
          <w:tcPr>
            <w:tcW w:type="dxa" w:w="1358"/>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mid</m:t>
                  </m:r>
                </m:sub>
              </m:sSub>
            </m:oMath>
          </w:p>
        </w:tc>
        <w:tc>
          <w:tcPr>
            <w:tcW w:type="dxa" w:w="1766"/>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mid</m:t>
                  </m:r>
                </m:sub>
              </m:sSub>
            </m:oMath>
          </w:p>
        </w:tc>
        <w:tc>
          <w:tcPr>
            <w:tcW w:type="dxa" w:w="1426"/>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r>
      <w:tr>
        <w:trPr>
          <w:cantSplit/>
        </w:trPr>
        <w:tc>
          <w:tcPr>
            <w:tcW w:type="dxa" w:w="2038"/>
          </w:tcPr>
          <w:p>
            <w:pPr>
              <w:pStyle w:val="Compact"/>
              <w:jc w:val="left"/>
            </w:pPr>
            <m:oMath>
              <m:r>
                <m:t>τ</m:t>
              </m:r>
            </m:oMath>
            <w:r>
              <w:t xml:space="preserve"> </w:t>
            </w:r>
            <w:r>
              <w:t xml:space="preserve">= 3 %</w:t>
            </w:r>
          </w:p>
        </w:tc>
        <w:tc>
          <w:tcPr>
            <w:tcW w:type="dxa" w:w="1290"/>
          </w:tcPr>
          <w:p>
            <w:pPr>
              <w:pStyle w:val="Compact"/>
              <w:jc w:val="left"/>
            </w:pPr>
            <w:r>
              <w:t xml:space="preserve">1.0–3.0 × 10⁸</w:t>
            </w:r>
          </w:p>
        </w:tc>
        <w:tc>
          <w:tcPr>
            <w:tcW w:type="dxa" w:w="1188"/>
          </w:tcPr>
          <w:p>
            <w:pPr>
              <w:pStyle w:val="Compact"/>
              <w:jc w:val="right"/>
            </w:pPr>
            <w:r>
              <w:t xml:space="preserve">0.64–0.80</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4 %</w:t>
            </w:r>
          </w:p>
        </w:tc>
        <w:tc>
          <w:tcPr>
            <w:tcW w:type="dxa" w:w="1290"/>
          </w:tcPr>
          <w:p>
            <w:pPr>
              <w:pStyle w:val="Compact"/>
              <w:jc w:val="left"/>
            </w:pPr>
            <w:r>
              <w:t xml:space="preserve">4.2 × 10⁷–2.0 × 10⁹</w:t>
            </w:r>
          </w:p>
        </w:tc>
        <w:tc>
          <w:tcPr>
            <w:tcW w:type="dxa" w:w="1188"/>
          </w:tcPr>
          <w:p>
            <w:pPr>
              <w:pStyle w:val="Compact"/>
              <w:jc w:val="right"/>
            </w:pPr>
            <w:r>
              <w:t xml:space="preserve">0.54–0.98</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5.3 %</w:t>
            </w:r>
          </w:p>
        </w:tc>
        <w:tc>
          <w:tcPr>
            <w:tcW w:type="dxa" w:w="1290"/>
          </w:tcPr>
          <w:p>
            <w:pPr>
              <w:pStyle w:val="Compact"/>
              <w:jc w:val="left"/>
            </w:pPr>
            <w:r>
              <w:t xml:space="preserve">≥ 1.8 × 10⁷</w:t>
            </w:r>
          </w:p>
        </w:tc>
        <w:tc>
          <w:tcPr>
            <w:tcW w:type="dxa" w:w="1188"/>
          </w:tcPr>
          <w:p>
            <w:pPr>
              <w:pStyle w:val="Compact"/>
              <w:jc w:val="right"/>
            </w:pPr>
            <w:r>
              <w:t xml:space="preserve">0.51–1.15</w:t>
            </w:r>
          </w:p>
        </w:tc>
        <w:tc>
          <w:tcPr>
            <w:tcW w:type="dxa" w:w="1358"/>
          </w:tcPr>
          <w:p>
            <w:pPr>
              <w:pStyle w:val="Compact"/>
              <w:jc w:val="right"/>
            </w:pPr>
            <w:r>
              <w:t xml:space="preserve">0.14–0.42</w:t>
            </w:r>
          </w:p>
        </w:tc>
        <w:tc>
          <w:tcPr>
            <w:tcW w:type="dxa" w:w="1766"/>
          </w:tcPr>
          <w:p>
            <w:pPr>
              <w:pStyle w:val="Compact"/>
              <w:jc w:val="right"/>
            </w:pPr>
            <w:r>
              <w:t xml:space="preserve">0.12–0.82</w:t>
            </w:r>
          </w:p>
        </w:tc>
        <w:tc>
          <w:tcPr>
            <w:tcW w:type="dxa" w:w="1426"/>
          </w:tcPr>
          <w:p>
            <w:pPr>
              <w:pStyle w:val="Compact"/>
              <w:jc w:val="right"/>
            </w:pPr>
            <w:r>
              <w:t xml:space="preserve">3.0 × 10⁻⁵–2.0 × 10⁻⁴</w:t>
            </w:r>
          </w:p>
        </w:tc>
      </w:tr>
      <w:tr>
        <w:trPr>
          <w:cantSplit/>
        </w:trPr>
        <w:tc>
          <w:tcPr>
            <w:tcW w:type="dxa" w:w="2038"/>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1290"/>
          </w:tcPr>
          <w:p>
            <w:pPr>
              <w:pStyle w:val="Compact"/>
              <w:jc w:val="left"/>
            </w:pPr>
            <w:r>
              <w:t xml:space="preserve">–</w:t>
            </w:r>
          </w:p>
        </w:tc>
        <w:tc>
          <w:tcPr>
            <w:tcW w:type="dxa" w:w="1188"/>
          </w:tcPr>
          <w:p>
            <w:pPr>
              <w:pStyle w:val="Compact"/>
              <w:jc w:val="right"/>
            </w:pPr>
            <w:r>
              <w:t xml:space="preserve">–</w:t>
            </w:r>
          </w:p>
        </w:tc>
        <w:tc>
          <w:tcPr>
            <w:tcW w:type="dxa" w:w="1358"/>
          </w:tcPr>
          <w:p>
            <w:pPr>
              <w:pStyle w:val="Compact"/>
              <w:jc w:val="right"/>
            </w:pPr>
            <w:r>
              <w:t xml:space="preserve">0.14–0.27</w:t>
            </w:r>
          </w:p>
        </w:tc>
        <w:tc>
          <w:tcPr>
            <w:tcW w:type="dxa" w:w="1766"/>
          </w:tcPr>
          <w:p>
            <w:pPr>
              <w:pStyle w:val="Compact"/>
              <w:jc w:val="right"/>
            </w:pPr>
            <w:r>
              <w:t xml:space="preserve">0.12–0.30</w:t>
            </w:r>
          </w:p>
        </w:tc>
        <w:tc>
          <w:tcPr>
            <w:tcW w:type="dxa" w:w="1426"/>
          </w:tcPr>
          <w:p>
            <w:pPr>
              <w:pStyle w:val="Compact"/>
              <w:jc w:val="right"/>
            </w:pPr>
            <w:r>
              <w:t xml:space="preserve">–</w:t>
            </w:r>
          </w:p>
        </w:tc>
      </w:tr>
    </w:tbl>
    <w:p>
      <w:pPr>
        <w:pStyle w:val="BodyText"/>
        <w:keepNext/>
      </w:pPr>
      <w:r>
        <w:rPr>
          <w:bCs/>
          <w:b/>
        </w:rPr>
        <w:t xml:space="preserve">Table S13.</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S14.</w:t>
      </w:r>
      <w:r>
        <w:t xml:space="preserve"> </w:t>
      </w:r>
      <w:r>
        <w:t xml:space="preserve">Deflection indicator</w:t>
      </w:r>
      <w:r>
        <w:t xml:space="preserve"> </w:t>
      </w:r>
      <m:oMath>
        <m:sSub>
          <m:e>
            <m:r>
              <m:t>N</m:t>
            </m:r>
          </m:e>
          <m:sub>
            <m:r>
              <m:t>w</m:t>
            </m:r>
          </m:sub>
        </m:sSub>
      </m:oMath>
      <w:r>
        <w:t xml:space="preserve"> </w:t>
      </w:r>
      <w:r>
        <w:t xml:space="preserve">(Eq. (10)), cancellation ratio</w:t>
      </w:r>
      <w:r>
        <w:t xml:space="preserve"> </w:t>
      </w:r>
      <m:oMath>
        <m:r>
          <m:t>R</m:t>
        </m:r>
      </m:oMath>
      <w:r>
        <w:t xml:space="preserve"> </w:t>
      </w:r>
      <w:r>
        <w:t xml:space="preserve">(Eq. (11))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the haunch-length variants (</w:t>
      </w:r>
      <m:oMath>
        <m:sSub>
          <m:e>
            <m:r>
              <m:t>L</m:t>
            </m:r>
          </m:e>
          <m:sub>
            <m:r>
              <m:rPr>
                <m:sty m:val="p"/>
              </m:rPr>
              <m:t>v</m:t>
            </m:r>
          </m:sub>
        </m:sSub>
      </m:oMath>
      <w:r>
        <w:t xml:space="preserve"> </w:t>
      </w:r>
      <w:r>
        <w:t xml:space="preserve">= 40–45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0.023</w:t>
            </w:r>
          </w:p>
        </w:tc>
        <w:tc>
          <w:tcPr>
            <w:tcW w:type="dxa" w:w="1330"/>
          </w:tcPr>
          <w:p>
            <w:pPr>
              <w:pStyle w:val="Compact"/>
              <w:jc w:val="right"/>
            </w:pPr>
            <w:r>
              <w:t xml:space="preserve">−0.066</w:t>
            </w:r>
          </w:p>
        </w:tc>
        <w:tc>
          <w:tcPr>
            <w:tcW w:type="dxa" w:w="1204"/>
          </w:tcPr>
          <w:p>
            <w:pPr>
              <w:pStyle w:val="Compact"/>
              <w:jc w:val="right"/>
            </w:pPr>
            <w:r>
              <w:t xml:space="preserve">0.263</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0.446</w:t>
            </w:r>
          </w:p>
        </w:tc>
        <w:tc>
          <w:tcPr>
            <w:tcW w:type="dxa" w:w="1330"/>
          </w:tcPr>
          <w:p>
            <w:pPr>
              <w:pStyle w:val="Compact"/>
              <w:jc w:val="right"/>
            </w:pPr>
            <w:r>
              <w:t xml:space="preserve">0.375</w:t>
            </w:r>
          </w:p>
        </w:tc>
        <w:tc>
          <w:tcPr>
            <w:tcW w:type="dxa" w:w="1204"/>
          </w:tcPr>
          <w:p>
            <w:pPr>
              <w:pStyle w:val="Compact"/>
              <w:jc w:val="right"/>
            </w:pPr>
            <w:r>
              <w:t xml:space="preserve">0.145</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(12),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S15 evaluates Eq. (12) for the Mây Bridge gauges over the admissible set, with</w:t>
      </w:r>
      <w:r>
        <w:t xml:space="preserve"> </w:t>
      </w:r>
      <m:oMath>
        <m:sSub>
          <m:e>
            <m:r>
              <m:t>L</m:t>
            </m:r>
          </m:e>
          <m:sub>
            <m:r>
              <m:rPr>
                <m:sty m:val="p"/>
              </m:rPr>
              <m:t>tot</m:t>
            </m:r>
          </m:sub>
        </m:sSub>
        <m:r>
          <m:rPr>
            <m:sty m:val="p"/>
          </m:rPr>
          <m:t>=</m:t>
        </m:r>
        <m:r>
          <m:t>200</m:t>
        </m:r>
      </m:oMath>
      <w:r>
        <w:t xml:space="preserve"> </w:t>
      </w:r>
      <w:r>
        <w:t xml:space="preserve">m and a truck of the mean weighed gross weight, 25.06 t. The smaller offsets in Table S15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S16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S15.</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3.3–5.0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82–543 %</w:t>
            </w:r>
          </w:p>
        </w:tc>
        <w:tc>
          <w:tcPr>
            <w:tcW w:type="dxa" w:w="1361"/>
          </w:tcPr>
          <w:p>
            <w:pPr>
              <w:pStyle w:val="Compact"/>
              <w:jc w:val="right"/>
            </w:pPr>
            <w:r>
              <w:t xml:space="preserve">206–1356 %</w:t>
            </w:r>
          </w:p>
        </w:tc>
      </w:tr>
    </w:tbl>
    <w:p>
      <w:pPr>
        <w:pStyle w:val="BodyText"/>
        <w:keepNext/>
      </w:pPr>
      <w:r>
        <w:rPr>
          <w:bCs/>
          <w:b/>
        </w:rPr>
        <w:t xml:space="preserve">Table S16.</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S15;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1–2 %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2026-10-19T17:15:35Z</dcterms:created>
  <dcterms:modified xsi:type="dcterms:W3CDTF">2026-10-19T17:15:35Z</dcterms:modified>
</cp:coreProperties>
</file>

<file path=docProps/custom.xml><?xml version="1.0" encoding="utf-8"?>
<Properties xmlns="http://schemas.openxmlformats.org/officeDocument/2006/custom-properties" xmlns:vt="http://schemas.openxmlformats.org/officeDocument/2006/docPropsVTypes"/>
</file>