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rPr>
          <w:cantSplit/>
        </w:trP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47894"/>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47894"/>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m:t>
            </m:r>
            <m:r>
              <m:rPr>
                <m:sty m:val="p"/>
              </m:rPr>
              <m:t>o</m:t>
            </m:r>
            <m:r>
              <m:rPr>
                <m:sty m:val="p"/>
              </m:rPr>
              <m:t>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08826"/>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08826"/>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Figure"/>
      </w:pPr>
      <w:r>
        <w:drawing>
          <wp:inline>
            <wp:extent cx="5039999" cy="273527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73527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Figure"/>
      </w:pPr>
      <w:r>
        <w:drawing>
          <wp:inline>
            <wp:extent cx="5039999" cy="1658220"/>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658220"/>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w:t>
            </w:r>
          </w:p>
        </w:tc>
        <w:tc>
          <w:tcPr>
            <w:tcW w:type="dxa" w:w="1694"/>
          </w:tcPr>
          <w:p>
            <w:pPr>
              <w:pStyle w:val="Compact"/>
              <w:jc w:val="right"/>
            </w:pPr>
            <w:r>
              <w:t xml:space="preserve">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11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9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correlation matrices of the integrated vehicle-free noise between gauges, for windows of crossing length; day 1 (12 gauges) and day 2 (4 gauges).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uniform-load moment (top) and strain constant (middle) along the girder, normalized at the gauges, and the single-gauge error expected from the measured noise for a 25 t truck (bottom).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by truck and lane, and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w:r>
              <w:t xml:space="preserve">χ² p</w:t>
            </w:r>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 χ² test, Table S5)</w:t>
            </w:r>
          </w:p>
        </w:tc>
      </w:tr>
    </w:tbl>
    <w:p>
      <w:pPr>
        <w:pStyle w:val="BodyText"/>
        <w:keepN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 weight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Cầu Mây: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0.4L</w:t>
            </w:r>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0.4L</w:t>
            </w:r>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blHeader w:val="true"/>
          <w:cantSplit/>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righ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rPr>
          <w:cantSplit/>
        </w:trPr>
        <w:tc>
          <w:tcPr>
            <w:tcW w:type="dxa" w:w="2045"/>
          </w:tcPr>
          <w:p>
            <w:pPr>
              <w:pStyle w:val="Compact"/>
              <w:jc w:val="left"/>
            </w:pPr>
            <w:r>
              <w:t xml:space="preserve">Flexural rigidity</w:t>
            </w:r>
            <w:r>
              <w:t xml:space="preserve"> </w:t>
            </w:r>
            <m:oMath>
              <m:r>
                <m:t>E</m:t>
              </m:r>
              <m:r>
                <m:t>I</m:t>
              </m:r>
            </m:oMath>
          </w:p>
        </w:tc>
        <w:tc>
          <w:tcPr>
            <w:tcW w:type="dxa" w:w="2114"/>
          </w:tcPr>
          <w:p>
            <w:pPr>
              <w:pStyle w:val="Compact"/>
              <w:jc w:val="righ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rPr>
          <w:cantSplit/>
        </w:trPr>
        <w:tc>
          <w:tcPr>
            <w:tcW w:type="dxa" w:w="2045"/>
          </w:tcPr>
          <w:p>
            <w:pPr>
              <w:pStyle w:val="Compact"/>
              <w:jc w:val="left"/>
            </w:pPr>
            <w:r>
              <w:t xml:space="preserve">Span length</w:t>
            </w:r>
          </w:p>
        </w:tc>
        <w:tc>
          <w:tcPr>
            <w:tcW w:type="dxa" w:w="2114"/>
          </w:tcPr>
          <w:p>
            <w:pPr>
              <w:pStyle w:val="Compact"/>
              <w:jc w:val="righ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rPr>
          <w:cantSplit/>
        </w:trPr>
        <w:tc>
          <w:tcPr>
            <w:tcW w:type="dxa" w:w="2045"/>
          </w:tcPr>
          <w:p>
            <w:pPr>
              <w:pStyle w:val="Compact"/>
              <w:jc w:val="left"/>
            </w:pPr>
            <w:r>
              <w:t xml:space="preserve">Gain</w:t>
            </w:r>
          </w:p>
        </w:tc>
        <w:tc>
          <w:tcPr>
            <w:tcW w:type="dxa" w:w="2114"/>
          </w:tcPr>
          <w:p>
            <w:pPr>
              <w:pStyle w:val="Compact"/>
              <w:jc w:val="righ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rPr>
          <w:cantSplit/>
        </w:trP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rPr>
          <w:cantSplit/>
        </w:trP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righ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rPr>
          <w:cantSplit/>
        </w:trPr>
        <w:tc>
          <w:tcPr>
            <w:tcW w:type="dxa" w:w="2045"/>
          </w:tcPr>
          <w:p>
            <w:pPr>
              <w:pStyle w:val="Compact"/>
              <w:jc w:val="left"/>
            </w:pPr>
            <w:r>
              <w:t xml:space="preserve">Speed effect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rPr>
          <w:cantSplit/>
        </w:trPr>
        <w:tc>
          <w:tcPr>
            <w:tcW w:type="dxa" w:w="2045"/>
          </w:tcPr>
          <w:p>
            <w:pPr>
              <w:pStyle w:val="Compact"/>
              <w:jc w:val="left"/>
            </w:pPr>
            <w:r>
              <w:t xml:space="preserve">Speed measurement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rPr>
          <w:cantSplit/>
        </w:trPr>
        <w:tc>
          <w:tcPr>
            <w:tcW w:type="dxa" w:w="2045"/>
          </w:tcPr>
          <w:p>
            <w:pPr>
              <w:pStyle w:val="Compact"/>
              <w:jc w:val="left"/>
            </w:pPr>
            <w:r>
              <w:t xml:space="preserve">Dynamics</w:t>
            </w:r>
          </w:p>
        </w:tc>
        <w:tc>
          <w:tcPr>
            <w:tcW w:type="dxa" w:w="2114"/>
          </w:tcPr>
          <w:p>
            <w:pPr>
              <w:pStyle w:val="Compact"/>
              <w:jc w:val="righ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5"/>
          </w:tcPr>
          <w:p>
            <w:pPr>
              <w:pStyle w:val="Compact"/>
              <w:jc w:val="left"/>
            </w:pPr>
            <w:r>
              <w:t xml:space="preserve">Transverse position</w:t>
            </w:r>
          </w:p>
        </w:tc>
        <w:tc>
          <w:tcPr>
            <w:tcW w:type="dxa" w:w="2114"/>
          </w:tcPr>
          <w:p>
            <w:pPr>
              <w:pStyle w:val="Compact"/>
              <w:jc w:val="righ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rPr>
          <w:cantSplit/>
        </w:trPr>
        <w:tc>
          <w:tcPr>
            <w:tcW w:type="dxa" w:w="2045"/>
          </w:tcPr>
          <w:p>
            <w:pPr>
              <w:pStyle w:val="Compact"/>
              <w:jc w:val="left"/>
            </w:pPr>
            <w:r>
              <w:t xml:space="preserve">Multiple presence</w:t>
            </w:r>
          </w:p>
        </w:tc>
        <w:tc>
          <w:tcPr>
            <w:tcW w:type="dxa" w:w="2114"/>
          </w:tcPr>
          <w:p>
            <w:pPr>
              <w:pStyle w:val="Compact"/>
              <w:jc w:val="righ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rPr>
          <w:cantSplit/>
        </w:trPr>
        <w:tc>
          <w:tcPr>
            <w:tcW w:type="dxa" w:w="2045"/>
          </w:tcPr>
          <w:p>
            <w:pPr>
              <w:pStyle w:val="Compact"/>
              <w:jc w:val="left"/>
            </w:pPr>
            <w:r>
              <w:t xml:space="preserve">Linearity, seating</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0" Type="http://schemas.openxmlformats.org/officeDocument/2006/relationships/image" Target="media/rId50.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2026-10-19T10:57:40Z</dcterms:created>
  <dcterms:modified xsi:type="dcterms:W3CDTF">2026-10-19T10:57:40Z</dcterms:modified>
</cp:coreProperties>
</file>

<file path=docProps/custom.xml><?xml version="1.0" encoding="utf-8"?>
<Properties xmlns="http://schemas.openxmlformats.org/officeDocument/2006/custom-properties" xmlns:vt="http://schemas.openxmlformats.org/officeDocument/2006/docPropsVTypes"/>
</file>