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Blind loci and sensor layout for influence-area bridge weigh-in-motion on continuous girders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Influence-area weighing divides a record’s area by an integral constant, which can vanish on continuous girders because influence lines change sign. Strain gauges measuring global bending are blind at every zero of the uniform-load moment and nearly blind 0.19–0.32 of the span from the interior support on two equal spans. For position-independent noise, optimal sensors lie at the extremes of the uniform-load response; on one day of public records, weighting by vehicle-free noise raised the error 8.5 percentage points above the gauge average. For symmetric girders with equal piers the constant is linear-fractional in pier stiffness; on an in-service box girder, two static readings leave the side-span deflection constant of the base model uncertain by a factor of 6.6 (largest to smallest admissible value) against 1.5 at mid main span, or 2.4 against 1.1 with girder rigidity bounded to 0.9–1.3 times design. A laboratory test is consistent with the influence-area identity. On this girder, a single deflection gauge belongs at mid main span, and a model-based side-span constant needs identified pier stiffness, for example from a pier tiltmeter.</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Nguyen et al. (2024) used the integral of mid-span deflection on a simply supported beam.</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and influence lines have been used to estimate the boundary spring stiffness of a suspension-bridge girder (Lin et al., 2023). Strain-history areas along continuous girders have served damage identification (Hong et al., 2016; Wu et al., 2018), and BWIM has been applied to a two-span continuous bridge (Yamaguchi et al., 2009). Single-channel SLM assumes that the integral constant is well away from zero and independent of the boundary conditions, yet none of these studies reads the zeros of the integral constant as blind loci for weighing, or shows how they shift with uncertain boundary conditions. Such criteria are needed to choose, before installation, the few channels that screen continuous bridges for overloads.</w:t>
      </w:r>
    </w:p>
    <w:p>
      <w:pPr>
        <w:pStyle w:val="BodyText"/>
      </w:pPr>
      <w:r>
        <w:t xml:space="preserve">This paper supplies such criteria. Neither the influence-area identity nor the generalized least-squares (GLS) estimator is new; the contributions lie in the criteria built on them. (i) A closed-form catalog gives the blind and near-blind loci of five channel types on prismatic two- and three-span girders; its strain criterion, the zeros of the uniform-load moment, holds for any girder in beam theory and, unlike the absolute area of Deng et al. (2025), keeps the estimate linear in the axle loads (Supplementary Section S3). (ii) Extreme-point optimal design (Elfving, 1952; Pukelsheim, 2006) gives a closed-form placement rule for the gross weight: for position-independent noise, optimal sensors lie at the extremes of the uniform-load response, whereas Zhou et al. (2025) optimized sensors numerically for axle-force histories; the rule itself is not tested in the field. On one day of public records, GLS weights from vehicle-free noise did worse than the gauge average (Section 4.3). (iii) For a symmetric girder with equal piers, the constant depends on pier stiffness through a linear-fractional (Möbius) law, a consequence of the Sherman–Morrison formula (Sherman and Morrison, 1950); on an in-service box girder, two static readings leave a side-span deflection constant several times more uncertain than the main-span constant (Section 5.2). The laboratory test checks the identity, the public records check its assumptions and noise model (not weighing accuracy), and the in-service girder illustrates the limits of identifiability. The blind loci are verified analytically and by finite element (FE) evaluation, not experimentally, and the blind configuration of the laboratory beam (spans of 2500 mm and 3644 mm) was not tested.</w:t>
      </w:r>
    </w:p>
    <w:p>
      <w:pPr>
        <w:pStyle w:val="BodyText"/>
      </w:pPr>
      <w:r>
        <w:rPr>
          <w:bCs/>
          <w:b/>
        </w:rPr>
        <w:t xml:space="preserve">Principal symbols</w:t>
      </w:r>
      <w:r>
        <w:t xml:space="preserve"> </w:t>
      </w:r>
      <w:r>
        <w:t xml:space="preserve">(full list: Supplementary Table S1)</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71"/>
        <w:gridCol w:w="3051"/>
        <w:gridCol w:w="1271"/>
        <w:gridCol w:w="3475"/>
      </w:tblGrid>
      <w:tr>
        <w:trPr>
          <w:tblHeader w:val="true"/>
          <w:tblHeader w:val="true"/>
          <w:cantSplit/>
        </w:trPr>
        <w:tc>
          <w:tcPr>
            <w:tcW w:type="dxa" w:w="1271"/>
            <w:tcBorders>
              <w:top w:val="nil"/>
              <w:left w:val="nil"/>
              <w:bottom w:val="single" w:sz="6" w:space="0" w:color="000000"/>
              <w:right w:val="nil"/>
            </w:tcBorders>
          </w:tcPr>
          <w:p>
            <w:pPr>
              <w:pStyle w:val="Compact"/>
              <w:jc w:val="left"/>
            </w:pPr>
            <w:r>
              <w:t xml:space="preserve">Symbol</w:t>
            </w:r>
          </w:p>
        </w:tc>
        <w:tc>
          <w:tcPr>
            <w:tcW w:type="dxa" w:w="3051"/>
            <w:tcBorders>
              <w:top w:val="nil"/>
              <w:left w:val="nil"/>
              <w:bottom w:val="single" w:sz="6" w:space="0" w:color="000000"/>
              <w:right w:val="nil"/>
            </w:tcBorders>
          </w:tcPr>
          <w:p>
            <w:pPr>
              <w:pStyle w:val="Compact"/>
              <w:jc w:val="left"/>
            </w:pPr>
            <w:r>
              <w:t xml:space="preserve">Meaning</w:t>
            </w:r>
          </w:p>
        </w:tc>
        <w:tc>
          <w:tcPr>
            <w:tcW w:type="dxa" w:w="1271"/>
            <w:tcBorders>
              <w:top w:val="nil"/>
              <w:left w:val="nil"/>
              <w:bottom w:val="single" w:sz="6" w:space="0" w:color="000000"/>
              <w:right w:val="nil"/>
            </w:tcBorders>
          </w:tcPr>
          <w:p>
            <w:pPr>
              <w:pStyle w:val="Compact"/>
              <w:jc w:val="left"/>
            </w:pPr>
            <w:r>
              <w:t xml:space="preserve">Symbol</w:t>
            </w:r>
          </w:p>
        </w:tc>
        <w:tc>
          <w:tcPr>
            <w:tcW w:type="dxa" w:w="3475"/>
            <w:tcBorders>
              <w:top w:val="nil"/>
              <w:left w:val="nil"/>
              <w:bottom w:val="single" w:sz="6" w:space="0" w:color="000000"/>
              <w:right w:val="nil"/>
            </w:tcBorders>
          </w:tcPr>
          <w:p>
            <w:pPr>
              <w:pStyle w:val="Compact"/>
              <w:jc w:val="left"/>
            </w:pPr>
            <w:r>
              <w:t xml:space="preserve">Meaning</w:t>
            </w:r>
          </w:p>
        </w:tc>
      </w:tr>
      <w:tr>
        <w:trPr>
          <w:cantSplit/>
        </w:trPr>
        <w:tc>
          <w:tcPr>
            <w:tcW w:type="dxa" w:w="1271"/>
          </w:tcPr>
          <w:p>
            <w:pPr>
              <w:pStyle w:val="Compact"/>
              <w:jc w:val="left"/>
            </w:pPr>
            <m:oMath>
              <m:r>
                <m:t>C</m:t>
              </m:r>
            </m:oMath>
          </w:p>
        </w:tc>
        <w:tc>
          <w:tcPr>
            <w:tcW w:type="dxa" w:w="3051"/>
          </w:tcPr>
          <w:p>
            <w:pPr>
              <w:pStyle w:val="Compact"/>
              <w:jc w:val="left"/>
            </w:pPr>
            <w:r>
              <w:t xml:space="preserve">integral constant of a channel, Eq. (2)</w:t>
            </w:r>
          </w:p>
        </w:tc>
        <w:tc>
          <w:tcPr>
            <w:tcW w:type="dxa" w:w="1271"/>
          </w:tcPr>
          <w:p>
            <w:pPr>
              <w:pStyle w:val="Compact"/>
              <w:jc w:val="left"/>
            </w:pPr>
            <m:oMath>
              <m:r>
                <m:t>γ</m:t>
              </m:r>
            </m:oMath>
          </w:p>
        </w:tc>
        <w:tc>
          <w:tcPr>
            <w:tcW w:type="dxa" w:w="3475"/>
          </w:tcPr>
          <w:p>
            <w:pPr>
              <w:pStyle w:val="Compact"/>
              <w:jc w:val="left"/>
            </w:pPr>
            <w:r>
              <w:t xml:space="preserve">rigidity ratio of adjacent spans</w:t>
            </w:r>
          </w:p>
        </w:tc>
      </w:tr>
      <w:tr>
        <w:trPr>
          <w:cantSplit/>
        </w:trPr>
        <w:tc>
          <w:tcPr>
            <w:tcW w:type="dxa" w:w="1271"/>
          </w:tcPr>
          <w:p>
            <w:pPr>
              <w:pStyle w:val="Compact"/>
              <w:jc w:val="left"/>
            </w:pPr>
            <m:oMath>
              <m:sSub>
                <m:e>
                  <m:r>
                    <m:t>N</m:t>
                  </m:r>
                </m:e>
                <m:sub>
                  <m:r>
                    <m:t>w</m:t>
                  </m:r>
                </m:sub>
              </m:sSub>
            </m:oMath>
          </w:p>
        </w:tc>
        <w:tc>
          <w:tcPr>
            <w:tcW w:type="dxa" w:w="3051"/>
          </w:tcPr>
          <w:p>
            <w:pPr>
              <w:pStyle w:val="Compact"/>
              <w:jc w:val="left"/>
            </w:pPr>
            <w:r>
              <w:t xml:space="preserve">deflection indicator, Eq. (8)</w:t>
            </w:r>
          </w:p>
        </w:tc>
        <w:tc>
          <w:tcPr>
            <w:tcW w:type="dxa" w:w="1271"/>
          </w:tcPr>
          <w:p>
            <w:pPr>
              <w:pStyle w:val="Compact"/>
              <w:jc w:val="left"/>
            </w:pPr>
            <m:oMath>
              <m:r>
                <m:t>κ</m:t>
              </m:r>
            </m:oMath>
          </w:p>
        </w:tc>
        <w:tc>
          <w:tcPr>
            <w:tcW w:type="dxa" w:w="3475"/>
          </w:tcPr>
          <w:p>
            <w:pPr>
              <w:pStyle w:val="Compact"/>
              <w:jc w:val="left"/>
            </w:pPr>
            <w:r>
              <w:t xml:space="preserve">scaled pier stiffness</w:t>
            </w:r>
            <w:r>
              <w:t xml:space="preserve"> </w:t>
            </w:r>
            <m:oMath>
              <m:r>
                <m:t>k</m:t>
              </m:r>
              <m:r>
                <m:rPr>
                  <m:sty m:val="p"/>
                </m:rPr>
                <m:t>/</m:t>
              </m:r>
              <m:r>
                <m:t>α</m:t>
              </m:r>
            </m:oMath>
          </w:p>
        </w:tc>
      </w:tr>
      <w:tr>
        <w:trPr>
          <w:cantSplit/>
        </w:trPr>
        <w:tc>
          <w:tcPr>
            <w:tcW w:type="dxa" w:w="1271"/>
          </w:tcPr>
          <w:p>
            <w:pPr>
              <w:pStyle w:val="Compact"/>
              <w:jc w:val="left"/>
            </w:pPr>
            <m:oMath>
              <m:sSub>
                <m:e>
                  <m:r>
                    <m:t>N</m:t>
                  </m:r>
                </m:e>
                <m:sub>
                  <m:r>
                    <m:t>M</m:t>
                  </m:r>
                </m:sub>
              </m:sSub>
            </m:oMath>
          </w:p>
        </w:tc>
        <w:tc>
          <w:tcPr>
            <w:tcW w:type="dxa" w:w="3051"/>
          </w:tcPr>
          <w:p>
            <w:pPr>
              <w:pStyle w:val="Compact"/>
              <w:jc w:val="left"/>
            </w:pPr>
            <w:r>
              <w:t xml:space="preserve">strain (moment) indicator, Eq. (7)</w:t>
            </w:r>
          </w:p>
        </w:tc>
        <w:tc>
          <w:tcPr>
            <w:tcW w:type="dxa" w:w="1271"/>
          </w:tcPr>
          <w:p>
            <w:pPr>
              <w:pStyle w:val="Compact"/>
              <w:jc w:val="left"/>
            </w:pPr>
            <m:oMath>
              <m:r>
                <m:t>α</m:t>
              </m:r>
            </m:oMath>
          </w:p>
        </w:tc>
        <w:tc>
          <w:tcPr>
            <w:tcW w:type="dxa" w:w="3475"/>
          </w:tcPr>
          <w:p>
            <w:pPr>
              <w:pStyle w:val="Compact"/>
              <w:jc w:val="left"/>
            </w:pPr>
            <w:r>
              <w:t xml:space="preserve">effective-to-design girder rigidity</w:t>
            </w:r>
          </w:p>
        </w:tc>
      </w:tr>
      <w:tr>
        <w:trPr>
          <w:cantSplit/>
        </w:trPr>
        <w:tc>
          <w:tcPr>
            <w:tcW w:type="dxa" w:w="1271"/>
          </w:tcPr>
          <w:p>
            <w:pPr>
              <w:pStyle w:val="Compact"/>
              <w:jc w:val="left"/>
            </w:pPr>
            <m:oMath>
              <m:r>
                <m:t>R</m:t>
              </m:r>
            </m:oMath>
          </w:p>
        </w:tc>
        <w:tc>
          <w:tcPr>
            <w:tcW w:type="dxa" w:w="3051"/>
          </w:tcPr>
          <w:p>
            <w:pPr>
              <w:pStyle w:val="Compact"/>
              <w:jc w:val="left"/>
            </w:pPr>
            <w:r>
              <w:t xml:space="preserve">cancellation ratio, Eq. (9)</w:t>
            </w:r>
          </w:p>
        </w:tc>
        <w:tc>
          <w:tcPr>
            <w:tcW w:type="dxa" w:w="1271"/>
          </w:tcPr>
          <w:p>
            <w:pPr>
              <w:pStyle w:val="Compact"/>
              <w:jc w:val="left"/>
            </w:pPr>
            <m:oMath>
              <m:r>
                <m:t>k</m:t>
              </m:r>
            </m:oMath>
          </w:p>
        </w:tc>
        <w:tc>
          <w:tcPr>
            <w:tcW w:type="dxa" w:w="3475"/>
          </w:tcPr>
          <w:p>
            <w:pPr>
              <w:pStyle w:val="Compact"/>
              <w:jc w:val="left"/>
            </w:pPr>
            <w:r>
              <w:t xml:space="preserve">rotational stiffness of a monolithic pier</w:t>
            </w:r>
          </w:p>
        </w:tc>
      </w:tr>
      <w:tr>
        <w:trPr>
          <w:cantSplit/>
        </w:trPr>
        <w:tc>
          <w:tcPr>
            <w:tcW w:type="dxa" w:w="1271"/>
          </w:tcPr>
          <w:p>
            <w:pPr>
              <w:pStyle w:val="Compact"/>
              <w:jc w:val="left"/>
            </w:pPr>
            <m:oMath>
              <m:r>
                <m:t>μ</m:t>
              </m:r>
            </m:oMath>
          </w:p>
        </w:tc>
        <w:tc>
          <w:tcPr>
            <w:tcW w:type="dxa" w:w="3051"/>
          </w:tcPr>
          <w:p>
            <w:pPr>
              <w:pStyle w:val="Compact"/>
              <w:jc w:val="left"/>
            </w:pPr>
            <w:r>
              <w:t xml:space="preserve">interior-moment parameter, Eq. (4)</w:t>
            </w:r>
          </w:p>
        </w:tc>
        <w:tc>
          <w:tcPr>
            <w:tcW w:type="dxa" w:w="1271"/>
          </w:tcPr>
          <w:p>
            <w:pPr>
              <w:pStyle w:val="Compact"/>
              <w:jc w:val="left"/>
            </w:pPr>
            <m:oMath>
              <m:r>
                <m:t>τ</m:t>
              </m:r>
            </m:oMath>
          </w:p>
        </w:tc>
        <w:tc>
          <w:tcPr>
            <w:tcW w:type="dxa" w:w="3475"/>
          </w:tcPr>
          <w:p>
            <w:pPr>
              <w:pStyle w:val="Compact"/>
              <w:jc w:val="left"/>
            </w:pPr>
            <w:r>
              <w:t xml:space="preserve">tolerance on the static misfit of a gauge</w:t>
            </w:r>
          </w:p>
        </w:tc>
      </w:tr>
      <w:tr>
        <w:trPr>
          <w:cantSplit/>
        </w:trPr>
        <w:tc>
          <w:tcPr>
            <w:tcW w:type="dxa" w:w="1271"/>
          </w:tcPr>
          <w:p>
            <w:pPr>
              <w:pStyle w:val="Compact"/>
              <w:jc w:val="left"/>
            </w:pPr>
            <m:oMath>
              <m:r>
                <m:t>λ</m:t>
              </m:r>
            </m:oMath>
          </w:p>
        </w:tc>
        <w:tc>
          <w:tcPr>
            <w:tcW w:type="dxa" w:w="3051"/>
          </w:tcPr>
          <w:p>
            <w:pPr>
              <w:pStyle w:val="Compact"/>
              <w:jc w:val="left"/>
            </w:pPr>
            <w:r>
              <w:t xml:space="preserve">span ratio, two spans</w:t>
            </w:r>
          </w:p>
        </w:tc>
        <w:tc>
          <w:tcPr>
            <w:tcW w:type="dxa" w:w="1271"/>
          </w:tcPr>
          <w:p>
            <w:pPr>
              <w:pStyle w:val="Compact"/>
              <w:jc w:val="left"/>
            </w:pPr>
            <m:oMath>
              <m:sSub>
                <m:e>
                  <m:r>
                    <m:t>B</m:t>
                  </m:r>
                </m:e>
                <m:sub>
                  <m:r>
                    <m:t>m</m:t>
                  </m:r>
                </m:sub>
              </m:sSub>
            </m:oMath>
          </w:p>
        </w:tc>
        <w:tc>
          <w:tcPr>
            <w:tcW w:type="dxa" w:w="3475"/>
          </w:tcPr>
          <w:p>
            <w:pPr>
              <w:pStyle w:val="Compact"/>
              <w:jc w:val="left"/>
            </w:pPr>
            <w:r>
              <w:t xml:space="preserve">boundary sensitivity</w:t>
            </w:r>
            <w:r>
              <w:t xml:space="preserve"> </w:t>
            </w:r>
            <m:oMath>
              <m:r>
                <m:rPr>
                  <m:nor/>
                </m:rPr>
                <m:t>|</m:t>
              </m:r>
              <m:r>
                <m:rPr>
                  <m:sty m:val="p"/>
                </m:rPr>
                <m:t>∂</m:t>
              </m:r>
              <m:r>
                <m:rPr>
                  <m:sty m:val="p"/>
                </m:rPr>
                <m:t>ln</m:t>
              </m:r>
              <m:sSub>
                <m:e>
                  <m:r>
                    <m:t>C</m:t>
                  </m:r>
                </m:e>
                <m:sub>
                  <m:r>
                    <m:t>m</m:t>
                  </m:r>
                </m:sub>
              </m:sSub>
              <m:r>
                <m:rPr>
                  <m:sty m:val="p"/>
                </m:rPr>
                <m:t>/</m:t>
              </m:r>
              <m:r>
                <m:rPr>
                  <m:sty m:val="p"/>
                </m:rPr>
                <m:t>∂</m:t>
              </m:r>
              <m:r>
                <m:rPr>
                  <m:sty m:val="p"/>
                </m:rPr>
                <m:t>ln</m:t>
              </m:r>
              <m:r>
                <m:t>κ</m:t>
              </m:r>
              <m:r>
                <m:rPr>
                  <m:nor/>
                </m:rPr>
                <m:t>|</m:t>
              </m:r>
            </m:oMath>
          </w:p>
        </w:tc>
      </w:tr>
      <w:tr>
        <w:trPr>
          <w:cantSplit/>
        </w:trPr>
        <w:tc>
          <w:tcPr>
            <w:tcW w:type="dxa" w:w="1271"/>
          </w:tcPr>
          <w:p>
            <w:pPr>
              <w:pStyle w:val="Compact"/>
              <w:jc w:val="left"/>
            </w:pPr>
            <m:oMath>
              <m:r>
                <m:t>β</m:t>
              </m:r>
            </m:oMath>
          </w:p>
        </w:tc>
        <w:tc>
          <w:tcPr>
            <w:tcW w:type="dxa" w:w="3051"/>
          </w:tcPr>
          <w:p>
            <w:pPr>
              <w:pStyle w:val="Compact"/>
              <w:jc w:val="left"/>
            </w:pPr>
            <w:r>
              <w:t xml:space="preserve">main-to-side span ratio, three spans</w:t>
            </w:r>
          </w:p>
        </w:tc>
        <w:tc>
          <w:tcPr>
            <w:tcW w:type="dxa" w:w="1271"/>
          </w:tcPr>
          <w:p>
            <w:pPr>
              <w:pStyle w:val="Compact"/>
              <w:jc w:val="left"/>
            </w:pPr>
            <m:oMath>
              <m:sSub>
                <m:e>
                  <m:r>
                    <m:t>P</m:t>
                  </m:r>
                </m:e>
                <m:sub>
                  <m:r>
                    <m:t>δ</m:t>
                  </m:r>
                </m:sub>
              </m:sSub>
            </m:oMath>
          </w:p>
        </w:tc>
        <w:tc>
          <w:tcPr>
            <w:tcW w:type="dxa" w:w="3475"/>
          </w:tcPr>
          <w:p>
            <w:pPr>
              <w:pStyle w:val="Compact"/>
              <w:jc w:val="left"/>
            </w:pPr>
            <w:r>
              <w:t xml:space="preserve">offset-equivalent load, Eq. (10)</w:t>
            </w:r>
          </w:p>
        </w:tc>
      </w:tr>
    </w:tbl>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max</m:t>
                        </m:r>
                      </m:sub>
                    </m:sSub>
                  </m:sup>
                  <m:e>
                    <m:sSub>
                      <m:e>
                        <m:r>
                          <m:t>y</m:t>
                        </m:r>
                      </m:e>
                      <m:sub>
                        <m:r>
                          <m:t>m</m:t>
                        </m:r>
                      </m:sub>
                    </m:sSub>
                  </m:e>
                </m:nary>
                <m:r>
                  <m:t> </m:t>
                </m:r>
                <m:r>
                  <m:rPr>
                    <m:sty m:val="p"/>
                  </m:rPr>
                  <m:t>d</m:t>
                </m:r>
                <m:r>
                  <m:t>x</m:t>
                </m:r>
                <m:r>
                  <m:rPr>
                    <m:sty m:val="p"/>
                  </m:rPr>
                  <m:t>=</m:t>
                </m:r>
                <m:sSub>
                  <m:e>
                    <m:r>
                      <m:t>P</m:t>
                    </m:r>
                  </m:e>
                  <m:sub>
                    <m:r>
                      <m:rPr>
                        <m:sty m:val="p"/>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rPr>
              <m:t>max</m:t>
            </m:r>
          </m:sub>
        </m:sSub>
      </m:oMath>
      <w:r>
        <w:t xml:space="preserve"> </w:t>
      </w:r>
      <w:r>
        <w:t xml:space="preserve">is the largest axle offset,</w:t>
      </w:r>
      <w:r>
        <w:t xml:space="preserve"> </w:t>
      </w:r>
      <m:oMath>
        <m:sSub>
          <m:e>
            <m:r>
              <m:t>P</m:t>
            </m:r>
          </m:e>
          <m:sub>
            <m:r>
              <m:rPr>
                <m:sty m:val="p"/>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This is a beam-theory result for gauges that measure global bending, such as gauges on a girder flange or web; deck-soffit gauges also respond to local slab action (two nearby deck gauges differ by a factor of 3.9; Section 4.2).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A channel is blind where its constant</w:t>
      </w:r>
      <w:r>
        <w:t xml:space="preserve"> </w:t>
      </w:r>
      <m:oMath>
        <m:r>
          <m:t>C</m:t>
        </m:r>
      </m:oMath>
      <w:r>
        <w:t xml:space="preserve"> </w:t>
      </w:r>
      <w:r>
        <w:t xml:space="preserve">vanishes and near-blind where its normalized indicator (Section 2.3) is below 0.2 in magnitude. 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main</m:t>
            </m:r>
          </m:sub>
        </m:sSub>
        <m:r>
          <m:rPr>
            <m:sty m:val="p"/>
          </m:rPr>
          <m:t>/</m:t>
        </m:r>
        <m:sSub>
          <m:e>
            <m:r>
              <m:t>L</m:t>
            </m:r>
          </m:e>
          <m:sub>
            <m:r>
              <m:rPr>
                <m:sty m:val="p"/>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6423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6423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side</m:t>
            </m:r>
          </m:sub>
        </m:sSub>
      </m:oMath>
      <w:r>
        <w:t xml:space="preserve"> </w:t>
      </w:r>
      <w:r>
        <w:t xml:space="preserve">of rigidity</w:t>
      </w:r>
      <w:r>
        <w:t xml:space="preserve"> </w:t>
      </w:r>
      <m:oMath>
        <m:r>
          <m:t>E</m:t>
        </m:r>
        <m:sSub>
          <m:e>
            <m:r>
              <m:t>I</m:t>
            </m:r>
          </m:e>
          <m:sub>
            <m:r>
              <m:rPr>
                <m:sty m:val="p"/>
              </m:rPr>
              <m:t>side</m:t>
            </m:r>
          </m:sub>
        </m:sSub>
      </m:oMath>
      <w:r>
        <w:t xml:space="preserve">, main span</w:t>
      </w:r>
      <w:r>
        <w:t xml:space="preserve"> </w:t>
      </w:r>
      <m:oMath>
        <m:sSub>
          <m:e>
            <m:r>
              <m:t>L</m:t>
            </m:r>
          </m:e>
          <m:sub>
            <m:r>
              <m:rPr>
                <m:sty m:val="p"/>
              </m:rPr>
              <m:t>main</m:t>
            </m:r>
          </m:sub>
        </m:sSub>
        <m:r>
          <m:rPr>
            <m:sty m:val="p"/>
          </m:rPr>
          <m:t>=</m:t>
        </m:r>
        <m:r>
          <m:t>β</m:t>
        </m:r>
        <m:sSub>
          <m:e>
            <m:r>
              <m:t>L</m:t>
            </m:r>
          </m:e>
          <m:sub>
            <m:r>
              <m:rPr>
                <m:sty m:val="p"/>
              </m:rPr>
              <m:t>side</m:t>
            </m:r>
          </m:sub>
        </m:sSub>
      </m:oMath>
      <w:r>
        <w:t xml:space="preserve"> </w:t>
      </w:r>
      <w:r>
        <w:t xml:space="preserve">of rigidity</w:t>
      </w:r>
      <w:r>
        <w:t xml:space="preserve"> </w:t>
      </w:r>
      <m:oMath>
        <m:r>
          <m:t>E</m:t>
        </m:r>
        <m:sSub>
          <m:e>
            <m:r>
              <m:t>I</m:t>
            </m:r>
          </m:e>
          <m:sub>
            <m:r>
              <m:rPr>
                <m:sty m:val="p"/>
              </m:rPr>
              <m:t>main</m:t>
            </m:r>
          </m:sub>
        </m:sSub>
        <m:r>
          <m:rPr>
            <m:sty m:val="p"/>
          </m:rPr>
          <m:t>=</m:t>
        </m:r>
        <m:r>
          <m:t>γ</m:t>
        </m:r>
        <m:r>
          <m:t>E</m:t>
        </m:r>
        <m:sSub>
          <m:e>
            <m:r>
              <m:t>I</m:t>
            </m:r>
          </m:e>
          <m:sub>
            <m:r>
              <m:rPr>
                <m:sty m:val="p"/>
              </m:rPr>
              <m:t>side</m:t>
            </m:r>
          </m:sub>
        </m:sSub>
      </m:oMath>
      <w:r>
        <w:t xml:space="preserve">, and side-span sensor at</w:t>
      </w:r>
      <w:r>
        <w:t xml:space="preserve"> </w:t>
      </w:r>
      <m:oMath>
        <m:r>
          <m:t>ξ</m:t>
        </m:r>
        <m:sSub>
          <m:e>
            <m:r>
              <m:t>L</m:t>
            </m:r>
          </m:e>
          <m:sub>
            <m:r>
              <m:rPr>
                <m:sty m:val="p"/>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w:t>
      </w:r>
      <w:r>
        <w:t xml:space="preserve">of Eq. (8).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In design terms, an end-span deflection gauge is blind only if the interior support moment lies between its value for two equal spans (</w:t>
      </w:r>
      <m:oMath>
        <m:r>
          <m:t>μ</m:t>
        </m:r>
        <m:r>
          <m:rPr>
            <m:sty m:val="p"/>
          </m:rPr>
          <m:t>=</m:t>
        </m:r>
        <m:r>
          <m:t>1</m:t>
        </m:r>
      </m:oMath>
      <w:r>
        <w:t xml:space="preserve">) and twice that value, which needs a longer adjacent span (</w:t>
      </w:r>
      <m:oMath>
        <m:r>
          <m:t>λ</m:t>
        </m:r>
        <m:r>
          <m:rPr>
            <m:sty m:val="p"/>
          </m:rPr>
          <m:t>&gt;</m:t>
        </m:r>
        <m:r>
          <m:t>1</m:t>
        </m:r>
      </m:oMath>
      <w:r>
        <w:t xml:space="preserve">, or</w:t>
      </w:r>
      <w:r>
        <w:t xml:space="preserve"> </w:t>
      </w:r>
      <m:oMath>
        <m:sSup>
          <m:e>
            <m:r>
              <m:t>β</m:t>
            </m:r>
          </m:e>
          <m:sup>
            <m:r>
              <m:t>2</m:t>
            </m:r>
          </m:sup>
        </m:sSup>
        <m:r>
          <m:rPr>
            <m:sty m:val="p"/>
          </m:rPr>
          <m:t>&gt;</m:t>
        </m:r>
        <m:r>
          <m:t>3</m:t>
        </m:r>
        <m:r>
          <m:rPr>
            <m:sty m:val="p"/>
          </m:rPr>
          <m:t>/</m:t>
        </m:r>
        <m:r>
          <m:t>2</m:t>
        </m:r>
      </m:oMath>
      <w:r>
        <w:t xml:space="preserve">); on equal spans it cannot be blind. The main span of a symmetric three-span girder is the exception: with nearly equal spans it has deflection blind points, and with three equal spans</w:t>
      </w:r>
      <w:r>
        <w:t xml:space="preserve"> </w:t>
      </w:r>
      <m:oMath>
        <m:d>
          <m:dPr>
            <m:begChr m:val="|"/>
            <m:endChr m:val="|"/>
            <m:sepChr m:val=""/>
            <m:grow/>
          </m:dPr>
          <m:e>
            <m:sSub>
              <m:e>
                <m:r>
                  <m:t>N</m:t>
                </m:r>
              </m:e>
              <m:sub>
                <m:r>
                  <m:t>w</m:t>
                </m:r>
              </m:sub>
            </m:sSub>
          </m:e>
        </m:d>
        <m:r>
          <m:rPr>
            <m:sty m:val="p"/>
          </m:rPr>
          <m:t>≤</m:t>
        </m:r>
        <m:r>
          <m:t>0.10</m:t>
        </m:r>
      </m:oMath>
      <w:r>
        <w:t xml:space="preserve"> </w:t>
      </w:r>
      <w:r>
        <w:t xml:space="preserve">along the whole main span. Table 1 lists the blind span ratios (Fig. 2); Supplementary Section S2 gives their closed forms, the optimal gauge position and the near-blind bands (Eqs. (S1) and (S2), Tables S2 and S3). All closed forms agree with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nor/>
              </m:rPr>
              <m:t>*</m:t>
            </m:r>
          </m:sup>
        </m:sSup>
        <m:d>
          <m:dPr>
            <m:begChr m:val="("/>
            <m:endChr m:val=")"/>
            <m:sepChr m:val=""/>
            <m:grow/>
          </m:dPr>
          <m:e>
            <m:r>
              <m:t>β</m:t>
            </m:r>
          </m:e>
        </m:d>
      </m:oMath>
      <w:r>
        <w:t xml:space="preserve"> </w:t>
      </w:r>
      <w:r>
        <w:t xml:space="preserve">of the positive indicator (dashed; the negative one near the pier is larger beyond</w:t>
      </w:r>
      <w:r>
        <w:t xml:space="preserve"> </w:t>
      </w:r>
      <m:oMath>
        <m:r>
          <m:t>β</m:t>
        </m:r>
        <m:r>
          <m:rPr>
            <m:sty m:val="p"/>
          </m:rPr>
          <m:t>=</m:t>
        </m:r>
        <m:r>
          <m:t>1.639</m:t>
        </m:r>
      </m:oMath>
      <w:r>
        <w:t xml:space="preserve">) and Mây Bridge proportions (open circle: mid side span; filled circle: N8 at 0.4</w:t>
      </w:r>
      <m:oMath>
        <m:r>
          <m:t>L</m:t>
        </m:r>
      </m:oMath>
      <w:r>
        <w:t xml:space="preserv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(7)</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 Each indicator is normalized by the span containing the sensor, so the steps of</w:t>
      </w:r>
      <w:r>
        <w:t xml:space="preserve"> </w:t>
      </w:r>
      <m:oMath>
        <m:sSub>
          <m:e>
            <m:r>
              <m:t>N</m:t>
            </m:r>
          </m:e>
          <m:sub>
            <m:r>
              <m:t>w</m:t>
            </m:r>
          </m:sub>
        </m:sSub>
      </m:oMath>
      <w:r>
        <w:t xml:space="preserve">,</w:t>
      </w:r>
      <w:r>
        <w:t xml:space="preserve"> </w:t>
      </w:r>
      <m:oMath>
        <m:sSub>
          <m:e>
            <m:r>
              <m:t>N</m:t>
            </m:r>
          </m:e>
          <m:sub>
            <m:r>
              <m:t>θ</m:t>
            </m:r>
          </m:sub>
        </m:sSub>
      </m:oMath>
      <w:r>
        <w:t xml:space="preserve"> </w:t>
      </w:r>
      <w:r>
        <w:t xml:space="preserve">and</w:t>
      </w:r>
      <w:r>
        <w:t xml:space="preserve"> </w:t>
      </w:r>
      <m:oMath>
        <m:sSub>
          <m:e>
            <m:r>
              <m:t>N</m:t>
            </m:r>
          </m:e>
          <m:sub>
            <m:r>
              <m:t>M</m:t>
            </m:r>
          </m:sub>
        </m:sSub>
      </m:oMath>
      <w:r>
        <w:t xml:space="preserve"> </w:t>
      </w:r>
      <w:r>
        <w:t xml:space="preserve">at the piers are changes of scale; the step of</w:t>
      </w:r>
      <w:r>
        <w:t xml:space="preserve"> </w:t>
      </w:r>
      <m:oMath>
        <m:sSub>
          <m:e>
            <m:r>
              <m:t>N</m:t>
            </m:r>
          </m:e>
          <m:sub>
            <m:r>
              <m:t>V</m:t>
            </m:r>
          </m:sub>
        </m:sSub>
      </m:oMath>
      <w:r>
        <w:t xml:space="preserve"> </w:t>
      </w:r>
      <w:r>
        <w:t xml:space="preserve">is the support reaction.</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r>
              <w:t xml:space="preserve">; main span: blind for</w:t>
            </w:r>
            <w:r>
              <w:t xml:space="preserve"> </w:t>
            </w:r>
            <m:oMath>
              <m:r>
                <m:t>0.9647</m:t>
              </m:r>
              <m:r>
                <m:rPr>
                  <m:sty m:val="p"/>
                </m:rPr>
                <m:t>≤</m:t>
              </m:r>
              <m:r>
                <m:t>β</m:t>
              </m:r>
              <m:r>
                <m:rPr>
                  <m:sty m:val="p"/>
                </m:rPr>
                <m:t>&lt;</m:t>
              </m:r>
              <m:r>
                <m:t>1.2247</m:t>
              </m:r>
            </m:oMath>
            <w:r>
              <w:t xml:space="preserve"> </w:t>
            </w:r>
            <w:r>
              <w:t xml:space="preserve">(equal spans: 0.276 from each pier)</w:t>
            </w:r>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(8)</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Because the offset-equivalent load of Eq. (10) scales as</w:t>
      </w:r>
      <w:r>
        <w:t xml:space="preserve"> </w:t>
      </w:r>
      <m:oMath>
        <m:r>
          <m:t>1</m:t>
        </m:r>
        <m:r>
          <m:rPr>
            <m:sty m:val="p"/>
          </m:rPr>
          <m:t>/</m:t>
        </m:r>
        <m:r>
          <m:t>C</m:t>
        </m:r>
      </m:oMath>
      <w:r>
        <w:t xml:space="preserve">, an indicator of 0.2 multiplies it by 12.5 relative to a simply supported mid-span deflection gauge and by 5 relative to a strain gauge there. Supplementary Table S3 gives the near-blind bands for thresholds of 0.1, 0.2 and 0.3.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nor/>
                          </m:rPr>
                          <m:t>+</m:t>
                        </m:r>
                      </m:sup>
                    </m:sSup>
                  </m:den>
                </m:f>
                <m:r>
                  <m:rPr>
                    <m:sty m:val="p"/>
                  </m:rPr>
                  <m:t>=</m:t>
                </m:r>
                <m:r>
                  <m:t>1</m:t>
                </m:r>
                <m:r>
                  <m:rPr>
                    <m:sty m:val="p"/>
                  </m:rPr>
                  <m:t>−</m:t>
                </m:r>
                <m:f>
                  <m:fPr>
                    <m:type m:val="bar"/>
                  </m:fPr>
                  <m:num>
                    <m:d>
                      <m:dPr>
                        <m:begChr m:val="|"/>
                        <m:endChr m:val="|"/>
                        <m:sepChr m:val=""/>
                        <m:grow/>
                      </m:dPr>
                      <m:e>
                        <m:sSup>
                          <m:e>
                            <m:r>
                              <m:t>A</m:t>
                            </m:r>
                          </m:e>
                          <m:sup>
                            <m:r>
                              <m:rPr>
                                <m:nor/>
                              </m:rPr>
                              <m:t>−</m:t>
                            </m:r>
                          </m:sup>
                        </m:sSup>
                      </m:e>
                    </m:d>
                  </m:num>
                  <m:den>
                    <m:sSup>
                      <m:e>
                        <m:r>
                          <m:t>A</m:t>
                        </m:r>
                      </m:e>
                      <m:sup>
                        <m:r>
                          <m:rPr>
                            <m:nor/>
                          </m:rPr>
                          <m:t>+</m:t>
                        </m:r>
                      </m:sup>
                    </m:sSup>
                  </m:den>
                </m:f>
                <m:r>
                  <m:rPr>
                    <m:sty m:val="p"/>
                  </m:rPr>
                  <m:t>,</m:t>
                </m:r>
              </m:oMath>
            </m:oMathPara>
          </w:p>
        </w:tc>
        <w:tc>
          <w:tcPr>
            <w:tcW w:type="dxa" w:w="907"/>
            <w:vAlign w:val="center"/>
          </w:tcPr>
          <w:p>
            <w:pPr>
              <w:jc w:val="right"/>
            </w:pPr>
            <w:r>
              <w:t xml:space="preserve">(9)</w:t>
            </w:r>
          </w:p>
        </w:tc>
      </w:tr>
    </w:tbl>
    <w:p>
      <w:pPr>
        <w:pStyle w:val="BodyText"/>
      </w:pPr>
      <w:r>
        <w:t xml:space="preserve">the net influence area divided by its positive part</w:t>
      </w:r>
      <w:r>
        <w:t xml:space="preserve"> </w:t>
      </w:r>
      <m:oMath>
        <m:sSup>
          <m:e>
            <m:r>
              <m:t>A</m:t>
            </m:r>
          </m:e>
          <m:sup>
            <m:r>
              <m:rPr>
                <m:nor/>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nor/>
              </m:rPr>
              <m:t>+</m:t>
            </m:r>
          </m:sup>
        </m:sSup>
      </m:oMath>
      <w:r>
        <w:t xml:space="preserve"> </w:t>
      </w:r>
      <w:r>
        <w:t xml:space="preserve">and</w:t>
      </w:r>
      <w:r>
        <w:t xml:space="preserve"> </w:t>
      </w:r>
      <m:oMath>
        <m:sSup>
          <m:e>
            <m:r>
              <m:t>A</m:t>
            </m:r>
          </m:e>
          <m:sup>
            <m:r>
              <m:rPr>
                <m:nor/>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tot</m:t>
            </m:r>
          </m:sub>
        </m:sSub>
      </m:oMath>
      <w:r>
        <w:t xml:space="preserve"> </w:t>
      </w:r>
      <w:r>
        <w:t xml:space="preserve">to the integral over a record of length</w:t>
      </w:r>
      <w:r>
        <w:t xml:space="preserve"> </w:t>
      </w:r>
      <m:oMath>
        <m:sSub>
          <m:e>
            <m:r>
              <m:t>L</m:t>
            </m:r>
          </m:e>
          <m:sub>
            <m:r>
              <m:rPr>
                <m:sty m:val="p"/>
              </m:rPr>
              <m:t>tot</m:t>
            </m:r>
          </m:sub>
        </m:sSub>
      </m:oMath>
      <w:r>
        <w:t xml:space="preserve">. With</w:t>
      </w:r>
      <w:r>
        <w:t xml:space="preserve"> </w:t>
      </w:r>
      <m:oMath>
        <m:r>
          <m:t>J</m:t>
        </m:r>
        <m:r>
          <m:rPr>
            <m:sty m:val="p"/>
          </m:rPr>
          <m:t>=</m:t>
        </m:r>
        <m:r>
          <m:t>C</m:t>
        </m:r>
        <m:sSub>
          <m:e>
            <m:r>
              <m:t>P</m:t>
            </m:r>
          </m:e>
          <m:sub>
            <m:r>
              <m:rPr>
                <m:sty m:val="p"/>
              </m:rPr>
              <m:t>tot</m:t>
            </m:r>
          </m:sub>
        </m:sSub>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sSub>
                      <m:e>
                        <m:r>
                          <m:t>P</m:t>
                        </m:r>
                      </m:e>
                      <m:sub>
                        <m:r>
                          <m:rPr>
                            <m:sty m:val="p"/>
                          </m:rPr>
                          <m:t>tot</m:t>
                        </m:r>
                      </m:sub>
                    </m:sSub>
                  </m:den>
                </m:f>
                <m:r>
                  <m:rPr>
                    <m:sty m:val="p"/>
                  </m:rPr>
                  <m:t>,</m:t>
                </m:r>
                <m:r>
                  <m:t>  </m:t>
                </m:r>
                <m:sSub>
                  <m:e>
                    <m:r>
                      <m:t>P</m:t>
                    </m:r>
                  </m:e>
                  <m:sub>
                    <m:r>
                      <m:t>δ</m:t>
                    </m:r>
                  </m:sub>
                </m:sSub>
                <m:r>
                  <m:rPr>
                    <m:sty m:val="p"/>
                  </m:rPr>
                  <m:t>=</m:t>
                </m:r>
                <m:f>
                  <m:fPr>
                    <m:type m:val="bar"/>
                  </m:fPr>
                  <m:num>
                    <m:sSub>
                      <m:e>
                        <m:r>
                          <m:t>δ</m:t>
                        </m:r>
                      </m:e>
                      <m:sub>
                        <m:r>
                          <m:t>0</m:t>
                        </m:r>
                      </m:sub>
                    </m:sSub>
                    <m:sSub>
                      <m:e>
                        <m:r>
                          <m:t>L</m:t>
                        </m:r>
                      </m:e>
                      <m:sub>
                        <m:r>
                          <m:rPr>
                            <m:sty m:val="p"/>
                          </m:rPr>
                          <m:t>tot</m:t>
                        </m:r>
                      </m:sub>
                    </m:sSub>
                  </m:num>
                  <m:den>
                    <m:r>
                      <m:t>C</m:t>
                    </m:r>
                  </m:den>
                </m:f>
                <m:r>
                  <m:rPr>
                    <m:sty m:val="p"/>
                  </m:rPr>
                  <m:t>.</m:t>
                </m:r>
              </m:oMath>
            </m:oMathPara>
          </w:p>
        </w:tc>
        <w:tc>
          <w:tcPr>
            <w:tcW w:type="dxa" w:w="907"/>
            <w:vAlign w:val="center"/>
          </w:tcPr>
          <w:p>
            <w:pPr>
              <w:jc w:val="right"/>
            </w:pPr>
            <w:r>
              <w:t xml:space="preserve">(10)</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sSub>
          <m:e>
            <m:r>
              <m:t>P</m:t>
            </m:r>
          </m:e>
          <m:sub>
            <m:r>
              <m:rPr>
                <m:sty m:val="p"/>
              </m:rPr>
              <m:t>tot</m:t>
            </m:r>
          </m:sub>
        </m:sSub>
        <m:r>
          <m:rPr>
            <m:sty m:val="p"/>
          </m:rPr>
          <m:t>+</m:t>
        </m:r>
        <m:sSub>
          <m:e>
            <m:r>
              <m:t>δ</m:t>
            </m:r>
          </m:e>
          <m:sub>
            <m:r>
              <m:t>0</m:t>
            </m:r>
            <m:r>
              <m:rPr>
                <m:sty m:val="p"/>
              </m:rPr>
              <m:t>,</m:t>
            </m:r>
            <m:r>
              <m:t>j</m:t>
            </m:r>
          </m:sub>
        </m:sSub>
        <m:sSub>
          <m:e>
            <m:r>
              <m:t>L</m:t>
            </m:r>
          </m:e>
          <m:sub>
            <m:r>
              <m:rPr>
                <m:sty m:val="p"/>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nor/>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Var</m:t>
                </m:r>
                <m:r>
                  <m:t> </m:t>
                </m:r>
                <m:sSup>
                  <m:e>
                    <m:acc>
                      <m:accPr>
                        <m:chr m:val="̂"/>
                      </m:accPr>
                      <m:e>
                        <m:r>
                          <m:t>P</m:t>
                        </m:r>
                      </m:e>
                    </m:acc>
                  </m:e>
                  <m:sup>
                    <m:r>
                      <m:rPr>
                        <m:nor/>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(11)</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rPr>
                  <m:t>Var</m:t>
                </m:r>
                <m:r>
                  <m:t> </m:t>
                </m:r>
                <m:sSub>
                  <m:e>
                    <m:acc>
                      <m:accPr>
                        <m:chr m:val="̂"/>
                      </m:accPr>
                      <m:e>
                        <m:r>
                          <m:t>P</m:t>
                        </m:r>
                      </m:e>
                    </m:acc>
                  </m:e>
                  <m:sub>
                    <m:r>
                      <m:rPr>
                        <m:sty m:val="p"/>
                      </m:rPr>
                      <m:t>zs</m:t>
                    </m:r>
                  </m:sub>
                </m:sSub>
                <m:r>
                  <m:rPr>
                    <m:sty m:val="p"/>
                  </m:rPr>
                  <m:t>=</m:t>
                </m:r>
                <m:f>
                  <m:fPr>
                    <m:type m:val="bar"/>
                  </m:fPr>
                  <m:num>
                    <m:sSup>
                      <m:e>
                        <m:r>
                          <m:t>σ</m:t>
                        </m:r>
                      </m:e>
                      <m:sup>
                        <m:r>
                          <m:t>2</m:t>
                        </m:r>
                      </m:sup>
                    </m:sSup>
                    <m:r>
                      <m:t>Δ</m:t>
                    </m:r>
                    <m:r>
                      <m:t>x</m:t>
                    </m:r>
                    <m:r>
                      <m:t> </m:t>
                    </m:r>
                    <m:sSub>
                      <m:e>
                        <m:r>
                          <m:t>L</m:t>
                        </m:r>
                      </m:e>
                      <m:sub>
                        <m:r>
                          <m:rPr>
                            <m:sty m:val="p"/>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(12)</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(11) and (12),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sepChr m:val=""/>
            <m:grow/>
          </m:dPr>
          <m:e>
            <m:r>
              <m:t>C</m:t>
            </m:r>
          </m:e>
        </m:d>
      </m:oMath>
      <w:r>
        <w:t xml:space="preserve">; with correlated offsets one sensor should sit at the minimum, because a common offset cancels in the difference. A brute-force search and a Monte Carlo study (Eqs. (11) and (12) within 0.6 %) confirm this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rotates the two inner piers by equal and opposite amounts (pier rotations</w:t>
      </w:r>
      <w:r>
        <w:t xml:space="preserve"> </w:t>
      </w:r>
      <m:oMath>
        <m:sSub>
          <m:e>
            <m:r>
              <m:t>θ</m:t>
            </m:r>
          </m:e>
          <m:sub>
            <m:r>
              <m:t>6</m:t>
            </m:r>
          </m:sub>
        </m:sSub>
        <m:r>
          <m:rPr>
            <m:sty m:val="p"/>
          </m:rPr>
          <m:t>=</m:t>
        </m:r>
        <m:r>
          <m:rPr>
            <m:sty m:val="p"/>
          </m:rPr>
          <m:t>−</m:t>
        </m:r>
        <m:sSub>
          <m:e>
            <m:r>
              <m:t>θ</m:t>
            </m:r>
          </m:e>
          <m:sub>
            <m:r>
              <m:t>7</m:t>
            </m:r>
          </m:sub>
        </m:sSub>
      </m:oMath>
      <w:r>
        <w:t xml:space="preserve">, a mirror-symmetric deformation) and excites no other pattern of pier rotation,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(13)</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this pattern of pier rotation (</w:t>
      </w:r>
      <m:oMath>
        <m:sSub>
          <m:e>
            <m:r>
              <m:t>θ</m:t>
            </m:r>
          </m:e>
          <m:sub>
            <m:r>
              <m:t>6</m:t>
            </m:r>
          </m:sub>
        </m:sSub>
        <m:r>
          <m:rPr>
            <m:sty m:val="p"/>
          </m:rPr>
          <m:t>=</m:t>
        </m:r>
        <m:r>
          <m:rPr>
            <m:sty m:val="p"/>
          </m:rPr>
          <m:t>−</m:t>
        </m:r>
        <m:sSub>
          <m:e>
            <m:r>
              <m:t>θ</m:t>
            </m:r>
          </m:e>
          <m:sub>
            <m:r>
              <m:t>7</m:t>
            </m:r>
          </m:sub>
        </m:sSub>
      </m:oMath>
      <w:r>
        <w:t xml:space="preserve">). Equation (13) is referred to below as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side</m:t>
                        </m:r>
                      </m:sub>
                    </m:sSub>
                  </m:num>
                  <m:den>
                    <m:r>
                      <m:t>E</m:t>
                    </m:r>
                    <m:sSub>
                      <m:e>
                        <m:r>
                          <m:t>I</m:t>
                        </m:r>
                      </m:e>
                      <m:sub>
                        <m:r>
                          <m:rPr>
                            <m:sty m:val="p"/>
                          </m:rPr>
                          <m:t>side</m:t>
                        </m:r>
                      </m:sub>
                    </m:sSub>
                  </m:den>
                </m:f>
                <m:r>
                  <m:rPr>
                    <m:sty m:val="p"/>
                  </m:rPr>
                  <m:t>.</m:t>
                </m:r>
              </m:oMath>
            </m:oMathPara>
          </w:p>
        </w:tc>
        <w:tc>
          <w:tcPr>
            <w:tcW w:type="dxa" w:w="907"/>
            <w:vAlign w:val="center"/>
          </w:tcPr>
          <w:p>
            <w:pPr>
              <w:jc w:val="right"/>
            </w:pPr>
            <w:r>
              <w:t xml:space="preserve">(14)</w:t>
            </w:r>
          </w:p>
        </w:tc>
      </w:tr>
    </w:tbl>
    <w:p>
      <w:pPr>
        <w:pStyle w:val="BodyText"/>
      </w:pPr>
      <w:r>
        <w:t xml:space="preserve">Equation (14) replaces</w:t>
      </w:r>
      <w:r>
        <w:t xml:space="preserve"> </w:t>
      </w:r>
      <m:oMath>
        <m:sSub>
          <m:e>
            <m:r>
              <m:t>μ</m:t>
            </m:r>
          </m:e>
          <m:sub>
            <m:r>
              <m:rPr>
                <m:sty m:val="p"/>
              </m:rPr>
              <m:t>3</m:t>
            </m:r>
            <m:r>
              <m:rPr>
                <m:sty m:val="p"/>
              </m:rPr>
              <m:t>span</m:t>
            </m:r>
          </m:sub>
        </m:sSub>
      </m:oMath>
      <w:r>
        <w:t xml:space="preserve"> </w:t>
      </w:r>
      <w:r>
        <w:t xml:space="preserve">in Eq. (5). In the main span the end-moment parameter becomes</w:t>
      </w:r>
      <w:r>
        <w:t xml:space="preserve"> </w:t>
      </w:r>
      <m:oMath>
        <m:sSub>
          <m:e>
            <m:acc>
              <m:accPr>
                <m:chr m:val="¯"/>
              </m:accPr>
              <m:e>
                <m:r>
                  <m:t>M</m:t>
                </m:r>
              </m:e>
            </m:acc>
          </m:e>
          <m:sub>
            <m:r>
              <m:rPr>
                <m:sty m:val="p"/>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check-of-the-identity"/>
    <w:p>
      <w:pPr>
        <w:pStyle w:val="Heading2"/>
      </w:pPr>
      <w:r>
        <w:t xml:space="preserve">3. Laboratory check of the identity</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S4). The BPM-to-SLM ratio equals 1.0049, the ratio of the measured reference integral to its exact value: SLM absorbs the calibration error of the reference record, whereas BPM does not. The SLM deviations follow the measured-to-analytical integral ratio (Supplementary Section S6). The test supports the invariance of Eq. (2) only indirectly.</w:t>
      </w:r>
    </w:p>
    <w:bookmarkEnd w:id="37"/>
    <w:bookmarkStart w:id="47" w:name="Xe1311ac215d3e8813c764a8efcfd513d49f2fa4"/>
    <w:p>
      <w:pPr>
        <w:pStyle w:val="Heading2"/>
      </w:pPr>
      <w:r>
        <w:t xml:space="preserve">4. Assumptions and noise model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On day 1, two 3-axle trucks with driver-reported gross weights ran in the instrumented lane (Moghadam, 2022). On day 2, a 3-axle truck of 26.8 t and a 5-axle truck of 25.9 t, weighed on a static scale, ran in the instrumented lane (lane A), in the other lane (lane B), and in two runs one behind the other.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against time; the integrals are converted to space with the measured speed. Thin traces: the same gauges unfiltered; thick traces: low-pass filtered at 0.5 Hz; vertical lines: entry and exit of the truck. Shaded: integration window; dashed: beam-model shape; legend values: integral</w:t>
      </w:r>
      <w:r>
        <w:t xml:space="preserve"> </w:t>
      </w:r>
      <m:oMath>
        <m:r>
          <m:rPr>
            <m:sty m:val="p"/>
          </m:rPr>
          <m:t>∫</m:t>
        </m:r>
        <m:r>
          <m:t>ε</m:t>
        </m:r>
        <m:r>
          <m:t> </m:t>
        </m:r>
        <m:r>
          <m:rPr>
            <m:sty m:val="p"/>
          </m:rPr>
          <m:t>d</m:t>
        </m:r>
        <m:r>
          <m:t>x</m:t>
        </m:r>
      </m:oMath>
      <w:r>
        <w:t xml:space="preserve"> </w:t>
      </w:r>
      <w:r>
        <w:t xml:space="preserve">per gauge, in µε m.</w:t>
      </w:r>
    </w:p>
    <w:bookmarkEnd w:id="41"/>
    <w:bookmarkStart w:id="45" w:name="invariance-lanes-and-gauges"/>
    <w:p>
      <w:pPr>
        <w:pStyle w:val="Heading3"/>
      </w:pPr>
      <w:r>
        <w:t xml:space="preserve">4.2. Invariance, lanes and gauges</w:t>
      </w:r>
    </w:p>
    <w:p>
      <w:pPr>
        <w:pStyle w:val="FirstParagraph"/>
      </w:pPr>
      <w:r>
        <w:t xml:space="preserve">The records show invariance between trucks only within margins of 12–27 %. On day 2, the ratio of the gauge-average constants of the 5-axle and the 3-axle truck is 0.98 (95 % CI 0.70–1.37; Fig. 5b): consistent with Eq. (2), but with eight runs an equivalence test (90 % CI 0.76–1.27) cannot exclude differences of up to about 27 %, so it is a coarse check of linearity and processing. On day 1, the four gauges without axle spikes give constants 22–26 % lower for the second truck, but speed and truck are almost perfectly confounded, so wheel path, local deck action or speed may cause this. Per-gauge tests (Fig. 5a), the confounding and the speed effect are treated in Supplementary Section S7 (Tables S6 and S7,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the CI of st40 in (b) extends beyond the axis. Gray band: ±10 %. Red: invariance rejected; blue: equivalent within ±10 %; orange: inconclusive.</w:t>
      </w:r>
    </w:p>
    <w:p>
      <w:pPr>
        <w:pStyle w:val="BodyText"/>
      </w:pPr>
      <w:r>
        <w:t xml:space="preserve">The evidence favors lane-specific constants. For the gauge average, return trips in lane B gave constants 0.79 times those of lane A (95 % CI 0.59–1.00), as on another continuous girder (Wu et al., 2020), but the lane effect is clearly resolved for one gauge only (st36; Supplementary Section S7).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needs its own constant, from a weighed vehicle or a three-dimensional model, because the deck-soffit gauges also respond to slab bending and shear lag. The constant of ch11 is 3.9 times that of ch8, although the gauges are within 6 m of each other and a one-dimensional beam model predicts nearly equal constants, and the st36-to-st40 ratio changes with the lane (Supplementary Section S7); both observations make a spread of gauge factors an unlikely cause. A beam model still reproduces the global shape of the strain histories and confirms two points of Section 2: the gauges are not blind, since the zeros of the uniform-load moment diagram in span 2 lie about 35 m away, and the whole 605 m crossing must be integrated, since span 2 contributes about 170 % of the net integral (Supplementary Section S7).</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(11)) and the zero-sum estimator (Eq. (12)) were compared by leave-one-run-out cross-validation with</w:t>
      </w:r>
      <w:r>
        <w:t xml:space="preserve"> </w:t>
      </w:r>
      <m:oMath>
        <m:r>
          <m:t>Σ</m:t>
        </m:r>
      </m:oMath>
      <w:r>
        <w:t xml:space="preserve"> </w:t>
      </w:r>
      <w:r>
        <w:t xml:space="preserve">from vehicle-free windows (Table 2; further results in Supplementary Table S8 and Fig. S10).</w:t>
      </w:r>
    </w:p>
    <w:p>
      <w:pPr>
        <w:pStyle w:val="BodyText"/>
        <w:keepNext/>
      </w:pPr>
      <w:r>
        <w:rPr>
          <w:bCs/>
          <w:b/>
        </w:rPr>
        <w:t xml:space="preserve">Table 2.</w:t>
      </w:r>
      <w:r>
        <w:t xml:space="preserve"> </w:t>
      </w:r>
      <w:r>
        <w:t xml:space="preserve">Mean absolute error (MAE) of the gross weight (% of gross vehicle weight), leave-one-run-out, with 95 % percentile bootstrap CIs (10 000 resamples of the test runs; 8 runs on day 2, 7 on day 1). GLS uses</w:t>
      </w:r>
      <w:r>
        <w:t xml:space="preserve"> </w:t>
      </w:r>
      <m:oMath>
        <m:r>
          <m:t>Σ</m:t>
        </m:r>
      </m:oMath>
      <w:r>
        <w:t xml:space="preserve"> </w:t>
      </w:r>
      <w:r>
        <w:t xml:space="preserve">measured in vehicle-free windows. With so few runs, percentile intervals may under-cover.</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A predictor that always returns the mean calibration weight beats every estimator on both days, so the records cannot show weight discrimination.</w:t>
      </w:r>
    </w:p>
    <w:p>
      <w:pPr>
        <w:pStyle w:val="BodyText"/>
      </w:pPr>
      <w:r>
        <w:t xml:space="preserve">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the residual covariance reproduces the observed order, an in-sample consistency check only (Supplementary Section S7). The gauge-specific component of each crossing, plausibly from the wheel path and local slab action, is amplified by the large GLS weights of opposite sign on st40 and st36. Vehicle-free windows are therefore not enough to estimate</w:t>
      </w:r>
      <w:r>
        <w:t xml:space="preserve"> </w:t>
      </w:r>
      <m:oMath>
        <m:r>
          <m:t>Σ</m:t>
        </m:r>
      </m:oMath>
      <w:r>
        <w:t xml:space="preserve">, and hence</w:t>
      </w:r>
      <w:r>
        <w:t xml:space="preserve"> </w:t>
      </w:r>
      <m:oMath>
        <m:r>
          <m:t>ρ</m:t>
        </m:r>
      </m:oMath>
      <w:r>
        <w:t xml:space="preserve">. Crossing residuals are the better basis but were not sufficient here: with eight runs,</w:t>
      </w:r>
      <w:r>
        <w:t xml:space="preserve"> </w:t>
      </w:r>
      <m:oMath>
        <m:r>
          <m:t>Σ</m:t>
        </m:r>
      </m:oMath>
      <w:r>
        <w:t xml:space="preserve"> </w:t>
      </w:r>
      <w:r>
        <w:t xml:space="preserve">estimated from them over-fitted (mean absolute error 8.5 % in sample against 23.4 % out of sample; Supplementary Section S7), so enough calibration crossings and an out-of-sample check are needed.</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T6 and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S11 and S12; axle positions in Table S16).</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Both</w:t>
      </w:r>
      <w:r>
        <w:t xml:space="preserve"> </w:t>
      </w:r>
      <m:oMath>
        <m:r>
          <m:t>k</m:t>
        </m:r>
      </m:oMath>
      <w:r>
        <w:t xml:space="preserve"> </w:t>
      </w:r>
      <w:r>
        <w:t xml:space="preserve">and</w:t>
      </w:r>
      <w:r>
        <w:t xml:space="preserve"> </w:t>
      </w:r>
      <m:oMath>
        <m:r>
          <m:t>α</m:t>
        </m:r>
      </m:oMath>
      <w:r>
        <w:t xml:space="preserve"> </w:t>
      </w:r>
      <w:r>
        <w:t xml:space="preserve">are effective parameters: they also absorb mechanisms that the beam model omits, such as shear deformation, shear lag, frame action of the monolithic piers and bearing friction.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sSub>
          <m:e>
            <m:r>
              <m:t>N</m:t>
            </m:r>
          </m:e>
          <m:sub>
            <m:r>
              <m:t>ε</m:t>
            </m:r>
          </m:sub>
        </m:sSub>
        <m:r>
          <m:rPr>
            <m:sty m:val="p"/>
          </m:rPr>
          <m:t>=</m:t>
        </m:r>
        <m:sSub>
          <m:e>
            <m:r>
              <m:t>N</m:t>
            </m:r>
          </m:e>
          <m:sub>
            <m:r>
              <m:t>M</m:t>
            </m:r>
          </m:sub>
        </m:sSub>
        <m:r>
          <m:t> </m:t>
        </m:r>
        <m:d>
          <m:dPr>
            <m:begChr m:val="("/>
            <m:endChr m:val=")"/>
            <m:sepChr m:val=""/>
            <m:grow/>
          </m:dPr>
          <m:e>
            <m:r>
              <m:t>c</m:t>
            </m:r>
            <m:r>
              <m:rPr>
                <m:sty m:val="p"/>
              </m:rPr>
              <m:t>/</m:t>
            </m:r>
            <m:r>
              <m:t>E</m:t>
            </m:r>
            <m:r>
              <m:t>I</m:t>
            </m:r>
          </m:e>
        </m:d>
        <m:r>
          <m:rPr>
            <m:sty m:val="p"/>
          </m:rPr>
          <m:t>/</m:t>
        </m:r>
        <m:sSub>
          <m:e>
            <m:d>
              <m:dPr>
                <m:begChr m:val="("/>
                <m:endChr m:val=")"/>
                <m:sepChr m:val=""/>
                <m:grow/>
              </m:dPr>
              <m:e>
                <m:r>
                  <m:t>c</m:t>
                </m:r>
                <m:r>
                  <m:rPr>
                    <m:sty m:val="p"/>
                  </m:rPr>
                  <m:t>/</m:t>
                </m:r>
                <m:r>
                  <m:t>E</m:t>
                </m:r>
                <m:r>
                  <m:t>I</m:t>
                </m:r>
              </m:e>
            </m:d>
          </m:e>
          <m:sub>
            <m:r>
              <m:rPr>
                <m:sty m:val="p"/>
              </m:rPr>
              <m:t>mid</m:t>
            </m:r>
          </m:sub>
        </m:sSub>
      </m:oMath>
      <w:r>
        <w:t xml:space="preserve">, that is, the strain constant</w:t>
      </w:r>
      <w:r>
        <w:t xml:space="preserve"> </w:t>
      </w:r>
      <m:oMath>
        <m:sSub>
          <m:e>
            <m:r>
              <m:t>C</m:t>
            </m:r>
          </m:e>
          <m:sub>
            <m:r>
              <m:t>ε</m:t>
            </m:r>
          </m:sub>
        </m:sSub>
      </m:oMath>
      <w:r>
        <w:t xml:space="preserve"> </w:t>
      </w:r>
      <w:r>
        <w:t xml:space="preserve">in units of</w:t>
      </w:r>
      <w:r>
        <w:t xml:space="preserve"> </w:t>
      </w:r>
      <m:oMath>
        <m:sSub>
          <m:e>
            <m:d>
              <m:dPr>
                <m:begChr m:val="("/>
                <m:endChr m:val=")"/>
                <m:sepChr m:val=""/>
                <m:grow/>
              </m:dPr>
              <m:e>
                <m:r>
                  <m:t>c</m:t>
                </m:r>
                <m:r>
                  <m:rPr>
                    <m:sty m:val="p"/>
                  </m:rPr>
                  <m:t>/</m:t>
                </m:r>
                <m:r>
                  <m:t>E</m:t>
                </m:r>
                <m:r>
                  <m:t>I</m:t>
                </m:r>
              </m:e>
            </m:d>
          </m:e>
          <m:sub>
            <m:r>
              <m:rPr>
                <m:sty m:val="p"/>
              </m:rPr>
              <m:t>mid</m:t>
            </m:r>
          </m:sub>
        </m:sSub>
        <m:sSup>
          <m:e>
            <m:r>
              <m:t>L</m:t>
            </m:r>
          </m:e>
          <m:sup>
            <m:r>
              <m:t>2</m:t>
            </m:r>
          </m:sup>
        </m:sSup>
        <m:r>
          <m:rPr>
            <m:sty m:val="p"/>
          </m:rPr>
          <m:t>/</m:t>
        </m:r>
        <m:r>
          <m:t>8</m:t>
        </m:r>
      </m:oMath>
      <w:r>
        <w:t xml:space="preserve">, with</w:t>
      </w:r>
      <w:r>
        <w:t xml:space="preserve"> </w:t>
      </w:r>
      <m:oMath>
        <m:sSub>
          <m:e>
            <m:d>
              <m:dPr>
                <m:begChr m:val="("/>
                <m:endChr m:val=")"/>
                <m:sepChr m:val=""/>
                <m:grow/>
              </m:dPr>
              <m:e>
                <m:r>
                  <m:t>c</m:t>
                </m:r>
                <m:r>
                  <m:rPr>
                    <m:sty m:val="p"/>
                  </m:rPr>
                  <m:t>/</m:t>
                </m:r>
                <m:r>
                  <m:t>E</m:t>
                </m:r>
                <m:r>
                  <m:t>I</m:t>
                </m:r>
              </m:e>
            </m:d>
          </m:e>
          <m:sub>
            <m:r>
              <m:rPr>
                <m:sty m:val="p"/>
              </m:rPr>
              <m:t>mid</m:t>
            </m:r>
          </m:sub>
        </m:sSub>
      </m:oMath>
      <w:r>
        <w:t xml:space="preserve"> </w:t>
      </w:r>
      <w:r>
        <w:t xml:space="preserve">the gain of the mid main-span section and</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 In all panels each indicator is normalized by the span containing the point, so steps at the piers are changes of scale.</w:t>
      </w:r>
    </w:p>
    <w:bookmarkEnd w:id="51"/>
    <w:bookmarkStart w:id="55" w:name="what-the-static-data-identify"/>
    <w:p>
      <w:pPr>
        <w:pStyle w:val="Heading3"/>
      </w:pPr>
      <w:r>
        <w:t xml:space="preserve">5.2. What the static data identify</w:t>
      </w:r>
    </w:p>
    <w:p>
      <w:pPr>
        <w:pStyle w:val="FirstParagraph"/>
      </w:pPr>
      <w:r>
        <w:t xml:space="preserve">The admissible set contains every model whose misfit at each gauge is within</w:t>
      </w:r>
      <w:r>
        <w:t xml:space="preserve"> </w:t>
      </w:r>
      <m:oMath>
        <m:r>
          <m:t>τ</m:t>
        </m:r>
      </m:oMath>
      <w:r>
        <w:t xml:space="preserve"> </w:t>
      </w:r>
      <w:r>
        <w:t xml:space="preserve">= 5.3 %, two combined standard uncertainties (measurement and model form) of a section mean (Supplementary Section S8). Over this set, the largest constant of the side-span gauge N8 is 6.6 times the smallest, against 1.5 for the main-span gauge N7, when the effective rigidity</w:t>
      </w:r>
      <w:r>
        <w:t xml:space="preserve"> </w:t>
      </w:r>
      <m:oMath>
        <m:r>
          <m:t>α</m:t>
        </m:r>
      </m:oMath>
      <w:r>
        <w:t xml:space="preserve"> </w:t>
      </w:r>
      <w:r>
        <w:t xml:space="preserve">is free, and by 2.4 against 1.1 when</w:t>
      </w:r>
      <w:r>
        <w:t xml:space="preserve"> </w:t>
      </w:r>
      <m:oMath>
        <m:r>
          <m:t>α</m:t>
        </m:r>
      </m:oMath>
      <w:r>
        <w:t xml:space="preserve"> </w:t>
      </w:r>
      <w:r>
        <w:t xml:space="preserve">is bounded to the material range 0.9–1.3 (Table 3; Supplementary Table S13). Across the model-form variants the factors are 2.6–16 for N8 against 1.3–1.6 for N7, so the contrast holds although its size depends on the model. The two factors are scenarios, not an estimate and a correction: the bound excludes calibration B, and</w:t>
      </w:r>
      <w:r>
        <w:t xml:space="preserve"> </w:t>
      </w:r>
      <m:oMath>
        <m:r>
          <m:t>α</m:t>
        </m:r>
      </m:oMath>
      <w:r>
        <w:t xml:space="preserve"> </w:t>
      </w:r>
      <w:r>
        <w:t xml:space="preserve">is an effective parameter (Section 5.1). The factor is carried by the N8 constant</w:t>
      </w:r>
      <w:r>
        <w:t xml:space="preserve"> </w:t>
      </w:r>
      <m:oMath>
        <m:sSub>
          <m:e>
            <m:r>
              <m:t>C</m:t>
            </m:r>
          </m:e>
          <m:sub>
            <m:r>
              <m:t>8</m:t>
            </m:r>
          </m:sub>
        </m:sSub>
      </m:oMath>
      <w:r>
        <w:t xml:space="preserve">, which 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its upper end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 (Table 3, note b).</w:t>
      </w:r>
    </w:p>
    <w:p>
      <w:pPr>
        <w:pStyle w:val="BodyText"/>
      </w:pPr>
      <w:r>
        <w:t xml:space="preserve">No single model fits both gauges; the remaining misfit of 4–9 % is model-form error. The misfit ratio</w:t>
      </w:r>
      <w:r>
        <w:t xml:space="preserve"> </w:t>
      </w:r>
      <m:oMath>
        <m:sSub>
          <m:e>
            <m:r>
              <m:t>r</m:t>
            </m:r>
          </m:e>
          <m:sub>
            <m:r>
              <m:t>87</m:t>
            </m:r>
          </m:sub>
        </m:sSub>
      </m:oMath>
      <w:r>
        <w:t xml:space="preserve"> </w:t>
      </w:r>
      <w:r>
        <w:t xml:space="preserve">(measured-to-model ratio at N8 divided by that at N7) has its minimum, 1.058, at calibration B (Fig. 7a), and the model-form variants move the minimum between 1.039 and 1.092 but never to 1. Calibration B is therefore the nearest fit rather than an exact one. Its</w:t>
      </w:r>
      <w:r>
        <w:t xml:space="preserve"> </w:t>
      </w:r>
      <m:oMath>
        <m:r>
          <m:t>α</m:t>
        </m:r>
        <m:r>
          <m:rPr>
            <m:sty m:val="p"/>
          </m:rPr>
          <m:t>=</m:t>
        </m:r>
        <m:r>
          <m:t>0.716</m:t>
        </m:r>
      </m:oMath>
      <w:r>
        <w:t xml:space="preserve"> </w:t>
      </w:r>
      <w:r>
        <w:t xml:space="preserve">is an effective rigidity 28 % below design, which is implausible as a material loss in a recently built prestressed girder and more likely absorbs omitted mechanisms.</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rPr>
              <m:t>v</m:t>
            </m:r>
          </m:sub>
        </m:sSub>
      </m:oMath>
      <w:r>
        <w:t xml:space="preserve">, haunch exponent, rigid pier zone)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nor/>
              </m:rPr>
              <m:t>*</m:t>
            </m:r>
          </m:sup>
        </m:sSup>
        <m:d>
          <m:dPr>
            <m:begChr m:val="("/>
            <m:endChr m:val=")"/>
            <m:sepChr m:val=""/>
            <m:grow/>
          </m:dPr>
          <m:e>
            <m:r>
              <m:t>κ</m:t>
            </m:r>
          </m:e>
        </m:d>
      </m:oMath>
      <w:r>
        <w:t xml:space="preserve">; shaded: admissible range of</w:t>
      </w:r>
      <w:r>
        <w:t xml:space="preserve"> </w:t>
      </w:r>
      <m:oMath>
        <m:r>
          <m:t>κ</m:t>
        </m:r>
      </m:oMath>
      <w:r>
        <w:t xml:space="preserve">.</w:t>
      </w:r>
      <w:r>
        <w:t xml:space="preserve"> </w:t>
      </w:r>
      <m:oMath>
        <m:sSub>
          <m:e>
            <m:r>
              <m:t>r</m:t>
            </m:r>
          </m:e>
          <m:sub>
            <m:r>
              <m:t>87</m:t>
            </m:r>
          </m:sub>
        </m:sSub>
      </m:oMath>
      <w:r>
        <w:t xml:space="preserve">: measured-to-model ratio at N8 divided by that at N7;</w:t>
      </w:r>
      <w:r>
        <w:t xml:space="preserve"> </w:t>
      </w:r>
      <m:oMath>
        <m:sSup>
          <m:e>
            <m:r>
              <m:t>α</m:t>
            </m:r>
          </m:e>
          <m:sup>
            <m:r>
              <m:rPr>
                <m:nor/>
              </m:rPr>
              <m:t>*</m:t>
            </m:r>
          </m:sup>
        </m:sSup>
        <m:d>
          <m:dPr>
            <m:begChr m:val="("/>
            <m:endChr m:val=")"/>
            <m:sepChr m:val=""/>
            <m:grow/>
          </m:dPr>
          <m:e>
            <m:r>
              <m:t>κ</m:t>
            </m:r>
          </m:e>
        </m:d>
      </m:oMath>
      <w:r>
        <w:t xml:space="preserve">: rigidity factor that best fits both readings at given</w:t>
      </w:r>
      <w:r>
        <w:t xml:space="preserve"> </w:t>
      </w:r>
      <m:oMath>
        <m:r>
          <m:t>κ</m:t>
        </m:r>
      </m:oMath>
      <w:r>
        <w:t xml:space="preserve"> </w:t>
      </w:r>
      <w:r>
        <w:t xml:space="preserve">(log least squares; equal and opposite log misfits at N8 and N7).</w:t>
      </w:r>
    </w:p>
    <w:p>
      <w:pPr>
        <w:pStyle w:val="BodyText"/>
      </w:pPr>
      <w:r>
        <w:t xml:space="preserve">At</w:t>
      </w:r>
      <w:r>
        <w:t xml:space="preserve"> </w:t>
      </w:r>
      <m:oMath>
        <m:r>
          <m:t>τ</m:t>
        </m:r>
      </m:oMath>
      <w:r>
        <w:t xml:space="preserve"> </w:t>
      </w:r>
      <w:r>
        <w:t xml:space="preserve">= 5.3 %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tolerance treats the six transverse readings as independent samples, so Supplementary Table S13 repeats the analysis at</w:t>
      </w:r>
      <w:r>
        <w:t xml:space="preserve"> </w:t>
      </w:r>
      <m:oMath>
        <m:r>
          <m:t>τ</m:t>
        </m:r>
      </m:oMath>
      <w:r>
        <w:t xml:space="preserve"> </w:t>
      </w:r>
      <w:r>
        <w:t xml:space="preserve">= 3 and 4 %; the contrast between the gauges persists (1.5 against 1.1 and 3.4 against 1.4), and at</w:t>
      </w:r>
      <w:r>
        <w:t xml:space="preserve"> </w:t>
      </w:r>
      <m:oMath>
        <m:r>
          <m:t>τ</m:t>
        </m:r>
      </m:oMath>
      <w:r>
        <w:t xml:space="preserve"> </w:t>
      </w:r>
      <w:r>
        <w:t xml:space="preserve">= 3 % the admissible set excludes the design rigidity,</w:t>
      </w:r>
      <w:r>
        <w:t xml:space="preserve"> </w:t>
      </w:r>
      <m:oMath>
        <m:r>
          <m:t>α</m:t>
        </m:r>
        <m:r>
          <m:rPr>
            <m:sty m:val="p"/>
          </m:rPr>
          <m:t>=</m:t>
        </m:r>
        <m:r>
          <m:t>1</m:t>
        </m:r>
      </m:oMath>
      <w:r>
        <w:t xml:space="preserve">.</w:t>
      </w:r>
    </w:p>
    <w:p>
      <w:pPr>
        <w:pStyle w:val="BodyText"/>
      </w:pPr>
      <w:r>
        <w:t xml:space="preserve">The side-span constant is this uncertain because the design pier stiffness lies near the steepest part of the Möbius curve of Eq. (13), where the boundary sensitivity</w:t>
      </w:r>
      <w:r>
        <w:t xml:space="preserve"> </w:t>
      </w:r>
      <m:oMath>
        <m:sSub>
          <m:e>
            <m:r>
              <m:t>B</m:t>
            </m:r>
          </m:e>
          <m:sub>
            <m:r>
              <m:t>m</m:t>
            </m:r>
          </m:sub>
        </m:sSub>
      </m:oMath>
      <w:r>
        <w:t xml:space="preserve"> </w:t>
      </w:r>
      <w:r>
        <w:t xml:space="preserve">is 0.51 at N8 against 0.12 at N7; calibrating to the N8 reading does not fix the N8 constant either (Supplementary Section S8 and Table S15).</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(8), and cancellation ratio</w:t>
      </w:r>
      <w:r>
        <w:t xml:space="preserve"> </w:t>
      </w:r>
      <m:oMath>
        <m:r>
          <m:t>R</m:t>
        </m:r>
      </m:oMath>
      <w:r>
        <w:t xml:space="preserve">, Eq. (9), of the installed Mây Bridge gauges;</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sets (</w:t>
      </w:r>
      <m:oMath>
        <m:r>
          <m:t>τ</m:t>
        </m:r>
      </m:oMath>
      <w:r>
        <w:t xml:space="preserve"> </w:t>
      </w:r>
      <w:r>
        <w:t xml:space="preserve">= 5.3 %;</w:t>
      </w:r>
      <w:r>
        <w:t xml:space="preserve"> </w:t>
      </w:r>
      <m:oMath>
        <m:r>
          <m:t>α</m:t>
        </m:r>
      </m:oMath>
      <w:r>
        <w:t xml:space="preserve"> </w:t>
      </w:r>
      <w:r>
        <w:t xml:space="preserve">= 0.51–1.15, or 0.90–1.15 with the prior</w:t>
      </w:r>
      <w:r>
        <w:t xml:space="preserve"> </w:t>
      </w:r>
      <m:oMath>
        <m:r>
          <m:t>α</m:t>
        </m:r>
      </m:oMath>
      <w:r>
        <w:t xml:space="preserve"> </w:t>
      </w:r>
      <w:r>
        <w:t xml:space="preserve">= 0.9–1.3); haunched rows: base model (</w:t>
      </w:r>
      <m:oMath>
        <m:sSub>
          <m:e>
            <m:r>
              <m:t>L</m:t>
            </m:r>
          </m:e>
          <m:sub>
            <m:r>
              <m:rPr>
                <m:sty m:val="p"/>
              </m:rPr>
              <m:t>v</m:t>
            </m:r>
          </m:sub>
        </m:sSub>
      </m:oMath>
      <w:r>
        <w:t xml:space="preserve"> </w:t>
      </w:r>
      <w:r>
        <w:t xml:space="preserve">= 44 m). Values at mid side span: Supplementary Table S15.</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511"/>
        <w:gridCol w:w="1883"/>
        <w:gridCol w:w="1744"/>
        <w:gridCol w:w="1465"/>
        <w:gridCol w:w="1465"/>
      </w:tblGrid>
      <w:tr>
        <w:trPr>
          <w:tblHeader w:val="true"/>
          <w:tblHeader w:val="true"/>
          <w:cantSplit/>
        </w:trPr>
        <w:tc>
          <w:tcPr>
            <w:tcW w:type="dxa" w:w="2511"/>
            <w:tcBorders>
              <w:top w:val="nil"/>
              <w:left w:val="nil"/>
              <w:bottom w:val="single" w:sz="6" w:space="0" w:color="000000"/>
              <w:right w:val="nil"/>
            </w:tcBorders>
          </w:tcPr>
          <w:p>
            <w:pPr>
              <w:pStyle w:val="Compact"/>
              <w:jc w:val="left"/>
            </w:pPr>
            <w:r>
              <w:t xml:space="preserve">Model</w:t>
            </w:r>
          </w:p>
        </w:tc>
        <w:tc>
          <w:tcPr>
            <w:tcW w:type="dxa" w:w="188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65"/>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465"/>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511"/>
          </w:tcPr>
          <w:p>
            <w:pPr>
              <w:pStyle w:val="Compact"/>
              <w:jc w:val="left"/>
            </w:pPr>
            <w:r>
              <w:t xml:space="preserve">Prismatic beam, pinned piers</w:t>
            </w:r>
          </w:p>
        </w:tc>
        <w:tc>
          <w:tcPr>
            <w:tcW w:type="dxa" w:w="1883"/>
          </w:tcPr>
          <w:p>
            <w:pPr>
              <w:pStyle w:val="Compact"/>
              <w:jc w:val="right"/>
            </w:pPr>
            <w:r>
              <w:t xml:space="preserve">0.287</w:t>
            </w:r>
          </w:p>
        </w:tc>
        <w:tc>
          <w:tcPr>
            <w:tcW w:type="dxa" w:w="1744"/>
          </w:tcPr>
          <w:p>
            <w:pPr>
              <w:pStyle w:val="Compact"/>
              <w:jc w:val="right"/>
            </w:pPr>
            <w:r>
              <w:t xml:space="preserve">0.755</w:t>
            </w:r>
          </w:p>
        </w:tc>
        <w:tc>
          <w:tcPr>
            <w:tcW w:type="dxa" w:w="1465"/>
          </w:tcPr>
          <w:p>
            <w:pPr>
              <w:pStyle w:val="Compact"/>
              <w:jc w:val="right"/>
            </w:pPr>
            <w:r>
              <w:t xml:space="preserve">0.14</w:t>
            </w:r>
          </w:p>
        </w:tc>
        <w:tc>
          <w:tcPr>
            <w:tcW w:type="dxa" w:w="1465"/>
          </w:tcPr>
          <w:p>
            <w:pPr>
              <w:pStyle w:val="Compact"/>
              <w:jc w:val="right"/>
            </w:pPr>
            <w:r>
              <w:t xml:space="preserve">0.70</w:t>
            </w:r>
          </w:p>
        </w:tc>
      </w:tr>
      <w:tr>
        <w:trPr>
          <w:cantSplit/>
        </w:trPr>
        <w:tc>
          <w:tcPr>
            <w:tcW w:type="dxa" w:w="2511"/>
          </w:tcPr>
          <w:p>
            <w:pPr>
              <w:pStyle w:val="Compact"/>
              <w:jc w:val="left"/>
            </w:pPr>
            <w:r>
              <w:t xml:space="preserve">Haunched, calibration A</w:t>
            </w:r>
          </w:p>
        </w:tc>
        <w:tc>
          <w:tcPr>
            <w:tcW w:type="dxa" w:w="1883"/>
          </w:tcPr>
          <w:p>
            <w:pPr>
              <w:pStyle w:val="Compact"/>
              <w:jc w:val="right"/>
            </w:pPr>
            <w:r>
              <w:t xml:space="preserve">0.181</w:t>
            </w:r>
          </w:p>
        </w:tc>
        <w:tc>
          <w:tcPr>
            <w:tcW w:type="dxa" w:w="1744"/>
          </w:tcPr>
          <w:p>
            <w:pPr>
              <w:pStyle w:val="Compact"/>
              <w:jc w:val="right"/>
            </w:pPr>
            <w:r>
              <w:t xml:space="preserve">0.209</w:t>
            </w:r>
          </w:p>
        </w:tc>
        <w:tc>
          <w:tcPr>
            <w:tcW w:type="dxa" w:w="1465"/>
          </w:tcPr>
          <w:p>
            <w:pPr>
              <w:pStyle w:val="Compact"/>
              <w:jc w:val="right"/>
            </w:pPr>
            <w:r>
              <w:t xml:space="preserve">0.18</w:t>
            </w:r>
          </w:p>
        </w:tc>
        <w:tc>
          <w:tcPr>
            <w:tcW w:type="dxa" w:w="1465"/>
          </w:tcPr>
          <w:p>
            <w:pPr>
              <w:pStyle w:val="Compact"/>
              <w:jc w:val="right"/>
            </w:pPr>
            <w:r>
              <w:t xml:space="preserve">0.59</w:t>
            </w:r>
          </w:p>
        </w:tc>
      </w:tr>
      <w:tr>
        <w:trPr>
          <w:cantSplit/>
        </w:trPr>
        <w:tc>
          <w:tcPr>
            <w:tcW w:type="dxa" w:w="2511"/>
          </w:tcPr>
          <w:p>
            <w:pPr>
              <w:pStyle w:val="Compact"/>
              <w:jc w:val="left"/>
            </w:pPr>
            <w:r>
              <w:t xml:space="preserve">Haunched, calibration B</w:t>
            </w:r>
          </w:p>
        </w:tc>
        <w:tc>
          <w:tcPr>
            <w:tcW w:type="dxa" w:w="1883"/>
          </w:tcPr>
          <w:p>
            <w:pPr>
              <w:pStyle w:val="Compact"/>
              <w:jc w:val="right"/>
            </w:pPr>
            <w:r>
              <w:t xml:space="preserve">0.476ᵃ</w:t>
            </w:r>
          </w:p>
        </w:tc>
        <w:tc>
          <w:tcPr>
            <w:tcW w:type="dxa" w:w="1744"/>
          </w:tcPr>
          <w:p>
            <w:pPr>
              <w:pStyle w:val="Compact"/>
              <w:jc w:val="right"/>
            </w:pPr>
            <w:r>
              <w:t xml:space="preserve">0.234</w:t>
            </w:r>
          </w:p>
        </w:tc>
        <w:tc>
          <w:tcPr>
            <w:tcW w:type="dxa" w:w="1465"/>
          </w:tcPr>
          <w:p>
            <w:pPr>
              <w:pStyle w:val="Compact"/>
              <w:jc w:val="right"/>
            </w:pPr>
            <w:r>
              <w:t xml:space="preserve">0.56</w:t>
            </w:r>
          </w:p>
        </w:tc>
        <w:tc>
          <w:tcPr>
            <w:tcW w:type="dxa" w:w="1465"/>
          </w:tcPr>
          <w:p>
            <w:pPr>
              <w:pStyle w:val="Compact"/>
              <w:jc w:val="right"/>
            </w:pPr>
            <w:r>
              <w:t xml:space="preserve">0.77</w:t>
            </w:r>
          </w:p>
        </w:tc>
      </w:tr>
      <w:tr>
        <w:trPr>
          <w:cantSplit/>
        </w:trPr>
        <w:tc>
          <w:tcPr>
            <w:tcW w:type="dxa" w:w="2511"/>
          </w:tcPr>
          <w:p>
            <w:pPr>
              <w:pStyle w:val="Compact"/>
              <w:jc w:val="left"/>
            </w:pPr>
            <w:r>
              <w:t xml:space="preserve">Haunched, admissible set</w:t>
            </w:r>
          </w:p>
        </w:tc>
        <w:tc>
          <w:tcPr>
            <w:tcW w:type="dxa" w:w="1883"/>
          </w:tcPr>
          <w:p>
            <w:pPr>
              <w:pStyle w:val="Compact"/>
              <w:jc w:val="right"/>
            </w:pPr>
            <w:r>
              <w:t xml:space="preserve">0.124–0.822ᵇ</w:t>
            </w:r>
          </w:p>
        </w:tc>
        <w:tc>
          <w:tcPr>
            <w:tcW w:type="dxa" w:w="1744"/>
          </w:tcPr>
          <w:p>
            <w:pPr>
              <w:pStyle w:val="Compact"/>
              <w:jc w:val="right"/>
            </w:pPr>
            <w:r>
              <w:t xml:space="preserve">0.190–0.286</w:t>
            </w:r>
          </w:p>
        </w:tc>
        <w:tc>
          <w:tcPr>
            <w:tcW w:type="dxa" w:w="1465"/>
          </w:tcPr>
          <w:p>
            <w:pPr>
              <w:pStyle w:val="Compact"/>
              <w:jc w:val="right"/>
            </w:pPr>
            <w:r>
              <w:t xml:space="preserve">0.13–1.00</w:t>
            </w:r>
          </w:p>
        </w:tc>
        <w:tc>
          <w:tcPr>
            <w:tcW w:type="dxa" w:w="1465"/>
          </w:tcPr>
          <w:p>
            <w:pPr>
              <w:pStyle w:val="Compact"/>
              <w:jc w:val="right"/>
            </w:pPr>
            <w:r>
              <w:t xml:space="preserve">0.56–1.00</w:t>
            </w:r>
          </w:p>
        </w:tc>
      </w:tr>
      <w:tr>
        <w:trPr>
          <w:cantSplit/>
        </w:trPr>
        <w:tc>
          <w:tcPr>
            <w:tcW w:type="dxa" w:w="2511"/>
          </w:tcPr>
          <w:p>
            <w:pPr>
              <w:pStyle w:val="Compact"/>
              <w:jc w:val="left"/>
            </w:pPr>
            <w:r>
              <w:t xml:space="preserve">Haunched, admissible set with prior</w:t>
            </w:r>
            <w:r>
              <w:t xml:space="preserve"> </w:t>
            </w:r>
            <m:oMath>
              <m:r>
                <m:t>α</m:t>
              </m:r>
            </m:oMath>
            <w:r>
              <w:t xml:space="preserve"> </w:t>
            </w:r>
            <w:r>
              <w:t xml:space="preserve">= 0.9–1.3</w:t>
            </w:r>
          </w:p>
        </w:tc>
        <w:tc>
          <w:tcPr>
            <w:tcW w:type="dxa" w:w="1883"/>
          </w:tcPr>
          <w:p>
            <w:pPr>
              <w:pStyle w:val="Compact"/>
              <w:jc w:val="right"/>
            </w:pPr>
            <w:r>
              <w:t xml:space="preserve">0.124–0.297</w:t>
            </w:r>
          </w:p>
        </w:tc>
        <w:tc>
          <w:tcPr>
            <w:tcW w:type="dxa" w:w="1744"/>
          </w:tcPr>
          <w:p>
            <w:pPr>
              <w:pStyle w:val="Compact"/>
              <w:jc w:val="right"/>
            </w:pPr>
            <w:r>
              <w:t xml:space="preserve">0.190–0.211</w:t>
            </w:r>
          </w:p>
        </w:tc>
        <w:tc>
          <w:tcPr>
            <w:tcW w:type="dxa" w:w="1465"/>
          </w:tcPr>
          <w:p>
            <w:pPr>
              <w:pStyle w:val="Compact"/>
              <w:jc w:val="right"/>
            </w:pPr>
            <w:r>
              <w:t xml:space="preserve">0.13–0.34</w:t>
            </w:r>
          </w:p>
        </w:tc>
        <w:tc>
          <w:tcPr>
            <w:tcW w:type="dxa" w:w="1465"/>
          </w:tcPr>
          <w:p>
            <w:pPr>
              <w:pStyle w:val="Compact"/>
              <w:jc w:val="right"/>
            </w:pPr>
            <w:r>
              <w:t xml:space="preserve">0.56–0.66</w:t>
            </w:r>
          </w:p>
        </w:tc>
      </w:tr>
      <w:tr>
        <w:trPr>
          <w:cantSplit/>
        </w:trPr>
        <w:tc>
          <w:tcPr>
            <w:tcW w:type="dxa" w:w="2511"/>
          </w:tcPr>
          <w:p>
            <w:pPr>
              <w:pStyle w:val="Compact"/>
              <w:jc w:val="left"/>
            </w:pPr>
            <w:r>
              <w:t xml:space="preserve">Haunched, pinned piers</w:t>
            </w:r>
          </w:p>
        </w:tc>
        <w:tc>
          <w:tcPr>
            <w:tcW w:type="dxa" w:w="1883"/>
          </w:tcPr>
          <w:p>
            <w:pPr>
              <w:pStyle w:val="Compact"/>
              <w:jc w:val="right"/>
            </w:pPr>
            <w:r>
              <w:t xml:space="preserve">0.030</w:t>
            </w:r>
          </w:p>
        </w:tc>
        <w:tc>
          <w:tcPr>
            <w:tcW w:type="dxa" w:w="1744"/>
          </w:tcPr>
          <w:p>
            <w:pPr>
              <w:pStyle w:val="Compact"/>
              <w:jc w:val="right"/>
            </w:pPr>
            <w:r>
              <w:t xml:space="preserve">0.248</w:t>
            </w:r>
          </w:p>
        </w:tc>
        <w:tc>
          <w:tcPr>
            <w:tcW w:type="dxa" w:w="1465"/>
          </w:tcPr>
          <w:p>
            <w:pPr>
              <w:pStyle w:val="Compact"/>
              <w:jc w:val="right"/>
            </w:pPr>
            <w:r>
              <w:t xml:space="preserve">0.02</w:t>
            </w:r>
          </w:p>
        </w:tc>
        <w:tc>
          <w:tcPr>
            <w:tcW w:type="dxa" w:w="1465"/>
          </w:tcPr>
          <w:p>
            <w:pPr>
              <w:pStyle w:val="Compact"/>
              <w:jc w:val="right"/>
            </w:pPr>
            <w:r>
              <w:t xml:space="preserve">0.51</w:t>
            </w:r>
          </w:p>
        </w:tc>
      </w:tr>
      <w:tr>
        <w:trPr>
          <w:cantSplit/>
        </w:trPr>
        <w:tc>
          <w:tcPr>
            <w:tcW w:type="dxa" w:w="2511"/>
          </w:tcPr>
          <w:p>
            <w:pPr>
              <w:pStyle w:val="Compact"/>
              <w:jc w:val="left"/>
            </w:pPr>
            <w:r>
              <w:t xml:space="preserve">Haunched, fixed piers</w:t>
            </w:r>
          </w:p>
        </w:tc>
        <w:tc>
          <w:tcPr>
            <w:tcW w:type="dxa" w:w="1883"/>
          </w:tcPr>
          <w:p>
            <w:pPr>
              <w:pStyle w:val="Compact"/>
              <w:jc w:val="right"/>
            </w:pPr>
            <w:r>
              <w:t xml:space="preserve">0.422</w:t>
            </w:r>
          </w:p>
        </w:tc>
        <w:tc>
          <w:tcPr>
            <w:tcW w:type="dxa" w:w="1744"/>
          </w:tcPr>
          <w:p>
            <w:pPr>
              <w:pStyle w:val="Compact"/>
              <w:jc w:val="right"/>
            </w:pPr>
            <w:r>
              <w:t xml:space="preserve">0.147</w:t>
            </w:r>
          </w:p>
        </w:tc>
        <w:tc>
          <w:tcPr>
            <w:tcW w:type="dxa" w:w="1465"/>
          </w:tcPr>
          <w:p>
            <w:pPr>
              <w:pStyle w:val="Compact"/>
              <w:jc w:val="right"/>
            </w:pPr>
            <w:r>
              <w:t xml:space="preserve">1.00</w:t>
            </w:r>
          </w:p>
        </w:tc>
        <w:tc>
          <w:tcPr>
            <w:tcW w:type="dxa" w:w="1465"/>
          </w:tcPr>
          <w:p>
            <w:pPr>
              <w:pStyle w:val="Compact"/>
              <w:jc w:val="right"/>
            </w:pPr>
            <w:r>
              <w:t xml:space="preserve">1.00</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are no better on this girder (Fig. 6). The haunches move every zero-moment point toward mid-span,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By</w:t>
      </w:r>
      <w:r>
        <w:t xml:space="preserve"> </w:t>
      </w:r>
      <m:oMath>
        <m:sSub>
          <m:e>
            <m:r>
              <m:t>N</m:t>
            </m:r>
          </m:e>
          <m:sub>
            <m:r>
              <m:t>M</m:t>
            </m:r>
          </m:sub>
        </m:sSub>
      </m:oMath>
      <w:r>
        <w:t xml:space="preserve"> </w:t>
      </w:r>
      <w:r>
        <w:t xml:space="preserve">alone the best strain locations in all haunched models are 5–10 m from the piers,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governs depends on whether strain resolution or offset sets the noise. Further strain and end-reaction values are in Supplementary Section S8.</w:t>
      </w:r>
    </w:p>
    <w:p>
      <w:pPr>
        <w:pStyle w:val="BodyText"/>
      </w:pPr>
      <w:r>
        <w:t xml:space="preserve">Placement is insensitive to the unresolved pier stiffness. The placement rule puts a second deflection sensor at the most negative constant, in the side span 4–10 m from the inner pier, and the pair at 100 m and 152 m from T5 is within 1 % in variance of the calibration-specific optimum under both A and B. Under the assumed noise model of Supplementary Section S4 (calibration A), the standard deviation of the load for a 220 m record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of the measurements compared: at the design pier stiffness (Supplementary Section S8), the Cramér–Rao bound on the standard deviation of</w:t>
      </w:r>
      <w:r>
        <w:t xml:space="preserve"> </w:t>
      </w:r>
      <m:oMath>
        <m:r>
          <m:rPr>
            <m:sty m:val="p"/>
          </m:rPr>
          <m:t>ln</m:t>
        </m:r>
        <m:sSub>
          <m:e>
            <m:r>
              <m:t>C</m:t>
            </m:r>
          </m:e>
          <m:sub>
            <m:r>
              <m:t>8</m:t>
            </m:r>
          </m:sub>
        </m:sSub>
      </m:oMath>
      <w:r>
        <w:t xml:space="preserve"> </w:t>
      </w:r>
      <w:r>
        <w:t xml:space="preserve">falls from 0.87 with the two deflections to 0.18 with the tiltmeter. The bound assumes standard uncertainties of 2.64 % per deflection and 3 % for the pier rotation (about 167 µrad under the side-span test load). Frequencies and the case of calibration B are discussed in Supplementary Section S8.</w:t>
      </w:r>
    </w:p>
    <w:p>
      <w:pPr>
        <w:pStyle w:val="BodyText"/>
      </w:pPr>
      <w:r>
        <w:t xml:space="preserve">A moving-load test with weighed trucks has been designed but not performed; its predictions are in Supplementary Table S19. The ratio of the N8 and N7 integrals is independent of truck weight and absolute rigidity and differs by a factor of 2.3 between A and B.</w:t>
      </w:r>
    </w:p>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(13)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SLM with lane-specific constants from weighed vehicles of clearly different weights is preferred to GLS or zero-sum weights unless</w:t>
      </w:r>
      <w:r>
        <w:t xml:space="preserve"> </w:t>
      </w:r>
      <m:oMath>
        <m:r>
          <m:t>Σ</m:t>
        </m:r>
      </m:oMath>
      <w:r>
        <w:t xml:space="preserve"> </w:t>
      </w:r>
      <w:r>
        <w:t xml:space="preserve">is checked out of sample (Section 4.3).</w:t>
      </w:r>
    </w:p>
    <w:p>
      <w:pPr>
        <w:pStyle w:val="BodyText"/>
      </w:pPr>
      <w:r>
        <w:t xml:space="preserve">The residual offset limits single-channel accuracy on long spans. Over the Mây Bridge admissible set, with</w:t>
      </w:r>
      <w:r>
        <w:t xml:space="preserve"> </w:t>
      </w:r>
      <m:oMath>
        <m:sSub>
          <m:e>
            <m:r>
              <m:t>L</m:t>
            </m:r>
          </m:e>
          <m:sub>
            <m:r>
              <m:rPr>
                <m:sty m:val="p"/>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S17). For a residual offset of 0.1 mm, single-point influence-area weighing on this 200 m unit is therefore marginal even at the best location (other offsets: Supplementary Table S17), and non-contact techniques must establish their residual offset on site, because environmental effects act over the same window (Sohn, 2007; Cross et al., 2013). The speed estimator alone can shift the weight by more than 10 %, and dynamics add a further term (Frýba, 1999;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strain criterion holds for gauges that measure global bending, not for deck-soffit gauges (Sections 2.1 and 4.2). The laboratory beam had equal spans and statically positioned loads.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The in-service analysis uses static data and a beam model with an assumed depth law and equal pier springs, and its moving-load test is designed but not performed. The treatment is one-dimensional along each lane.</w:t>
      </w:r>
    </w:p>
    <w:bookmarkEnd w:id="58"/>
    <w:bookmarkStart w:id="59" w:name="conclusions"/>
    <w:p>
      <w:pPr>
        <w:pStyle w:val="Heading2"/>
      </w:pPr>
      <w:r>
        <w:t xml:space="preserve">7. Conclusions</w:t>
      </w:r>
    </w:p>
    <w:p>
      <w:pPr>
        <w:numPr>
          <w:ilvl w:val="0"/>
          <w:numId w:val="1001"/>
        </w:numPr>
        <w:pStyle w:val="BodyText"/>
      </w:pPr>
      <w:r>
        <w:t xml:space="preserve">Strain channels that measure global bending are blind at every zero of the uniform-load moment diagram, which every continuous girder has, and nearly blind 0.19–0.32 of the span from the interior support on two equal spans. On prismatic girders,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 and in the main span of three nearly equal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For a symmetric girder with equal piers, the constant is a linear-fractional (Möbius) function of the scaled pier stiffness. On a 55 + 90 + 55 m box girder, two static readings leave the side-span deflection constant of the base model uncertain by a factor of 6.6 against 1.5 for the main-span constant, or 2.4 against 1.1 with girder rigidity bounded to 0.9–1.3 times design; at the design pier stiffness a pier tiltmeter would reduce the Cramér–Rao bound on the standard deviation of</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gauge-average constants were consistent with invariance and superposition within the 12–27 % that the noise resolves, although four day-1 gauges differed by 22–26 % between trucks; each deck gauge needed its own constant. On one day, GLS weights from vehicle-free noise were worse out of sample than the gauge average (20.4 % against 11.9 %).</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mean readings, the processed Mây Bridge data, the scripts with their logs and the derived data (CSV and NumPy files) are provided as Supplementary Material; the records behind Figs. S16 and S17 are not.</w:t>
      </w:r>
    </w:p>
    <w:bookmarkEnd w:id="67"/>
    <w:bookmarkEnd w:id="68"/>
    <w:bookmarkStart w:id="69" w:name="references"/>
    <w:p>
      <w:pPr>
        <w:pStyle w:val="Heading2"/>
      </w:pPr>
      <w:r>
        <w:t xml:space="preserve">References</w:t>
      </w:r>
    </w:p>
    <w:p>
      <w:pPr>
        <w:pStyle w:val="FirstParagraph"/>
        <w:ind w:left="425" w:hanging="425"/>
        <w:jc w:val="left"/>
      </w:pPr>
      <w:r>
        <w:t xml:space="preserve">AASHTO (2024)</w:t>
      </w:r>
      <w:r>
        <w:t xml:space="preserve"> </w:t>
      </w:r>
      <w:r>
        <w:rPr>
          <w:iCs/>
          <w:i/>
        </w:rPr>
        <w:t xml:space="preserve">LRFD Bridge Design Specifications</w:t>
      </w:r>
      <w:r>
        <w:t xml:space="preserve">. 10th ed. Washington, DC: American Association of State Highway and Transportation Officials.</w:t>
      </w:r>
    </w:p>
    <w:p>
      <w:pPr>
        <w:pStyle w:val="BodyText"/>
        <w:ind w:left="425" w:hanging="425"/>
        <w:jc w:val="left"/>
      </w:pPr>
      <w:r>
        <w:t xml:space="preserve">Agüero-Barrantes P, Christenson RE and Lobo Aguilar S (2023) Utilizing Kriging metamodeling to provide practical and effective bridge weigh-in-motion.</w:t>
      </w:r>
      <w:r>
        <w:t xml:space="preserve"> </w:t>
      </w:r>
      <w:r>
        <w:rPr>
          <w:iCs/>
          <w:i/>
        </w:rPr>
        <w:t xml:space="preserve">Journal of Bridge Engineering</w:t>
      </w:r>
      <w:r>
        <w:t xml:space="preserve"> </w:t>
      </w:r>
      <w:r>
        <w:t xml:space="preserve">28(2): 04022138. DOI: 10.1061/JBENF2.BEENG-5760.</w:t>
      </w:r>
    </w:p>
    <w:p>
      <w:pPr>
        <w:pStyle w:val="BodyText"/>
        <w:ind w:left="425" w:hanging="425"/>
        <w:jc w:val="left"/>
      </w:pPr>
      <w:r>
        <w:t xml:space="preserve">Agüero-Barrantes P, Lobo Aguilar S and Christenson RE (2021) Sparse sensing bridge weigh-in-motion for single-span bridges.</w:t>
      </w:r>
      <w:r>
        <w:t xml:space="preserve"> </w:t>
      </w:r>
      <w:r>
        <w:rPr>
          <w:iCs/>
          <w:i/>
        </w:rPr>
        <w:t xml:space="preserve">Métodos y Materiales</w:t>
      </w:r>
      <w:r>
        <w:t xml:space="preserve"> </w:t>
      </w:r>
      <w:r>
        <w:t xml:space="preserve">11: 43–53. DOI: 10.15517/mym.v11i0.46400.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w:t>
      </w:r>
      <w:r>
        <w:t xml:space="preserve"> </w:t>
      </w:r>
      <w:r>
        <w:rPr>
          <w:iCs/>
          <w:i/>
        </w:rPr>
        <w:t xml:space="preserve">Journal of Bridge Engineering</w:t>
      </w:r>
      <w:r>
        <w:t xml:space="preserve"> </w:t>
      </w:r>
      <w:r>
        <w:t xml:space="preserve">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w:t>
      </w:r>
      <w:r>
        <w:t xml:space="preserve"> </w:t>
      </w:r>
      <w:r>
        <w:rPr>
          <w:iCs/>
          <w:i/>
        </w:rPr>
        <w:t xml:space="preserve">Journal of Sound and Vibration</w:t>
      </w:r>
      <w:r>
        <w:t xml:space="preserve"> </w:t>
      </w:r>
      <w:r>
        <w:t xml:space="preserve">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w:t>
      </w:r>
      <w:r>
        <w:t xml:space="preserve"> </w:t>
      </w:r>
      <w:r>
        <w:rPr>
          <w:iCs/>
          <w:i/>
        </w:rPr>
        <w:t xml:space="preserve">Structures</w:t>
      </w:r>
      <w:r>
        <w:t xml:space="preserve"> </w:t>
      </w:r>
      <w:r>
        <w:t xml:space="preserve">73: 108298. DOI: 10.1016/j.istruc.2025.108298.</w:t>
      </w:r>
    </w:p>
    <w:p>
      <w:pPr>
        <w:pStyle w:val="BodyText"/>
        <w:ind w:left="425" w:hanging="425"/>
        <w:jc w:val="left"/>
      </w:pPr>
      <w:r>
        <w:t xml:space="preserve">Cross EJ, Koo KY, Brownjohn JMW and Worden K (2013) Long-term monitoring and data analysis of the Tamar Bridge.</w:t>
      </w:r>
      <w:r>
        <w:t xml:space="preserve"> </w:t>
      </w:r>
      <w:r>
        <w:rPr>
          <w:iCs/>
          <w:i/>
        </w:rPr>
        <w:t xml:space="preserve">Mechanical Systems and Signal Processing</w:t>
      </w:r>
      <w:r>
        <w:t xml:space="preserve"> </w:t>
      </w:r>
      <w:r>
        <w:t xml:space="preserve">35(1–2): 16–34. DOI: 10.1016/j.ymssp.2012.08.026.</w:t>
      </w:r>
    </w:p>
    <w:p>
      <w:pPr>
        <w:pStyle w:val="BodyText"/>
        <w:ind w:left="425" w:hanging="425"/>
        <w:jc w:val="left"/>
      </w:pPr>
      <w:r>
        <w:t xml:space="preserve">Deng L, Liu P, Huang T and Kaewunruen S (2025) A novel moving load identification method for continuous rigid-frame bridges using a field-based displacement influence line.</w:t>
      </w:r>
      <w:r>
        <w:t xml:space="preserve"> </w:t>
      </w:r>
      <w:r>
        <w:rPr>
          <w:iCs/>
          <w:i/>
        </w:rPr>
        <w:t xml:space="preserve">Applied Sciences</w:t>
      </w:r>
      <w:r>
        <w:t xml:space="preserve"> </w:t>
      </w:r>
      <w:r>
        <w:t xml:space="preserve">15(11): 6028. DOI: 10.3390/app15116028.</w:t>
      </w:r>
    </w:p>
    <w:p>
      <w:pPr>
        <w:pStyle w:val="BodyText"/>
        <w:ind w:left="425" w:hanging="425"/>
        <w:jc w:val="left"/>
      </w:pPr>
      <w:r>
        <w:t xml:space="preserve">Elfving G (1952) Optimum allocation in linear regression theory.</w:t>
      </w:r>
      <w:r>
        <w:t xml:space="preserve"> </w:t>
      </w:r>
      <w:r>
        <w:rPr>
          <w:iCs/>
          <w:i/>
        </w:rPr>
        <w:t xml:space="preserve">Annals of Mathematical Statistics</w:t>
      </w:r>
      <w:r>
        <w:t xml:space="preserve"> </w:t>
      </w:r>
      <w:r>
        <w:t xml:space="preserve">23(2): 255–262. DOI: 10.1214/aoms/1177729442.</w:t>
      </w:r>
    </w:p>
    <w:p>
      <w:pPr>
        <w:pStyle w:val="BodyText"/>
        <w:ind w:left="425" w:hanging="425"/>
        <w:jc w:val="left"/>
      </w:pPr>
      <w:r>
        <w:t xml:space="preserve">Fan Y, Zhu J, Pei J, Li Z and Wu Y (2015) Analysis for Yangmingtan Bridge collapse.</w:t>
      </w:r>
      <w:r>
        <w:t xml:space="preserve"> </w:t>
      </w:r>
      <w:r>
        <w:rPr>
          <w:iCs/>
          <w:i/>
        </w:rPr>
        <w:t xml:space="preserve">Engineering Failure Analysis</w:t>
      </w:r>
      <w:r>
        <w:t xml:space="preserve"> </w:t>
      </w:r>
      <w:r>
        <w:t xml:space="preserve">56: 20–27. DOI: 10.1016/j.engfailanal.2015.05.003.</w:t>
      </w:r>
    </w:p>
    <w:p>
      <w:pPr>
        <w:pStyle w:val="BodyText"/>
        <w:ind w:left="425" w:hanging="425"/>
        <w:jc w:val="left"/>
      </w:pPr>
      <w:r>
        <w:t xml:space="preserve">Frýba L (1999)</w:t>
      </w:r>
      <w:r>
        <w:t xml:space="preserve"> </w:t>
      </w:r>
      <w:r>
        <w:rPr>
          <w:iCs/>
          <w:i/>
        </w:rPr>
        <w:t xml:space="preserve">Vibration of Solids and Structures under Moving Loads</w:t>
      </w:r>
      <w:r>
        <w:t xml:space="preserve">. 3rd ed. London: Thomas Telford.</w:t>
      </w:r>
    </w:p>
    <w:p>
      <w:pPr>
        <w:pStyle w:val="BodyText"/>
        <w:ind w:left="425" w:hanging="425"/>
        <w:jc w:val="left"/>
      </w:pPr>
      <w:r>
        <w:t xml:space="preserve">Ghali A, Neville AM and Brown TG (2017)</w:t>
      </w:r>
      <w:r>
        <w:t xml:space="preserve"> </w:t>
      </w:r>
      <w:r>
        <w:rPr>
          <w:iCs/>
          <w:i/>
        </w:rPr>
        <w:t xml:space="preserve">Structural Analysis: A Unified Classical and Matrix Approach</w:t>
      </w:r>
      <w:r>
        <w:t xml:space="preserve">. 6th ed. Boca Raton: CRC Press. DOI: 10.1201/9781315273006.</w:t>
      </w:r>
    </w:p>
    <w:p>
      <w:pPr>
        <w:pStyle w:val="BodyText"/>
        <w:ind w:left="425" w:hanging="425"/>
        <w:jc w:val="left"/>
      </w:pPr>
      <w:r>
        <w:t xml:space="preserve">Hao T, Xie Z and Yu M (2019) The identification technology of vehicle weight based on bridge strain time-history curve.</w:t>
      </w:r>
      <w:r>
        <w:t xml:space="preserve"> </w:t>
      </w:r>
      <w:r>
        <w:rPr>
          <w:iCs/>
          <w:i/>
        </w:rPr>
        <w:t xml:space="preserve">Advances in Structural Engineering</w:t>
      </w:r>
      <w:r>
        <w:t xml:space="preserve"> </w:t>
      </w:r>
      <w:r>
        <w:t xml:space="preserve">22(7): 1606–1616. DOI: 10.1177/1369433218823487.</w:t>
      </w:r>
    </w:p>
    <w:p>
      <w:pPr>
        <w:pStyle w:val="BodyText"/>
        <w:ind w:left="425" w:hanging="425"/>
        <w:jc w:val="left"/>
      </w:pPr>
      <w:r>
        <w:t xml:space="preserve">Helmi K, Bakht B and Mufti A (2014) Accurate measurements of gross vehicle weight through bridge weigh-in-motion: a case study.</w:t>
      </w:r>
      <w:r>
        <w:t xml:space="preserve"> </w:t>
      </w:r>
      <w:r>
        <w:rPr>
          <w:iCs/>
          <w:i/>
        </w:rPr>
        <w:t xml:space="preserve">Journal of Civil Structural Health Monitoring</w:t>
      </w:r>
      <w:r>
        <w:t xml:space="preserve"> </w:t>
      </w:r>
      <w:r>
        <w:t xml:space="preserve">4(3): 195–208. DOI: 10.1007/s13349-014-0076-5.</w:t>
      </w:r>
    </w:p>
    <w:p>
      <w:pPr>
        <w:pStyle w:val="BodyText"/>
        <w:ind w:left="425" w:hanging="425"/>
        <w:jc w:val="left"/>
      </w:pPr>
      <w:r>
        <w:t xml:space="preserve">Hong W, Cao Y and Wu Z (2016) Strain-based damage-assessment method for bridges under moving vehicular loads using long-gauge strain sensing.</w:t>
      </w:r>
      <w:r>
        <w:t xml:space="preserve"> </w:t>
      </w:r>
      <w:r>
        <w:rPr>
          <w:iCs/>
          <w:i/>
        </w:rPr>
        <w:t xml:space="preserve">Journal of Bridge Engineering</w:t>
      </w:r>
      <w:r>
        <w:t xml:space="preserve"> </w:t>
      </w:r>
      <w:r>
        <w:t xml:space="preserve">21(10): 04016059. DOI: 10.1061/(ASCE)BE.1943-5592.0000933.</w:t>
      </w:r>
    </w:p>
    <w:p>
      <w:pPr>
        <w:pStyle w:val="BodyText"/>
        <w:ind w:left="425" w:hanging="425"/>
        <w:jc w:val="left"/>
      </w:pPr>
      <w:r>
        <w:t xml:space="preserve">Jacob B, OBrien EJ and Jehaes S (eds) (2002)</w:t>
      </w:r>
      <w:r>
        <w:t xml:space="preserve"> </w:t>
      </w:r>
      <w:r>
        <w:rPr>
          <w:iCs/>
          <w:i/>
        </w:rPr>
        <w:t xml:space="preserve">Weigh-in-Motion of Road Vehicles: Final Report of the COST 323 Action</w:t>
      </w:r>
      <w:r>
        <w:t xml:space="preserve">. Paris: LCPC.</w:t>
      </w:r>
    </w:p>
    <w:p>
      <w:pPr>
        <w:pStyle w:val="BodyText"/>
        <w:ind w:left="425" w:hanging="425"/>
        <w:jc w:val="left"/>
      </w:pPr>
      <w:r>
        <w:t xml:space="preserve">Katafygiotis LS and Beck JL (1998) Updating models and their uncertainties. II: Model identifiability.</w:t>
      </w:r>
      <w:r>
        <w:t xml:space="preserve"> </w:t>
      </w:r>
      <w:r>
        <w:rPr>
          <w:iCs/>
          <w:i/>
        </w:rPr>
        <w:t xml:space="preserve">Journal of Engineering Mechanics</w:t>
      </w:r>
      <w:r>
        <w:t xml:space="preserve"> </w:t>
      </w:r>
      <w:r>
        <w:t xml:space="preserve">124(4): 463–467. DOI: 10.1061/(ASCE)0733-9399(1998)124:4(463).</w:t>
      </w:r>
    </w:p>
    <w:p>
      <w:pPr>
        <w:pStyle w:val="BodyText"/>
        <w:ind w:left="425" w:hanging="425"/>
        <w:jc w:val="left"/>
      </w:pPr>
      <w:r>
        <w:t xml:space="preserve">Law SS and Zhu XQ (2000) Study on different beam models in moving force identification.</w:t>
      </w:r>
      <w:r>
        <w:t xml:space="preserve"> </w:t>
      </w:r>
      <w:r>
        <w:rPr>
          <w:iCs/>
          <w:i/>
        </w:rPr>
        <w:t xml:space="preserve">Journal of Sound and Vibration</w:t>
      </w:r>
      <w:r>
        <w:t xml:space="preserve"> </w:t>
      </w:r>
      <w:r>
        <w:t xml:space="preserve">234(4): 661–679. DOI: 10.1006/jsvi.2000.2867.</w:t>
      </w:r>
    </w:p>
    <w:p>
      <w:pPr>
        <w:pStyle w:val="BodyText"/>
        <w:ind w:left="425" w:hanging="425"/>
        <w:jc w:val="left"/>
      </w:pPr>
      <w:r>
        <w:t xml:space="preserve">Law SS, Chan THT and Zeng QH (1997) Moving force identification: a time domain method.</w:t>
      </w:r>
      <w:r>
        <w:t xml:space="preserve"> </w:t>
      </w:r>
      <w:r>
        <w:rPr>
          <w:iCs/>
          <w:i/>
        </w:rPr>
        <w:t xml:space="preserve">Journal of Sound and Vibration</w:t>
      </w:r>
      <w:r>
        <w:t xml:space="preserve"> </w:t>
      </w:r>
      <w:r>
        <w:t xml:space="preserve">201(1): 1–22. DOI: 10.1006/jsvi.1996.0774.</w:t>
      </w:r>
    </w:p>
    <w:p>
      <w:pPr>
        <w:pStyle w:val="BodyText"/>
        <w:ind w:left="425" w:hanging="425"/>
        <w:jc w:val="left"/>
      </w:pPr>
      <w:r>
        <w:t xml:space="preserve">Lin SW, Du YL, Yi TH and Yang DH (2023) Influence lines-based model updating of suspension bridges considering boundary conditions.</w:t>
      </w:r>
      <w:r>
        <w:t xml:space="preserve"> </w:t>
      </w:r>
      <w:r>
        <w:rPr>
          <w:iCs/>
          <w:i/>
        </w:rPr>
        <w:t xml:space="preserve">Advances in Structural Engineering</w:t>
      </w:r>
      <w:r>
        <w:t xml:space="preserve"> </w:t>
      </w:r>
      <w:r>
        <w:t xml:space="preserve">26(2): 316–328. DOI: 10.1177/13694332221126374.</w:t>
      </w:r>
    </w:p>
    <w:p>
      <w:pPr>
        <w:pStyle w:val="BodyText"/>
        <w:ind w:left="425" w:hanging="425"/>
        <w:jc w:val="left"/>
      </w:pPr>
      <w:r>
        <w:t xml:space="preserve">Lobo Aguilar S and Christenson RE (2018) A simplified shear-strain based bridge weigh-in-motion method for in-service highway bridges.</w:t>
      </w:r>
      <w:r>
        <w:t xml:space="preserve"> </w:t>
      </w:r>
      <w:r>
        <w:rPr>
          <w:iCs/>
          <w:i/>
        </w:rPr>
        <w:t xml:space="preserve">Métodos y Materiales</w:t>
      </w:r>
      <w:r>
        <w:t xml:space="preserve"> </w:t>
      </w:r>
      <w:r>
        <w:t xml:space="preserve">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w:t>
      </w:r>
      <w:r>
        <w:t xml:space="preserve"> </w:t>
      </w:r>
      <w:r>
        <w:rPr>
          <w:iCs/>
          <w:i/>
        </w:rPr>
        <w:t xml:space="preserve">Automation in Construction</w:t>
      </w:r>
      <w:r>
        <w:t xml:space="preserve"> </w:t>
      </w:r>
      <w:r>
        <w:t xml:space="preserve">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w:t>
      </w:r>
      <w:r>
        <w:t xml:space="preserve"> </w:t>
      </w:r>
      <w:r>
        <w:rPr>
          <w:iCs/>
          <w:i/>
        </w:rPr>
        <w:t xml:space="preserve">Journal of Structural Integrity and Maintenance</w:t>
      </w:r>
      <w:r>
        <w:t xml:space="preserve"> </w:t>
      </w:r>
      <w:r>
        <w:t xml:space="preserve">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w:t>
      </w:r>
      <w:r>
        <w:t xml:space="preserve"> </w:t>
      </w:r>
      <w:r>
        <w:rPr>
          <w:iCs/>
          <w:i/>
        </w:rPr>
        <w:t xml:space="preserve">Automation in Construction</w:t>
      </w:r>
      <w:r>
        <w:t xml:space="preserve"> </w:t>
      </w:r>
      <w:r>
        <w:t xml:space="preserve">148: 104768. DOI: 10.1016/j.autcon.2023.104768.</w:t>
      </w:r>
    </w:p>
    <w:p>
      <w:pPr>
        <w:pStyle w:val="BodyText"/>
        <w:ind w:left="425" w:hanging="425"/>
        <w:jc w:val="left"/>
      </w:pPr>
      <w:r>
        <w:t xml:space="preserve">Moses F (1979) Weigh-in-motion system using instrumented bridges.</w:t>
      </w:r>
      <w:r>
        <w:t xml:space="preserve"> </w:t>
      </w:r>
      <w:r>
        <w:rPr>
          <w:iCs/>
          <w:i/>
        </w:rPr>
        <w:t xml:space="preserve">Transportation Engineering Journal of ASCE</w:t>
      </w:r>
      <w:r>
        <w:t xml:space="preserve"> </w:t>
      </w:r>
      <w:r>
        <w:t xml:space="preserve">105(3): 233–249. DOI: 10.1061/TPEJAN.0000783.</w:t>
      </w:r>
    </w:p>
    <w:p>
      <w:pPr>
        <w:pStyle w:val="BodyText"/>
        <w:ind w:left="425" w:hanging="425"/>
        <w:jc w:val="left"/>
      </w:pPr>
      <w:r>
        <w:t xml:space="preserve">Nguyen QB, Hoang T and Nguyen HS (2024) [Determination of the load applied on a simply supported beam based on measured deflection data].</w:t>
      </w:r>
      <w:r>
        <w:t xml:space="preserve"> </w:t>
      </w:r>
      <w:r>
        <w:rPr>
          <w:iCs/>
          <w:i/>
        </w:rPr>
        <w:t xml:space="preserve">Journal of Science and Technology in Civil Engineering (HUCE)</w:t>
      </w:r>
      <w:r>
        <w:t xml:space="preserve"> </w:t>
      </w:r>
      <w:r>
        <w:t xml:space="preserve">18(2V): 61–71 (in Vietnamese). DOI: 10.31814/stce.huce2024-18(2V)-05.</w:t>
      </w:r>
    </w:p>
    <w:p>
      <w:pPr>
        <w:pStyle w:val="BodyText"/>
        <w:ind w:left="425" w:hanging="425"/>
        <w:jc w:val="left"/>
      </w:pPr>
      <w:r>
        <w:t xml:space="preserve">OBrien EJ, Quilligan MJ and Karoumi R (2006) Calculating an influence line from direct measurements.</w:t>
      </w:r>
      <w:r>
        <w:t xml:space="preserve"> </w:t>
      </w:r>
      <w:r>
        <w:rPr>
          <w:iCs/>
          <w:i/>
        </w:rPr>
        <w:t xml:space="preserve">Proceedings of the Institution of Civil Engineers: Bridge Engineering</w:t>
      </w:r>
      <w:r>
        <w:t xml:space="preserve"> </w:t>
      </w:r>
      <w:r>
        <w:t xml:space="preserve">159(1): 31–34. DOI: 10.1680/bren.2006.159.1.31.</w:t>
      </w:r>
    </w:p>
    <w:p>
      <w:pPr>
        <w:pStyle w:val="BodyText"/>
        <w:ind w:left="425" w:hanging="425"/>
        <w:jc w:val="left"/>
      </w:pPr>
      <w:r>
        <w:t xml:space="preserve">OBrien EJ, Rowley CW, González A and Green MF (2009) A regularised solution to the bridge weigh-in-motion equations.</w:t>
      </w:r>
      <w:r>
        <w:t xml:space="preserve"> </w:t>
      </w:r>
      <w:r>
        <w:rPr>
          <w:iCs/>
          <w:i/>
        </w:rPr>
        <w:t xml:space="preserve">International Journal of Heavy Vehicle Systems</w:t>
      </w:r>
      <w:r>
        <w:t xml:space="preserve"> </w:t>
      </w:r>
      <w:r>
        <w:t xml:space="preserve">16(3): 310–327. DOI: 10.1504/IJHVS.2009.027135.</w:t>
      </w:r>
    </w:p>
    <w:p>
      <w:pPr>
        <w:pStyle w:val="BodyText"/>
        <w:ind w:left="425" w:hanging="425"/>
        <w:jc w:val="left"/>
      </w:pPr>
      <w:r>
        <w:t xml:space="preserve">Ojio T and Yamada K (2002) Bridge weigh-in-motion systems using stringers of plate girder bridges. In:</w:t>
      </w:r>
      <w:r>
        <w:t xml:space="preserve"> </w:t>
      </w:r>
      <w:r>
        <w:rPr>
          <w:iCs/>
          <w:i/>
        </w:rPr>
        <w:t xml:space="preserve">Proceedings of the Third International Conference on Weigh-in-Motion (ICWIM3)</w:t>
      </w:r>
      <w:r>
        <w:t xml:space="preserve">. Orlando, FL, pp. 209–218.</w:t>
      </w:r>
    </w:p>
    <w:p>
      <w:pPr>
        <w:pStyle w:val="BodyText"/>
        <w:ind w:left="425" w:hanging="425"/>
        <w:jc w:val="left"/>
      </w:pPr>
      <w:r>
        <w:t xml:space="preserve">Papadimitriou C (2004) Optimal sensor placement methodology for parametric identification of structural systems.</w:t>
      </w:r>
      <w:r>
        <w:t xml:space="preserve"> </w:t>
      </w:r>
      <w:r>
        <w:rPr>
          <w:iCs/>
          <w:i/>
        </w:rPr>
        <w:t xml:space="preserve">Journal of Sound and Vibration</w:t>
      </w:r>
      <w:r>
        <w:t xml:space="preserve"> </w:t>
      </w:r>
      <w:r>
        <w:t xml:space="preserve">278(4–5): 923–947. DOI: 10.1016/j.jsv.2003.10.063.</w:t>
      </w:r>
    </w:p>
    <w:p>
      <w:pPr>
        <w:pStyle w:val="BodyText"/>
        <w:ind w:left="425" w:hanging="425"/>
        <w:jc w:val="left"/>
      </w:pPr>
      <w:r>
        <w:t xml:space="preserve">Pukelsheim F (2006)</w:t>
      </w:r>
      <w:r>
        <w:t xml:space="preserve"> </w:t>
      </w:r>
      <w:r>
        <w:rPr>
          <w:iCs/>
          <w:i/>
        </w:rPr>
        <w:t xml:space="preserve">Optimal Design of Experiments</w:t>
      </w:r>
      <w:r>
        <w:t xml:space="preserve">. Philadelphia: SIAM. DOI: 10.1137/1.9780898719109.</w:t>
      </w:r>
    </w:p>
    <w:p>
      <w:pPr>
        <w:pStyle w:val="BodyText"/>
        <w:ind w:left="425" w:hanging="425"/>
        <w:jc w:val="left"/>
      </w:pPr>
      <w:r>
        <w:t xml:space="preserve">Sherman J and Morrison WJ (1950) Adjustment of an inverse matrix corresponding to a change in one element of a given matrix.</w:t>
      </w:r>
      <w:r>
        <w:t xml:space="preserve"> </w:t>
      </w:r>
      <w:r>
        <w:rPr>
          <w:iCs/>
          <w:i/>
        </w:rPr>
        <w:t xml:space="preserve">Annals of Mathematical Statistics</w:t>
      </w:r>
      <w:r>
        <w:t xml:space="preserve"> </w:t>
      </w:r>
      <w:r>
        <w:t xml:space="preserve">21(1): 124–127. DOI: 10.1214/aoms/1177729893.</w:t>
      </w:r>
    </w:p>
    <w:p>
      <w:pPr>
        <w:pStyle w:val="BodyText"/>
        <w:ind w:left="425" w:hanging="425"/>
        <w:jc w:val="left"/>
      </w:pPr>
      <w:r>
        <w:t xml:space="preserve">Shi S, Yarnold M, Hurlebaus S and Mander J (2025) Evaluation of a load cell-based bridge weigh-in-motion system.</w:t>
      </w:r>
      <w:r>
        <w:t xml:space="preserve"> </w:t>
      </w:r>
      <w:r>
        <w:rPr>
          <w:iCs/>
          <w:i/>
        </w:rPr>
        <w:t xml:space="preserve">Transportation Research Record</w:t>
      </w:r>
      <w:r>
        <w:t xml:space="preserve"> </w:t>
      </w:r>
      <w:r>
        <w:t xml:space="preserve">2679(2): 535–549. DOI: 10.1177/03611981241263336.</w:t>
      </w:r>
    </w:p>
    <w:p>
      <w:pPr>
        <w:pStyle w:val="BodyText"/>
        <w:ind w:left="425" w:hanging="425"/>
        <w:jc w:val="left"/>
      </w:pPr>
      <w:r>
        <w:t xml:space="preserve">Sohn H (2007) Effects of environmental and operational variability on structural health monitoring.</w:t>
      </w:r>
      <w:r>
        <w:t xml:space="preserve"> </w:t>
      </w:r>
      <w:r>
        <w:rPr>
          <w:iCs/>
          <w:i/>
        </w:rPr>
        <w:t xml:space="preserve">Philosophical Transactions of the Royal Society A</w:t>
      </w:r>
      <w:r>
        <w:t xml:space="preserve"> </w:t>
      </w:r>
      <w:r>
        <w:t xml:space="preserve">365(1851): 539–560. DOI: 10.1098/rsta.2006.1935.</w:t>
      </w:r>
    </w:p>
    <w:p>
      <w:pPr>
        <w:pStyle w:val="BodyText"/>
        <w:ind w:left="425" w:hanging="425"/>
        <w:jc w:val="left"/>
      </w:pPr>
      <w:r>
        <w:t xml:space="preserve">Udwadia FE (1994) Methodology for optimum sensor locations for parameter identification in dynamic systems.</w:t>
      </w:r>
      <w:r>
        <w:t xml:space="preserve"> </w:t>
      </w:r>
      <w:r>
        <w:rPr>
          <w:iCs/>
          <w:i/>
        </w:rPr>
        <w:t xml:space="preserve">Journal of Engineering Mechanics</w:t>
      </w:r>
      <w:r>
        <w:t xml:space="preserve"> </w:t>
      </w:r>
      <w:r>
        <w:t xml:space="preserve">120(2): 368–390. DOI: 10.1061/(ASCE)0733-9399(1994)120:2(368).</w:t>
      </w:r>
    </w:p>
    <w:p>
      <w:pPr>
        <w:pStyle w:val="BodyText"/>
        <w:ind w:left="425" w:hanging="425"/>
        <w:jc w:val="left"/>
      </w:pPr>
      <w:r>
        <w:t xml:space="preserve">Ventura R, Barabino B and Maternini G (2024) Estimating the frequency of traffic overloading on road bridges.</w:t>
      </w:r>
      <w:r>
        <w:t xml:space="preserve"> </w:t>
      </w:r>
      <w:r>
        <w:rPr>
          <w:iCs/>
          <w:i/>
        </w:rPr>
        <w:t xml:space="preserve">Journal of Traffic and Transportation Engineering (English Edition)</w:t>
      </w:r>
      <w:r>
        <w:t xml:space="preserve"> </w:t>
      </w:r>
      <w:r>
        <w:t xml:space="preserve">11(4): 776–796. DOI: 10.1016/j.jtte.2023.11.005.</w:t>
      </w:r>
    </w:p>
    <w:p>
      <w:pPr>
        <w:pStyle w:val="BodyText"/>
        <w:ind w:left="425" w:hanging="425"/>
        <w:jc w:val="left"/>
      </w:pPr>
      <w:r>
        <w:t xml:space="preserve">Wang C, Zhang WS, Pan X, He WY and Ren WX (2026) Deflection influence line identification under moving vehicle based on variational modal decomposition and B-spline basis function.</w:t>
      </w:r>
      <w:r>
        <w:t xml:space="preserve"> </w:t>
      </w:r>
      <w:r>
        <w:rPr>
          <w:iCs/>
          <w:i/>
        </w:rPr>
        <w:t xml:space="preserve">Advances in Structural Engineering</w:t>
      </w:r>
      <w:r>
        <w:t xml:space="preserve"> </w:t>
      </w:r>
      <w:r>
        <w:t xml:space="preserve">29(4): 779–792. DOI: 10.1177/13694332251363355.</w:t>
      </w:r>
    </w:p>
    <w:p>
      <w:pPr>
        <w:pStyle w:val="BodyText"/>
        <w:ind w:left="425" w:hanging="425"/>
        <w:jc w:val="left"/>
      </w:pPr>
      <w:r>
        <w:t xml:space="preserve">Wu B, Wu G, Yang C and He Y (2018) Damage identification method for continuous girder bridges based on spatially-distributed long-gauge strain sensing under moving loads.</w:t>
      </w:r>
      <w:r>
        <w:t xml:space="preserve"> </w:t>
      </w:r>
      <w:r>
        <w:rPr>
          <w:iCs/>
          <w:i/>
        </w:rPr>
        <w:t xml:space="preserve">Mechanical Systems and Signal Processing</w:t>
      </w:r>
      <w:r>
        <w:t xml:space="preserve"> </w:t>
      </w:r>
      <w:r>
        <w:t xml:space="preserve">104: 415–435. DOI: 10.1016/j.ymssp.2017.10.040.</w:t>
      </w:r>
    </w:p>
    <w:p>
      <w:pPr>
        <w:pStyle w:val="BodyText"/>
        <w:ind w:left="425" w:hanging="425"/>
        <w:jc w:val="left"/>
      </w:pPr>
      <w:r>
        <w:t xml:space="preserve">Wu H, Zhao H, Liu J and Hu Z (2020) A filtering-based bridge weigh-in-motion system on a continuous multi-girder bridge considering the influence lines of different lanes.</w:t>
      </w:r>
      <w:r>
        <w:t xml:space="preserve"> </w:t>
      </w:r>
      <w:r>
        <w:rPr>
          <w:iCs/>
          <w:i/>
        </w:rPr>
        <w:t xml:space="preserve">Frontiers of Structural and Civil Engineering</w:t>
      </w:r>
      <w:r>
        <w:t xml:space="preserve"> </w:t>
      </w:r>
      <w:r>
        <w:t xml:space="preserve">14(5): 1232–1246. DOI: 10.1007/s11709-020-0653-0.</w:t>
      </w:r>
    </w:p>
    <w:p>
      <w:pPr>
        <w:pStyle w:val="BodyText"/>
        <w:ind w:left="425" w:hanging="425"/>
        <w:jc w:val="left"/>
      </w:pPr>
      <w:r>
        <w:t xml:space="preserve">Yamaguchi E, Kawamura S, Matuso K, Matsuki Y and Naito Y (2009) Bridge-weigh-in-motion by two-span continuous bridge with skew and heavy-truck flow in Fukuoka area, Japan.</w:t>
      </w:r>
      <w:r>
        <w:t xml:space="preserve"> </w:t>
      </w:r>
      <w:r>
        <w:rPr>
          <w:iCs/>
          <w:i/>
        </w:rPr>
        <w:t xml:space="preserve">Advances in Structural Engineering</w:t>
      </w:r>
      <w:r>
        <w:t xml:space="preserve"> </w:t>
      </w:r>
      <w:r>
        <w:t xml:space="preserve">12(1): 115–125. DOI: 10.1260/136943309787522614.</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w:t>
      </w:r>
      <w:r>
        <w:t xml:space="preserve"> </w:t>
      </w:r>
      <w:r>
        <w:rPr>
          <w:iCs/>
          <w:i/>
        </w:rPr>
        <w:t xml:space="preserve">Mechanical Systems and Signal Processing</w:t>
      </w:r>
      <w:r>
        <w:t xml:space="preserve"> </w:t>
      </w:r>
      <w:r>
        <w:t xml:space="preserve">177: 109133. DOI: 10.1016/j.ymssp.2022.109133.</w:t>
      </w:r>
    </w:p>
    <w:p>
      <w:pPr>
        <w:pStyle w:val="BodyText"/>
        <w:ind w:left="425" w:hanging="425"/>
        <w:jc w:val="left"/>
      </w:pPr>
      <w:r>
        <w:t xml:space="preserve">Yang J, Hou P, Yang C and Zhang Y (2021) Study on the method of moving load identification based on strain influence line.</w:t>
      </w:r>
      <w:r>
        <w:t xml:space="preserve"> </w:t>
      </w:r>
      <w:r>
        <w:rPr>
          <w:iCs/>
          <w:i/>
        </w:rPr>
        <w:t xml:space="preserve">Applied Sciences</w:t>
      </w:r>
      <w:r>
        <w:t xml:space="preserve"> </w:t>
      </w:r>
      <w:r>
        <w:t xml:space="preserve">11(2): 853. DOI: 10.3390/app11020853.</w:t>
      </w:r>
    </w:p>
    <w:p>
      <w:pPr>
        <w:pStyle w:val="BodyText"/>
        <w:ind w:left="425" w:hanging="425"/>
        <w:jc w:val="left"/>
      </w:pPr>
      <w:r>
        <w:t xml:space="preserve">Yu Y, Cai CS and Deng L (2016) State-of-the-art review on bridge weigh-in-motion technology.</w:t>
      </w:r>
      <w:r>
        <w:t xml:space="preserve"> </w:t>
      </w:r>
      <w:r>
        <w:rPr>
          <w:iCs/>
          <w:i/>
        </w:rPr>
        <w:t xml:space="preserve">Advances in Structural Engineering</w:t>
      </w:r>
      <w:r>
        <w:t xml:space="preserve"> </w:t>
      </w:r>
      <w:r>
        <w:t xml:space="preserve">19(9): 1514–1530. DOI: 10.1177/1369433216655922.</w:t>
      </w:r>
    </w:p>
    <w:p>
      <w:pPr>
        <w:pStyle w:val="BodyText"/>
        <w:ind w:left="425" w:hanging="425"/>
        <w:jc w:val="left"/>
      </w:pPr>
      <w:r>
        <w:t xml:space="preserve">Yu Y, Cai CS and Deng L (2018) Nothing-on-road bridge weigh-in-motion considering the transverse position of the vehicle.</w:t>
      </w:r>
      <w:r>
        <w:t xml:space="preserve"> </w:t>
      </w:r>
      <w:r>
        <w:rPr>
          <w:iCs/>
          <w:i/>
        </w:rPr>
        <w:t xml:space="preserve">Structure and Infrastructure Engineering</w:t>
      </w:r>
      <w:r>
        <w:t xml:space="preserve"> </w:t>
      </w:r>
      <w:r>
        <w:t xml:space="preserve">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w:t>
      </w:r>
      <w:r>
        <w:t xml:space="preserve"> </w:t>
      </w:r>
      <w:r>
        <w:rPr>
          <w:iCs/>
          <w:i/>
        </w:rPr>
        <w:t xml:space="preserve">Structures</w:t>
      </w:r>
      <w:r>
        <w:t xml:space="preserve"> </w:t>
      </w:r>
      <w:r>
        <w:t xml:space="preserve">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w:t>
      </w:r>
      <w:r>
        <w:t xml:space="preserve"> </w:t>
      </w:r>
      <w:r>
        <w:rPr>
          <w:iCs/>
          <w:i/>
        </w:rPr>
        <w:t xml:space="preserve">Mechanical Systems and Signal Processing</w:t>
      </w:r>
      <w:r>
        <w:t xml:space="preserve"> </w:t>
      </w:r>
      <w:r>
        <w:t xml:space="preserve">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w:t>
      </w:r>
      <w:r>
        <w:t xml:space="preserve"> </w:t>
      </w:r>
      <w:r>
        <w:rPr>
          <w:iCs/>
          <w:i/>
        </w:rPr>
        <w:t xml:space="preserve">Structural Control and Health Monitoring</w:t>
      </w:r>
      <w:r>
        <w:t xml:space="preserve"> </w:t>
      </w:r>
      <w:r>
        <w:t xml:space="preserve">2026(1): 1361157. DOI: 10.1155/stc/1361157.</w:t>
      </w:r>
    </w:p>
    <w:p>
      <w:pPr>
        <w:pStyle w:val="BodyText"/>
        <w:ind w:left="425" w:hanging="425"/>
        <w:jc w:val="left"/>
      </w:pPr>
      <w:r>
        <w:t xml:space="preserve">Zhu J, Wang C, Qi T and Zhou Z (2022) Vehicle load identification on orthotropic steel box beam bridge based on the strain response area.</w:t>
      </w:r>
      <w:r>
        <w:t xml:space="preserve"> </w:t>
      </w:r>
      <w:r>
        <w:rPr>
          <w:iCs/>
          <w:i/>
        </w:rPr>
        <w:t xml:space="preserve">Applied Sciences</w:t>
      </w:r>
      <w:r>
        <w:t xml:space="preserve"> </w:t>
      </w:r>
      <w:r>
        <w:t xml:space="preserve">12(23): 12394. DOI: 10.3390/app122312394.</w:t>
      </w:r>
    </w:p>
    <w:p>
      <w:pPr>
        <w:pStyle w:val="BodyText"/>
        <w:ind w:left="425" w:hanging="425"/>
        <w:jc w:val="left"/>
      </w:pPr>
      <w:r>
        <w:t xml:space="preserve">Zhu XQ and Law SS (2006) Moving load identification on multi-span continuous bridges with elastic bearings.</w:t>
      </w:r>
      <w:r>
        <w:t xml:space="preserve"> </w:t>
      </w:r>
      <w:r>
        <w:rPr>
          <w:iCs/>
          <w:i/>
        </w:rPr>
        <w:t xml:space="preserve">Mechanical Systems and Signal Processing</w:t>
      </w:r>
      <w:r>
        <w:t xml:space="preserve"> </w:t>
      </w:r>
      <w:r>
        <w:t xml:space="preserve">20(7): 1759–1782. DOI: 10.1016/j.ymssp.2005.06.004.</w:t>
      </w:r>
    </w:p>
    <w:p>
      <w:pPr>
        <w:pStyle w:val="BodyText"/>
        <w:ind w:left="425" w:hanging="425"/>
        <w:jc w:val="left"/>
      </w:pPr>
      <w:r>
        <w:t xml:space="preserve">Žnidarič A, Kalin J and Kreslin M (2018) Improved accuracy and robustness of bridge weigh-in-motion systems.</w:t>
      </w:r>
      <w:r>
        <w:t xml:space="preserve"> </w:t>
      </w:r>
      <w:r>
        <w:rPr>
          <w:iCs/>
          <w:i/>
        </w:rPr>
        <w:t xml:space="preserve">Structure and Infrastructure Engineering</w:t>
      </w:r>
      <w:r>
        <w:t xml:space="preserve"> </w:t>
      </w:r>
      <w:r>
        <w:t xml:space="preserve">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w:t>
      </w:r>
      <w:r>
        <w:t xml:space="preserve"> </w:t>
      </w:r>
      <w:r>
        <w:rPr>
          <w:iCs/>
          <w:i/>
        </w:rPr>
        <w:t xml:space="preserve">Advances in Structural Engineering</w:t>
      </w:r>
      <w:r>
        <w:t xml:space="preserve"> </w:t>
      </w:r>
      <w:r>
        <w:t xml:space="preserve">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2026-10-20T12:55:57Z</dcterms:created>
  <dcterms:modified xsi:type="dcterms:W3CDTF">2026-10-20T12:55:57Z</dcterms:modified>
</cp:coreProperties>
</file>

<file path=docProps/custom.xml><?xml version="1.0" encoding="utf-8"?>
<Properties xmlns="http://schemas.openxmlformats.org/officeDocument/2006/custom-properties" xmlns:vt="http://schemas.openxmlformats.org/officeDocument/2006/docPropsVTypes"/>
</file>