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constant follows a linear-fractional (Möbius) law in the scaled pier stiffness. A laboratory test confirms the identity. Public moving-truck records, whose reference weights vary too little to test weight discrimination, are consistent with its assumptions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(Al-Qadi et al., 2016; Jacob et al., 2002),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(Žnidarič et al., 2018; Yu et al., 2016)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as a regularised stochastic problem (Zhang et al., 2026), and deflection influence lines have been inverted for girder stiffness (Zhou et al., 2026). None of these studies says, before installation, which channel at which position can observe the total load at all, and how robustly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strain gauges are blind in every continuous girder.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constant depends on pier stiffness through a linear-fractional (Möbius) law and, on an in-service box girder, that two static readings leave a side-span deflection constant uncertain by a factor of 6.6, while a pier tiltmeter would reduce the Cramér–Rao bound on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 needs superposition only.</w:t>
      </w:r>
      <w:r>
        <w:t xml:space="preserve"> </w:t>
      </w:r>
      <m:oMath>
        <m:sSub>
          <m:e>
            <m:r>
              <m:t>C</m:t>
            </m:r>
          </m:e>
          <m:sub>
            <m:r>
              <m:t>m</m:t>
            </m:r>
          </m:sub>
        </m:sSub>
      </m:oMath>
      <w:r>
        <w:t xml:space="preserve"> </w:t>
      </w:r>
      <w:r>
        <w:t xml:space="preserve">is called the integral constant, or the constant. For a strain gauge at distance</w:t>
      </w:r>
      <w:r>
        <w:t xml:space="preserve"> </w:t>
      </w:r>
      <m:oMath>
        <m:r>
          <m:t>c</m:t>
        </m:r>
      </m:oMath>
      <w:r>
        <w:t xml:space="preserve"> </w:t>
      </w:r>
      <w:r>
        <w:t xml:space="preserve">from the neutral axis,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fixed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indicator</w:t>
      </w:r>
      <w:r>
        <w:t xml:space="preserve"> </w:t>
      </w:r>
      <m:oMath>
        <m:sSub>
          <m:e>
            <m:r>
              <m:t>N</m:t>
            </m:r>
          </m:e>
          <m:sub>
            <m:r>
              <m:t>w</m:t>
            </m:r>
          </m:sub>
        </m:sSub>
      </m:oMath>
      <w:r>
        <w:t xml:space="preserve"> </w:t>
      </w:r>
      <w:r>
        <w:t xml:space="preserve">of Eq. (10).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and the rotation and shear indicators (Supplementary Section S3) equal 1, so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baseline stability and the lightest vehicle to be screened into one number.</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its local slope.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reversed),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et al., 2022, 2023a, 2023b; Moghadam, 2022),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about what chance alone would produce with twelve tests at the 5 % level.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gauge-factor spread is an unlikely cause.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weighed mean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test quantity</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side-span convoy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integral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with the threshold set with a margin below the legal limit and the design live loads (CEN, 2003; AASHTO, 2024) and instrumented BWIM for flagged vehicles;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that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American Association of State Highway and Transportation Officials, Washington, DC.</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 Bridge Eng.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 Bridge Eng. 14(6): 418–423. DOI: 10.1061/(ASCE)1084-0702(2009)14:6(418).</w:t>
      </w:r>
    </w:p>
    <w:p>
      <w:pPr>
        <w:pStyle w:val="BodyText"/>
      </w:pPr>
      <w:r>
        <w:t xml:space="preserve">CEN (2003) EN 1991-2:2003, Eurocode 1: Actions on Structures – Part 2: Traffic Loads on Bridges, CEN, Brussels.</w:t>
      </w:r>
    </w:p>
    <w:p>
      <w:pPr>
        <w:pStyle w:val="BodyText"/>
      </w:pPr>
      <w:r>
        <w:t xml:space="preserve">Chan THT, Law SS, Yung TH and Yuan XR (1999) An interpretive method for moving force identification. J. Sound Vib.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 Syst. Signal Process. 35(1–2): 16–34. DOI: 10.1016/j.ymssp.2012.08.026.</w:t>
      </w:r>
    </w:p>
    <w:p>
      <w:pPr>
        <w:pStyle w:val="BodyText"/>
      </w:pPr>
      <w:r>
        <w:t xml:space="preserve">Deng L, Liu P, Huang T and Kaewunruen S (2025) A novel moving load identification method for continuous rigid-frame bridges using a field-based displacement influence line. Appl. Sci. 15(11): 6028. DOI: 10.3390/app15116028.</w:t>
      </w:r>
    </w:p>
    <w:p>
      <w:pPr>
        <w:pStyle w:val="BodyText"/>
      </w:pPr>
      <w:r>
        <w:t xml:space="preserve">Fan Y, Zhu J, Pei J and Li Z (2015) Analysis for Yangmingtan Bridge collapse. Eng. Fail. Anal. 56: 20–27. DOI: 10.1016/j.engfailanal.2015.05.003.</w:t>
      </w:r>
    </w:p>
    <w:p>
      <w:pPr>
        <w:pStyle w:val="BodyText"/>
      </w:pPr>
      <w:r>
        <w:t xml:space="preserve">Frýba L (1999) Vibration of Solids and Structures under Moving Loads, 3rd ed. Thomas Telford, London.</w:t>
      </w:r>
    </w:p>
    <w:p>
      <w:pPr>
        <w:pStyle w:val="BodyText"/>
      </w:pPr>
      <w:r>
        <w:t xml:space="preserve">Ghali A, Neville AM and Brown TG (2017) Structural Analysis: A Unified Classical and Matrix Approach. CRC Press, Boca Raton. DOI: 10.1201/9781315273006.</w:t>
      </w:r>
    </w:p>
    <w:p>
      <w:pPr>
        <w:pStyle w:val="BodyText"/>
      </w:pPr>
      <w:r>
        <w:t xml:space="preserve">Helmi K, Bakht B and Mufti A (2014) Accurate measurements of gross vehicle weight through bridge weigh-in-motion: a case study. J. Civ. Struct. Health Monit. 4(3): 195–208. DOI: 10.1007/s13349-014-0076-5.</w:t>
      </w:r>
    </w:p>
    <w:p>
      <w:pPr>
        <w:pStyle w:val="BodyText"/>
      </w:pPr>
      <w:r>
        <w:t xml:space="preserve">Jacob B, OBrien EJ and Jehaes S (eds) (2002) Weigh-in-Motion of Road Vehicles: Final Report of the COST 323 Action. LCPC, Paris.</w:t>
      </w:r>
    </w:p>
    <w:p>
      <w:pPr>
        <w:pStyle w:val="BodyText"/>
      </w:pPr>
      <w:r>
        <w:t xml:space="preserve">Law SS and Zhu XQ (2000) Study on different beam models in moving force identification. J. Sound Vib. 234(4): 661–679. DOI: 10.1006/jsvi.2000.2867.</w:t>
      </w:r>
    </w:p>
    <w:p>
      <w:pPr>
        <w:pStyle w:val="BodyText"/>
      </w:pPr>
      <w:r>
        <w:t xml:space="preserve">Law SS, Chan THT and Zeng QH (1997) Moving force identification: a time domain method. J. Sound Vib.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 Constr. 137: 104179. DOI: 10.1016/j.autcon.2022.104179.</w:t>
      </w:r>
    </w:p>
    <w:p>
      <w:pPr>
        <w:pStyle w:val="BodyText"/>
      </w:pPr>
      <w:r>
        <w:t xml:space="preserve">Moghadam A, AlHamaydeh M and Sarlo R (2023a) Nothing-on-road bridge-weigh-in-motion used for long-span, concrete-box-girder bridges: an experimental case study. J. Struct. Integr. Maint. 8(2): 79–90. DOI: 10.1080/24705314.2023.2165606.</w:t>
      </w:r>
    </w:p>
    <w:p>
      <w:pPr>
        <w:pStyle w:val="BodyText"/>
      </w:pPr>
      <w:r>
        <w:t xml:space="preserve">Moghadam A, AlHamaydeh M and Sarlo R (2023b) Dual-purpose procedure for bridge health monitoring and weigh-in-motion used for multiple-vehicle events. Autom. Constr. 148: 104768. DOI: 10.1016/j.autcon.2023.104768.</w:t>
      </w:r>
    </w:p>
    <w:p>
      <w:pPr>
        <w:pStyle w:val="BodyText"/>
      </w:pPr>
      <w:r>
        <w:t xml:space="preserve">Moses F (1979) Weigh-in-motion system using instrumented bridges. Transp. Eng. J. ASCE 105(3): 233–249. DOI: 10.1061/TPEJAN.0000783.</w:t>
      </w:r>
    </w:p>
    <w:p>
      <w:pPr>
        <w:pStyle w:val="BodyText"/>
      </w:pPr>
      <w:r>
        <w:t xml:space="preserve">Nguyen QB, Hoang T and Nguyen HS (2024) [Determination of the load applied on a simply supported beam based on measured deflection data]. J. Sci. Technol. Civ. Eng. (HUCE) 18(2V): 61–71 (in Vietnamese). DOI: 10.31814/stce.huce2024-18(2V)-05.</w:t>
      </w:r>
    </w:p>
    <w:p>
      <w:pPr>
        <w:pStyle w:val="BodyText"/>
      </w:pPr>
      <w:r>
        <w:t xml:space="preserve">OBrien EJ, Quilligan MJ and Karoumi R (2006) Calculating an influence line from direct measurements. Proc. Inst. Civ. Eng. Bridge Eng. 159(1): 31–34. DOI: 10.1680/bren.2006.159.1.31.</w:t>
      </w:r>
    </w:p>
    <w:p>
      <w:pPr>
        <w:pStyle w:val="BodyText"/>
      </w:pPr>
      <w:r>
        <w:t xml:space="preserve">OBrien EJ, Rowley CW, González A and Green MF (2009) A regularised solution to the bridge weigh-in-motion equations. Int. J. Heavy Veh. Syst.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 Res. Rec. 2679(2): 535–549. DOI: 10.1177/03611981241263336.</w:t>
      </w:r>
    </w:p>
    <w:p>
      <w:pPr>
        <w:pStyle w:val="BodyText"/>
      </w:pPr>
      <w:r>
        <w:t xml:space="preserve">Sohn H (2007) Effects of environmental and operational variability on structural health monitoring. Philos. Trans. R. Soc. A 365(1851): 539–560. DOI: 10.1098/rsta.2006.1935.</w:t>
      </w:r>
    </w:p>
    <w:p>
      <w:pPr>
        <w:pStyle w:val="BodyText"/>
      </w:pPr>
      <w:r>
        <w:t xml:space="preserve">Ventura R, Barabino B and Maternini G (2024) Estimating the frequency of traffic overloading on road bridges. J. Traffic Transp. Eng. (Engl. Ed.) 11(4): 776–796. DOI: 10.1016/j.jtte.2023.11.005.</w:t>
      </w:r>
    </w:p>
    <w:p>
      <w:pPr>
        <w:pStyle w:val="BodyText"/>
      </w:pPr>
      <w:r>
        <w:t xml:space="preserve">Wu H, Zhao H, Liu J and Hu Z (2020) A filtering-based bridge weigh-in-motion system on a continuous multi-girder bridge considering the influence lines of different lanes. Front. Struct. Civ. Eng.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 Syst. Signal Process. 177: 109133. DOI: 10.1016/j.ymssp.2022.109133.</w:t>
      </w:r>
    </w:p>
    <w:p>
      <w:pPr>
        <w:pStyle w:val="BodyText"/>
      </w:pPr>
      <w:r>
        <w:t xml:space="preserve">Yang J, Hou P and Yang C (2021) Study on the method of moving load identification based on strain influence line. Appl. Sci. 11(2): 853. DOI: 10.3390/app11020853.</w:t>
      </w:r>
    </w:p>
    <w:p>
      <w:pPr>
        <w:pStyle w:val="BodyText"/>
      </w:pPr>
      <w:r>
        <w:t xml:space="preserve">Yu Y, Cai CS and Deng L (2016) State-of-the-art review on bridge weigh-in-motion technology. Adv. Struct. Eng. 19(9): 1514–1530. DOI: 10.1177/1369433216655922.</w:t>
      </w:r>
    </w:p>
    <w:p>
      <w:pPr>
        <w:pStyle w:val="BodyText"/>
      </w:pPr>
      <w:r>
        <w:t xml:space="preserve">Yu Y, Cai CS and Deng L (2018) Nothing-on-road bridge weigh-in-motion considering the transverse position of the vehicle. Struct. Infrastruct. Eng.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 Syst. Signal Process. 241: 113522. DOI: 10.1016/j.ymssp.2025.113522.</w:t>
      </w:r>
    </w:p>
    <w:p>
      <w:pPr>
        <w:pStyle w:val="BodyText"/>
      </w:pPr>
      <w:r>
        <w:t xml:space="preserve">Zhou Y, Feng Z, Di SK and Jia ZJ (2026) A novel approach for bending stiffness inversion and rapid evaluation of continuous beam bridges based on a deflection influence line. Struct. Control Health Monit. 2026: 1361157. DOI: 10.1155/stc/1361157.</w:t>
      </w:r>
    </w:p>
    <w:p>
      <w:pPr>
        <w:pStyle w:val="BodyText"/>
      </w:pPr>
      <w:r>
        <w:t xml:space="preserve">Zhu XQ and Law SS (2006) Moving load identification on multi-span continuous bridges with elastic bearings. Mech. Syst. Signal Process. 20(7): 1759–1782. DOI: 10.1016/j.ymssp.2005.06.004.</w:t>
      </w:r>
    </w:p>
    <w:p>
      <w:pPr>
        <w:pStyle w:val="BodyText"/>
      </w:pPr>
      <w:r>
        <w:t xml:space="preserve">Zhu J, Wang C, Qi T and Zhou Y (2022) Vehicle load identification on orthotropic steel box beam bridge based on the strain response area. Appl. Sci. 12(23): 12394. DOI: 10.3390/app122312394.</w:t>
      </w:r>
    </w:p>
    <w:p>
      <w:pPr>
        <w:pStyle w:val="BodyText"/>
      </w:pPr>
      <w:r>
        <w:t xml:space="preserve">Žnidarič A, Kalin J and Kreslin M (2018) Improved accuracy and robustness of bridge weigh-in-motion systems. Struct. Infrastruct. Eng.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2026-10-19T09:43:19Z</dcterms:created>
  <dcterms:modified xsi:type="dcterms:W3CDTF">2026-10-19T09:43:19Z</dcterms:modified>
</cp:coreProperties>
</file>

<file path=docProps/custom.xml><?xml version="1.0" encoding="utf-8"?>
<Properties xmlns="http://schemas.openxmlformats.org/officeDocument/2006/custom-properties" xmlns:vt="http://schemas.openxmlformats.org/officeDocument/2006/docPropsVTypes"/>
</file>