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spots and sensor placement for influence-area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keepLines/>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452"/>
        <w:gridCol w:w="5617"/>
      </w:tblGrid>
      <w:tr>
        <w:trPr>
          <w:tblHeader w:val="true"/>
          <w:tblHeader w:val="true"/>
          <w:cantSplit/>
        </w:trPr>
        <w:tc>
          <w:tcPr>
            <w:tcW w:type="dxa" w:w="3452"/>
            <w:tcBorders>
              <w:top w:val="nil"/>
              <w:left w:val="nil"/>
              <w:bottom w:val="single" w:sz="6" w:space="0" w:color="000000"/>
              <w:right w:val="nil"/>
            </w:tcBorders>
          </w:tcPr>
          <w:p>
            <w:pPr>
              <w:pStyle w:val="Compact"/>
              <w:jc w:val="left"/>
            </w:pPr>
            <w:r>
              <w:t xml:space="preserve">Symbol</w:t>
            </w:r>
          </w:p>
        </w:tc>
        <w:tc>
          <w:tcPr>
            <w:tcW w:type="dxa" w:w="5617"/>
            <w:tcBorders>
              <w:top w:val="nil"/>
              <w:left w:val="nil"/>
              <w:bottom w:val="single" w:sz="6" w:space="0" w:color="000000"/>
              <w:right w:val="nil"/>
            </w:tcBorders>
          </w:tcPr>
          <w:p>
            <w:pPr>
              <w:pStyle w:val="Compact"/>
              <w:jc w:val="left"/>
            </w:pPr>
            <w:r>
              <w:t xml:space="preserve">Meaning</w:t>
            </w:r>
          </w:p>
        </w:tc>
      </w:tr>
      <w:tr>
        <w:trPr>
          <w:cantSplit/>
        </w:trPr>
        <w:tc>
          <w:tcPr>
            <w:tcW w:type="dxa" w:w="3452"/>
          </w:tcPr>
          <w:p>
            <w:pPr>
              <w:pStyle w:val="Compact"/>
              <w:jc w:val="left"/>
            </w:pPr>
            <m:oMath>
              <m:sSup>
                <m:e>
                  <m:r>
                    <m:t>A</m:t>
                  </m:r>
                </m:e>
                <m:sup>
                  <m:r>
                    <m:rPr>
                      <m:nor/>
                    </m:rPr>
                    <m:t>+</m:t>
                  </m:r>
                </m:sup>
              </m:sSup>
            </m:oMath>
            <w:r>
              <w:t xml:space="preserve">,</w:t>
            </w:r>
            <w:r>
              <w:t xml:space="preserve"> </w:t>
            </w:r>
            <m:oMath>
              <m:sSup>
                <m:e>
                  <m:r>
                    <m:t>A</m:t>
                  </m:r>
                </m:e>
                <m:sup>
                  <m:r>
                    <m:rPr>
                      <m:nor/>
                    </m:rPr>
                    <m:t>−</m:t>
                  </m:r>
                </m:sup>
              </m:sSup>
            </m:oMath>
          </w:p>
        </w:tc>
        <w:tc>
          <w:tcPr>
            <w:tcW w:type="dxa" w:w="5617"/>
          </w:tcPr>
          <w:p>
            <w:pPr>
              <w:pStyle w:val="Compact"/>
              <w:jc w:val="left"/>
            </w:pPr>
            <w:r>
              <w:t xml:space="preserve">positive and negative parts of the area under an influence line, Eq. (9)</w:t>
            </w:r>
          </w:p>
        </w:tc>
      </w:tr>
      <w:tr>
        <w:trPr>
          <w:cantSplit/>
        </w:trPr>
        <w:tc>
          <w:tcPr>
            <w:tcW w:type="dxa" w:w="3452"/>
          </w:tcPr>
          <w:p>
            <w:pPr>
              <w:pStyle w:val="Compact"/>
              <w:jc w:val="left"/>
            </w:pPr>
            <m:oMath>
              <m:r>
                <m:t>a</m:t>
              </m:r>
            </m:oMath>
          </w:p>
        </w:tc>
        <w:tc>
          <w:tcPr>
            <w:tcW w:type="dxa" w:w="5617"/>
          </w:tcPr>
          <w:p>
            <w:pPr>
              <w:pStyle w:val="Compact"/>
              <w:jc w:val="left"/>
            </w:pPr>
            <w:r>
              <w:t xml:space="preserve">vector of channel weights of a multi-channel estimator</w:t>
            </w:r>
          </w:p>
        </w:tc>
      </w:tr>
      <w:tr>
        <w:trPr>
          <w:cantSplit/>
        </w:trPr>
        <w:tc>
          <w:tcPr>
            <w:tcW w:type="dxa" w:w="3452"/>
          </w:tcPr>
          <w:p>
            <w:pPr>
              <w:pStyle w:val="Compact"/>
              <w:jc w:val="left"/>
            </w:pPr>
            <m:oMath>
              <m:r>
                <m:t>b</m:t>
              </m:r>
            </m:oMath>
          </w:p>
        </w:tc>
        <w:tc>
          <w:tcPr>
            <w:tcW w:type="dxa" w:w="5617"/>
          </w:tcPr>
          <w:p>
            <w:pPr>
              <w:pStyle w:val="Compact"/>
              <w:jc w:val="left"/>
            </w:pPr>
            <w:r>
              <w:t xml:space="preserve">relative bias of the load caused by a residual offset, Eq. (10)</w:t>
            </w:r>
          </w:p>
        </w:tc>
      </w:tr>
      <w:tr>
        <w:trPr>
          <w:cantSplit/>
        </w:trPr>
        <w:tc>
          <w:tcPr>
            <w:tcW w:type="dxa" w:w="3452"/>
          </w:tcPr>
          <w:p>
            <w:pPr>
              <w:pStyle w:val="Compact"/>
              <w:jc w:val="left"/>
            </w:pPr>
            <m:oMath>
              <m:sSub>
                <m:e>
                  <m:r>
                    <m:t>B</m:t>
                  </m:r>
                </m:e>
                <m:sub>
                  <m:r>
                    <m:t>m</m:t>
                  </m:r>
                </m:sub>
              </m:sSub>
            </m:oMath>
          </w:p>
        </w:tc>
        <w:tc>
          <w:tcPr>
            <w:tcW w:type="dxa" w:w="5617"/>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345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561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3452"/>
          </w:tcPr>
          <w:p>
            <w:pPr>
              <w:pStyle w:val="Compact"/>
              <w:jc w:val="left"/>
            </w:pPr>
            <m:oMath>
              <m:sSub>
                <m:e>
                  <m:r>
                    <m:t>C</m:t>
                  </m:r>
                </m:e>
                <m:sub>
                  <m:r>
                    <m:t>m</m:t>
                  </m:r>
                </m:sub>
              </m:sSub>
            </m:oMath>
          </w:p>
        </w:tc>
        <w:tc>
          <w:tcPr>
            <w:tcW w:type="dxa" w:w="561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3452"/>
          </w:tcPr>
          <w:p>
            <w:pPr>
              <w:pStyle w:val="Compact"/>
              <w:jc w:val="left"/>
            </w:pPr>
            <m:oMath>
              <m:acc>
                <m:accPr>
                  <m:chr m:val="¯"/>
                </m:accPr>
                <m:e>
                  <m:r>
                    <m:t>C</m:t>
                  </m:r>
                </m:e>
              </m:acc>
            </m:oMath>
          </w:p>
        </w:tc>
        <w:tc>
          <w:tcPr>
            <w:tcW w:type="dxa" w:w="5617"/>
          </w:tcPr>
          <w:p>
            <w:pPr>
              <w:pStyle w:val="Compact"/>
              <w:jc w:val="left"/>
            </w:pPr>
            <w:r>
              <w:t xml:space="preserve">mean of the channel constants</w:t>
            </w:r>
            <w:r>
              <w:t xml:space="preserve"> </w:t>
            </w:r>
            <m:oMath>
              <m:sSub>
                <m:e>
                  <m:r>
                    <m:t>C</m:t>
                  </m:r>
                </m:e>
                <m:sub>
                  <m:r>
                    <m:t>j</m:t>
                  </m:r>
                </m:sub>
              </m:sSub>
            </m:oMath>
            <w:r>
              <w:t xml:space="preserve">, Eq. (12)</w:t>
            </w:r>
          </w:p>
        </w:tc>
      </w:tr>
      <w:tr>
        <w:trPr>
          <w:cantSplit/>
        </w:trPr>
        <w:tc>
          <w:tcPr>
            <w:tcW w:type="dxa" w:w="345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5617"/>
          </w:tcPr>
          <w:p>
            <w:pPr>
              <w:pStyle w:val="Compact"/>
              <w:jc w:val="left"/>
            </w:pPr>
            <w:r>
              <w:t xml:space="preserve">integral constant of a strain, rotation and shear channel</w:t>
            </w:r>
          </w:p>
        </w:tc>
      </w:tr>
      <w:tr>
        <w:trPr>
          <w:cantSplit/>
        </w:trPr>
        <w:tc>
          <w:tcPr>
            <w:tcW w:type="dxa" w:w="3452"/>
          </w:tcPr>
          <w:p>
            <w:pPr>
              <w:pStyle w:val="Compact"/>
              <w:jc w:val="left"/>
            </w:pPr>
            <m:oMath>
              <m:r>
                <m:t>c</m:t>
              </m:r>
            </m:oMath>
            <w:r>
              <w:t xml:space="preserve">,</w:t>
            </w:r>
            <w:r>
              <w:t xml:space="preserve"> </w:t>
            </w:r>
            <m:oMath>
              <m:sSub>
                <m:e>
                  <m:r>
                    <m:t>c</m:t>
                  </m:r>
                </m:e>
                <m:sub>
                  <m:r>
                    <m:t>m</m:t>
                  </m:r>
                </m:sub>
              </m:sSub>
            </m:oMath>
          </w:p>
        </w:tc>
        <w:tc>
          <w:tcPr>
            <w:tcW w:type="dxa" w:w="5617"/>
          </w:tcPr>
          <w:p>
            <w:pPr>
              <w:pStyle w:val="Compact"/>
              <w:jc w:val="left"/>
            </w:pPr>
            <w:r>
              <w:t xml:space="preserve">distance of the gauged fiber from the neutral axis (m); its value at the sensor, Eq. (3)</w:t>
            </w:r>
          </w:p>
        </w:tc>
      </w:tr>
      <w:tr>
        <w:trPr>
          <w:cantSplit/>
        </w:trPr>
        <w:tc>
          <w:tcPr>
            <w:tcW w:type="dxa" w:w="3452"/>
          </w:tcPr>
          <w:p>
            <w:pPr>
              <w:pStyle w:val="Compact"/>
              <w:jc w:val="left"/>
            </w:pPr>
            <m:oMath>
              <m:sSub>
                <m:e>
                  <m:r>
                    <m:t>d</m:t>
                  </m:r>
                </m:e>
                <m:sub>
                  <m:r>
                    <m:t>i</m:t>
                  </m:r>
                </m:sub>
              </m:sSub>
            </m:oMath>
            <w:r>
              <w:t xml:space="preserve">,</w:t>
            </w:r>
            <w:r>
              <w:t xml:space="preserve"> </w:t>
            </w:r>
            <m:oMath>
              <m:sSub>
                <m:e>
                  <m:r>
                    <m:t>d</m:t>
                  </m:r>
                </m:e>
                <m:sub>
                  <m:r>
                    <m:rPr>
                      <m:sty m:val="p"/>
                      <m:nor/>
                    </m:rPr>
                    <m:t>max</m:t>
                  </m:r>
                </m:sub>
              </m:sSub>
            </m:oMath>
          </w:p>
        </w:tc>
        <w:tc>
          <w:tcPr>
            <w:tcW w:type="dxa" w:w="5617"/>
          </w:tcPr>
          <w:p>
            <w:pPr>
              <w:pStyle w:val="Compact"/>
              <w:jc w:val="left"/>
            </w:pPr>
            <w:r>
              <w:t xml:space="preserve">distance of axle</w:t>
            </w:r>
            <w:r>
              <w:t xml:space="preserve"> </w:t>
            </w:r>
            <m:oMath>
              <m:r>
                <m:t>i</m:t>
              </m:r>
            </m:oMath>
            <w:r>
              <w:t xml:space="preserve"> </w:t>
            </w:r>
            <w:r>
              <w:t xml:space="preserve">behind the first axle; largest axle offset, Eq. (2) (m)</w:t>
            </w:r>
          </w:p>
        </w:tc>
      </w:tr>
      <w:tr>
        <w:trPr>
          <w:cantSplit/>
        </w:trPr>
        <w:tc>
          <w:tcPr>
            <w:tcW w:type="dxa" w:w="3452"/>
          </w:tcPr>
          <w:p>
            <w:pPr>
              <w:pStyle w:val="Compact"/>
              <w:jc w:val="left"/>
            </w:pPr>
            <m:oMath>
              <m:r>
                <m:t>E</m:t>
              </m:r>
              <m:r>
                <m:t>I</m:t>
              </m:r>
            </m:oMath>
            <w:r>
              <w:t xml:space="preserve">,</w:t>
            </w:r>
            <w:r>
              <w:t xml:space="preserve"> </w:t>
            </w:r>
            <m:oMath>
              <m:r>
                <m:t>E</m:t>
              </m:r>
              <m:sSub>
                <m:e>
                  <m:r>
                    <m:t>I</m:t>
                  </m:r>
                </m:e>
                <m:sub>
                  <m:r>
                    <m:t>m</m:t>
                  </m:r>
                </m:sub>
              </m:sSub>
            </m:oMath>
            <w:r>
              <w:t xml:space="preserve">,</w:t>
            </w:r>
            <w:r>
              <w:t xml:space="preserve"> </w:t>
            </w:r>
            <m:oMath>
              <m:r>
                <m:t>E</m:t>
              </m:r>
              <m:sSub>
                <m:e>
                  <m:r>
                    <m:t>I</m:t>
                  </m:r>
                </m:e>
                <m:sub>
                  <m:r>
                    <m:rPr>
                      <m:sty m:val="p"/>
                      <m:nor/>
                    </m:rPr>
                    <m:t>mid</m:t>
                  </m:r>
                </m:sub>
              </m:sSub>
            </m:oMath>
            <w:r>
              <w:t xml:space="preserve">,</w:t>
            </w:r>
            <w:r>
              <w:t xml:space="preserve"> </w:t>
            </w:r>
            <m:oMath>
              <m:r>
                <m:t>E</m:t>
              </m:r>
              <m:sSub>
                <m:e>
                  <m:r>
                    <m:t>I</m:t>
                  </m:r>
                </m:e>
                <m:sub>
                  <m:r>
                    <m:rPr>
                      <m:sty m:val="p"/>
                      <m:nor/>
                    </m:rPr>
                    <m:t>ref</m:t>
                  </m:r>
                </m:sub>
              </m:sSub>
            </m:oMath>
          </w:p>
        </w:tc>
        <w:tc>
          <w:tcPr>
            <w:tcW w:type="dxa" w:w="5617"/>
          </w:tcPr>
          <w:p>
            <w:pPr>
              <w:pStyle w:val="Compact"/>
              <w:jc w:val="left"/>
            </w:pPr>
            <w:r>
              <w:t xml:space="preserve">flexural rigidity; its value at the sensor, Eq. (3);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3452"/>
          </w:tcPr>
          <w:p>
            <w:pPr>
              <w:pStyle w:val="Compact"/>
              <w:jc w:val="left"/>
            </w:pPr>
            <m:oMath>
              <m:sSub>
                <m:e>
                  <m:r>
                    <m:t>F</m:t>
                  </m:r>
                </m:e>
                <m:sub>
                  <m:r>
                    <m:t>A</m:t>
                  </m:r>
                </m:sub>
              </m:sSub>
            </m:oMath>
          </w:p>
        </w:tc>
        <w:tc>
          <w:tcPr>
            <w:tcW w:type="dxa" w:w="5617"/>
          </w:tcPr>
          <w:p>
            <w:pPr>
              <w:pStyle w:val="Compact"/>
              <w:jc w:val="left"/>
            </w:pPr>
            <w:r>
              <w:t xml:space="preserve">end-support reaction (kN)</w:t>
            </w:r>
          </w:p>
        </w:tc>
      </w:tr>
      <w:tr>
        <w:trPr>
          <w:cantSplit/>
        </w:trPr>
        <w:tc>
          <w:tcPr>
            <w:tcW w:type="dxa" w:w="3452"/>
          </w:tcPr>
          <w:p>
            <w:pPr>
              <w:pStyle w:val="Compact"/>
              <w:jc w:val="left"/>
            </w:pPr>
            <m:oMath>
              <m:r>
                <m:t>F</m:t>
              </m:r>
              <m:d>
                <m:dPr>
                  <m:begChr m:val="("/>
                  <m:endChr m:val=")"/>
                  <m:grow/>
                </m:dPr>
                <m:e>
                  <m:r>
                    <m:t>ξ</m:t>
                  </m:r>
                  <m:r>
                    <m:rPr>
                      <m:sty m:val="p"/>
                    </m:rPr>
                    <m:t>,</m:t>
                  </m:r>
                  <m:r>
                    <m:t>μ</m:t>
                  </m:r>
                </m:e>
              </m:d>
            </m:oMath>
          </w:p>
        </w:tc>
        <w:tc>
          <w:tcPr>
            <w:tcW w:type="dxa" w:w="5617"/>
          </w:tcPr>
          <w:p>
            <w:pPr>
              <w:pStyle w:val="Compact"/>
              <w:jc w:val="left"/>
            </w:pPr>
            <w:r>
              <w:t xml:space="preserve">normalized uniform-load deflection of span 1 of a two-span beam, Eq. (5)</w:t>
            </w:r>
          </w:p>
        </w:tc>
      </w:tr>
      <w:tr>
        <w:trPr>
          <w:cantSplit/>
        </w:trPr>
        <w:tc>
          <w:tcPr>
            <w:tcW w:type="dxa" w:w="3452"/>
          </w:tcPr>
          <w:p>
            <w:pPr>
              <w:pStyle w:val="Compact"/>
              <w:jc w:val="left"/>
            </w:pPr>
            <m:oMath>
              <m:sSub>
                <m:e>
                  <m:r>
                    <m:t>f</m:t>
                  </m:r>
                </m:e>
                <m:sub>
                  <m:r>
                    <m:t>1</m:t>
                  </m:r>
                </m:sub>
              </m:sSub>
            </m:oMath>
            <w:r>
              <w:t xml:space="preserve">,</w:t>
            </w:r>
            <w:r>
              <w:t xml:space="preserve"> </w:t>
            </w:r>
            <m:oMath>
              <m:sSub>
                <m:e>
                  <m:r>
                    <m:t>T</m:t>
                  </m:r>
                </m:e>
                <m:sub>
                  <m:r>
                    <m:t>1</m:t>
                  </m:r>
                </m:sub>
              </m:sSub>
            </m:oMath>
          </w:p>
        </w:tc>
        <w:tc>
          <w:tcPr>
            <w:tcW w:type="dxa" w:w="5617"/>
          </w:tcPr>
          <w:p>
            <w:pPr>
              <w:pStyle w:val="Compact"/>
              <w:jc w:val="left"/>
            </w:pPr>
            <w:r>
              <w:t xml:space="preserve">fundamental frequency and period of the girder</w:t>
            </w:r>
          </w:p>
        </w:tc>
      </w:tr>
      <w:tr>
        <w:trPr>
          <w:cantSplit/>
        </w:trPr>
        <w:tc>
          <w:tcPr>
            <w:tcW w:type="dxa" w:w="3452"/>
          </w:tcPr>
          <w:p>
            <w:pPr>
              <w:pStyle w:val="Compact"/>
              <w:jc w:val="left"/>
            </w:pPr>
            <m:oMath>
              <m:r>
                <m:t>g</m:t>
              </m:r>
              <m:d>
                <m:dPr>
                  <m:begChr m:val="("/>
                  <m:endChr m:val=")"/>
                  <m:grow/>
                </m:dPr>
                <m:e>
                  <m:r>
                    <m:t>x</m:t>
                  </m:r>
                </m:e>
              </m:d>
            </m:oMath>
          </w:p>
        </w:tc>
        <w:tc>
          <w:tcPr>
            <w:tcW w:type="dxa" w:w="5617"/>
          </w:tcPr>
          <w:p>
            <w:pPr>
              <w:pStyle w:val="Compact"/>
              <w:jc w:val="left"/>
            </w:pPr>
            <w:r>
              <w:t xml:space="preserve">weighting function applied along a record</w:t>
            </w:r>
          </w:p>
        </w:tc>
      </w:tr>
      <w:tr>
        <w:trPr>
          <w:cantSplit/>
        </w:trPr>
        <w:tc>
          <w:tcPr>
            <w:tcW w:type="dxa" w:w="3452"/>
          </w:tcPr>
          <w:p>
            <w:pPr>
              <w:pStyle w:val="Compact"/>
              <w:jc w:val="left"/>
            </w:pPr>
            <m:oMath>
              <m:r>
                <m:t>h</m:t>
              </m:r>
            </m:oMath>
          </w:p>
        </w:tc>
        <w:tc>
          <w:tcPr>
            <w:tcW w:type="dxa" w:w="5617"/>
          </w:tcPr>
          <w:p>
            <w:pPr>
              <w:pStyle w:val="Compact"/>
              <w:jc w:val="left"/>
            </w:pPr>
            <w:r>
              <w:t xml:space="preserve">girder depth (m)</w:t>
            </w:r>
          </w:p>
        </w:tc>
      </w:tr>
      <w:tr>
        <w:trPr>
          <w:cantSplit/>
        </w:trPr>
        <w:tc>
          <w:tcPr>
            <w:tcW w:type="dxa" w:w="3452"/>
          </w:tcPr>
          <w:p>
            <w:pPr>
              <w:pStyle w:val="Compact"/>
              <w:jc w:val="left"/>
            </w:pPr>
            <m:oMath>
              <m:r>
                <m:t>I</m:t>
              </m:r>
            </m:oMath>
          </w:p>
        </w:tc>
        <w:tc>
          <w:tcPr>
            <w:tcW w:type="dxa" w:w="5617"/>
          </w:tcPr>
          <w:p>
            <w:pPr>
              <w:pStyle w:val="Compact"/>
              <w:jc w:val="left"/>
            </w:pPr>
            <w:r>
              <w:t xml:space="preserve">second moment of area</w:t>
            </w:r>
          </w:p>
        </w:tc>
      </w:tr>
      <w:tr>
        <w:trPr>
          <w:cantSplit/>
        </w:trPr>
        <w:tc>
          <w:tcPr>
            <w:tcW w:type="dxa" w:w="3452"/>
          </w:tcPr>
          <w:p>
            <w:pPr>
              <w:pStyle w:val="Compact"/>
              <w:jc w:val="left"/>
            </w:pPr>
            <m:oMath>
              <m:sSub>
                <m:e>
                  <m:r>
                    <m:t>J</m:t>
                  </m:r>
                </m:e>
                <m:sub>
                  <m:r>
                    <m:t>m</m:t>
                  </m:r>
                </m:sub>
              </m:sSub>
            </m:oMath>
          </w:p>
        </w:tc>
        <w:tc>
          <w:tcPr>
            <w:tcW w:type="dxa" w:w="561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3452"/>
          </w:tcPr>
          <w:p>
            <w:pPr>
              <w:pStyle w:val="Compact"/>
              <w:jc w:val="left"/>
            </w:pPr>
            <m:oMath>
              <m:r>
                <m:t>k</m:t>
              </m:r>
            </m:oMath>
            <w:r>
              <w:t xml:space="preserve">,</w:t>
            </w:r>
            <w:r>
              <w:t xml:space="preserve"> </w:t>
            </w:r>
            <m:oMath>
              <m:sSub>
                <m:e>
                  <m:r>
                    <m:t>k</m:t>
                  </m:r>
                </m:e>
                <m:sub>
                  <m:r>
                    <m:t>g</m:t>
                  </m:r>
                </m:sub>
              </m:sSub>
            </m:oMath>
          </w:p>
        </w:tc>
        <w:tc>
          <w:tcPr>
            <w:tcW w:type="dxa" w:w="561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3452"/>
          </w:tcPr>
          <w:p>
            <w:pPr>
              <w:pStyle w:val="Compact"/>
              <w:jc w:val="left"/>
            </w:pPr>
            <m:oMath>
              <m:acc>
                <m:accPr>
                  <m:chr m:val="̂"/>
                </m:accPr>
                <m:e>
                  <m:r>
                    <m:t>k</m:t>
                  </m:r>
                </m:e>
              </m:acc>
            </m:oMath>
          </w:p>
        </w:tc>
        <w:tc>
          <w:tcPr>
            <w:tcW w:type="dxa" w:w="5617"/>
          </w:tcPr>
          <w:p>
            <w:pPr>
              <w:pStyle w:val="Compact"/>
              <w:jc w:val="left"/>
            </w:pPr>
            <w:r>
              <w:t xml:space="preserve">pier stiffness relative to the side-span rigidity,</w:t>
            </w:r>
            <w:r>
              <w:t xml:space="preserve"> </w:t>
            </w:r>
            <m:oMath>
              <m:r>
                <m:t>k</m:t>
              </m:r>
              <m:sSub>
                <m:e>
                  <m:r>
                    <m:t>L</m:t>
                  </m:r>
                </m:e>
                <m:sub>
                  <m:r>
                    <m:rPr>
                      <m:sty m:val="p"/>
                      <m:nor/>
                    </m:rPr>
                    <m:t>side</m:t>
                  </m:r>
                </m:sub>
              </m:sSub>
              <m:r>
                <m:rPr>
                  <m:sty m:val="p"/>
                </m:rPr>
                <m:t>/</m:t>
              </m:r>
              <m:r>
                <m:t>E</m:t>
              </m:r>
              <m:sSub>
                <m:e>
                  <m:r>
                    <m:t>I</m:t>
                  </m:r>
                </m:e>
                <m:sub>
                  <m:r>
                    <m:rPr>
                      <m:sty m:val="p"/>
                      <m:nor/>
                    </m:rPr>
                    <m:t>side</m:t>
                  </m:r>
                </m:sub>
              </m:sSub>
            </m:oMath>
          </w:p>
        </w:tc>
      </w:tr>
      <w:tr>
        <w:trPr>
          <w:cantSplit/>
        </w:trPr>
        <w:tc>
          <w:tcPr>
            <w:tcW w:type="dxa" w:w="3452"/>
          </w:tcPr>
          <w:p>
            <w:pPr>
              <w:pStyle w:val="Compact"/>
              <w:jc w:val="left"/>
            </w:pPr>
            <m:oMath>
              <m:sSub>
                <m:e>
                  <m:r>
                    <m:t>K</m:t>
                  </m:r>
                </m:e>
                <m:sub>
                  <m:r>
                    <m:t>g</m:t>
                  </m:r>
                </m:sub>
              </m:sSub>
            </m:oMath>
            <w:r>
              <w:t xml:space="preserve">,</w:t>
            </w:r>
            <w:r>
              <w:t xml:space="preserve"> </w:t>
            </w:r>
            <m:oMath>
              <m:sSub>
                <m:e>
                  <m:r>
                    <m:t>K</m:t>
                  </m:r>
                </m:e>
                <m:sub>
                  <m:r>
                    <m:t>p</m:t>
                  </m:r>
                </m:sub>
              </m:sSub>
            </m:oMath>
          </w:p>
        </w:tc>
        <w:tc>
          <w:tcPr>
            <w:tcW w:type="dxa" w:w="5617"/>
          </w:tcPr>
          <w:p>
            <w:pPr>
              <w:pStyle w:val="Compact"/>
              <w:jc w:val="left"/>
            </w:pPr>
            <w:r>
              <w:t xml:space="preserve">girder and pier parts of the stiffness matrix</w:t>
            </w:r>
          </w:p>
        </w:tc>
      </w:tr>
      <w:tr>
        <w:trPr>
          <w:cantSplit/>
        </w:trPr>
        <w:tc>
          <w:tcPr>
            <w:tcW w:type="dxa" w:w="3452"/>
          </w:tcPr>
          <w:p>
            <w:pPr>
              <w:pStyle w:val="Compact"/>
              <w:jc w:val="left"/>
            </w:pPr>
            <m:oMath>
              <m:r>
                <m:t>L</m:t>
              </m:r>
            </m:oMath>
          </w:p>
        </w:tc>
        <w:tc>
          <w:tcPr>
            <w:tcW w:type="dxa" w:w="5617"/>
          </w:tcPr>
          <w:p>
            <w:pPr>
              <w:pStyle w:val="Compact"/>
              <w:jc w:val="left"/>
            </w:pPr>
            <w:r>
              <w:t xml:space="preserve">length of the span containing the sensor, including the span of the laboratory beam (m)</w:t>
            </w:r>
          </w:p>
        </w:tc>
      </w:tr>
      <w:tr>
        <w:trPr>
          <w:cantSplit/>
        </w:trPr>
        <w:tc>
          <w:tcPr>
            <w:tcW w:type="dxa" w:w="3452"/>
          </w:tcPr>
          <w:p>
            <w:pPr>
              <w:pStyle w:val="Compact"/>
              <w:jc w:val="left"/>
            </w:pPr>
            <m:oMath>
              <m:sSub>
                <m:e>
                  <m:r>
                    <m:t>L</m:t>
                  </m:r>
                </m:e>
                <m:sub>
                  <m:r>
                    <m:t>p</m:t>
                  </m:r>
                </m:sub>
              </m:sSub>
            </m:oMath>
          </w:p>
        </w:tc>
        <w:tc>
          <w:tcPr>
            <w:tcW w:type="dxa" w:w="5617"/>
          </w:tcPr>
          <w:p>
            <w:pPr>
              <w:pStyle w:val="Compact"/>
              <w:jc w:val="left"/>
            </w:pPr>
            <w:r>
              <w:t xml:space="preserve">length of the loaded path (m)</w:t>
            </w:r>
          </w:p>
        </w:tc>
      </w:tr>
      <w:tr>
        <w:trPr>
          <w:cantSplit/>
        </w:trPr>
        <w:tc>
          <w:tcPr>
            <w:tcW w:type="dxa" w:w="3452"/>
          </w:tcPr>
          <w:p>
            <w:pPr>
              <w:pStyle w:val="Compact"/>
              <w:jc w:val="left"/>
            </w:pPr>
            <m:oMath>
              <m:sSub>
                <m:e>
                  <m:r>
                    <m:t>L</m:t>
                  </m:r>
                </m:e>
                <m:sub>
                  <m:r>
                    <m:rPr>
                      <m:sty m:val="p"/>
                      <m:nor/>
                    </m:rPr>
                    <m:t>v</m:t>
                  </m:r>
                </m:sub>
              </m:sSub>
            </m:oMath>
          </w:p>
        </w:tc>
        <w:tc>
          <w:tcPr>
            <w:tcW w:type="dxa" w:w="5617"/>
          </w:tcPr>
          <w:p>
            <w:pPr>
              <w:pStyle w:val="Compact"/>
              <w:jc w:val="left"/>
            </w:pPr>
            <w:r>
              <w:t xml:space="preserve">length of the parabolic haunch from each inner pier of the Mây Bridge model (base 44 m)</w:t>
            </w:r>
          </w:p>
        </w:tc>
      </w:tr>
      <w:tr>
        <w:trPr>
          <w:cantSplit/>
        </w:trPr>
        <w:tc>
          <w:tcPr>
            <w:tcW w:type="dxa" w:w="3452"/>
          </w:tcPr>
          <w:p>
            <w:pPr>
              <w:pStyle w:val="Compact"/>
              <w:jc w:val="left"/>
            </w:pPr>
            <m:oMath>
              <m:sSub>
                <m:e>
                  <m:r>
                    <m:t>L</m:t>
                  </m:r>
                </m:e>
                <m:sub>
                  <m:r>
                    <m:rPr>
                      <m:sty m:val="p"/>
                      <m:nor/>
                    </m:rPr>
                    <m:t>tot</m:t>
                  </m:r>
                </m:sub>
              </m:sSub>
            </m:oMath>
          </w:p>
        </w:tc>
        <w:tc>
          <w:tcPr>
            <w:tcW w:type="dxa" w:w="5617"/>
          </w:tcPr>
          <w:p>
            <w:pPr>
              <w:pStyle w:val="Compact"/>
              <w:jc w:val="left"/>
            </w:pPr>
            <w:r>
              <w:t xml:space="preserve">length of the integration record (m)</w:t>
            </w:r>
          </w:p>
        </w:tc>
      </w:tr>
      <w:tr>
        <w:trPr>
          <w:cantSplit/>
        </w:trPr>
        <w:tc>
          <w:tcPr>
            <w:tcW w:type="dxa" w:w="3452"/>
          </w:tcPr>
          <w:p>
            <w:pPr>
              <w:pStyle w:val="Compact"/>
              <w:jc w:val="left"/>
            </w:pPr>
            <m:oMath>
              <m:sSub>
                <m:e>
                  <m:r>
                    <m:t>M</m:t>
                  </m:r>
                </m:e>
                <m:sub>
                  <m:r>
                    <m:t>q</m:t>
                  </m:r>
                </m:sub>
              </m:sSub>
            </m:oMath>
          </w:p>
        </w:tc>
        <w:tc>
          <w:tcPr>
            <w:tcW w:type="dxa" w:w="561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5617"/>
          </w:tcPr>
          <w:p>
            <w:pPr>
              <w:pStyle w:val="Compact"/>
              <w:jc w:val="left"/>
            </w:pPr>
            <w:r>
              <w:t xml:space="preserve">normalized end moments</w:t>
            </w:r>
            <w:r>
              <w:t xml:space="preserve"> </w:t>
            </w:r>
            <m:oMath>
              <m:r>
                <m:rPr>
                  <m:sty m:val="p"/>
                </m:rPr>
                <m:t>−</m:t>
              </m:r>
              <m:r>
                <m:t>8</m:t>
              </m:r>
              <m:r>
                <m:t>M</m:t>
              </m:r>
              <m:r>
                <m:rPr>
                  <m:sty m:val="p"/>
                </m:rPr>
                <m:t>/</m:t>
              </m:r>
              <m:d>
                <m:dPr>
                  <m:begChr m:val="("/>
                  <m:end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3452"/>
          </w:tcPr>
          <w:p>
            <w:pPr>
              <w:pStyle w:val="Compact"/>
              <w:jc w:val="left"/>
            </w:pPr>
            <m:oMath>
              <m:r>
                <m:t>n</m:t>
              </m:r>
            </m:oMath>
            <w:r>
              <w:t xml:space="preserve">,</w:t>
            </w:r>
            <w:r>
              <w:t xml:space="preserve"> </w:t>
            </w:r>
            <m:oMath>
              <m:sSub>
                <m:e>
                  <m:r>
                    <m:t>n</m:t>
                  </m:r>
                </m:e>
                <m:sub>
                  <m:r>
                    <m:t>j</m:t>
                  </m:r>
                </m:sub>
              </m:sSub>
            </m:oMath>
          </w:p>
        </w:tc>
        <w:tc>
          <w:tcPr>
            <w:tcW w:type="dxa" w:w="5617"/>
          </w:tcPr>
          <w:p>
            <w:pPr>
              <w:pStyle w:val="Compact"/>
              <w:jc w:val="left"/>
            </w:pPr>
            <w:r>
              <w:t xml:space="preserve">number of axles, Eq. (1); noise term of the integral of channel</w:t>
            </w:r>
            <w:r>
              <w:t xml:space="preserve"> </w:t>
            </w:r>
            <m:oMath>
              <m:r>
                <m:t>j</m:t>
              </m:r>
            </m:oMath>
            <w:r>
              <w:t xml:space="preserve"> </w:t>
            </w:r>
            <w:r>
              <w:t xml:space="preserve">(Section 2.4)</w:t>
            </w:r>
          </w:p>
        </w:tc>
      </w:tr>
      <w:tr>
        <w:trPr>
          <w:cantSplit/>
        </w:trPr>
        <w:tc>
          <w:tcPr>
            <w:tcW w:type="dxa" w:w="3452"/>
          </w:tcPr>
          <w:p>
            <w:pPr>
              <w:pStyle w:val="Compact"/>
              <w:jc w:val="left"/>
            </w:pPr>
            <m:oMath>
              <m:sSub>
                <m:e>
                  <m:r>
                    <m:t>N</m:t>
                  </m:r>
                </m:e>
                <m:sub>
                  <m:r>
                    <m:t>w</m:t>
                  </m:r>
                </m:sub>
              </m:sSub>
            </m:oMath>
            <w:r>
              <w:t xml:space="preserve">,</w:t>
            </w:r>
            <w:r>
              <w:t xml:space="preserve"> </w:t>
            </w:r>
            <m:oMath>
              <m:sSub>
                <m:e>
                  <m:r>
                    <m:t>N</m:t>
                  </m:r>
                </m:e>
                <m:sub>
                  <m:r>
                    <m:t>M</m:t>
                  </m:r>
                </m:sub>
              </m:sSub>
            </m:oMath>
          </w:p>
        </w:tc>
        <w:tc>
          <w:tcPr>
            <w:tcW w:type="dxa" w:w="5617"/>
          </w:tcPr>
          <w:p>
            <w:pPr>
              <w:pStyle w:val="Compact"/>
              <w:jc w:val="left"/>
            </w:pPr>
            <w:r>
              <w:t xml:space="preserve">deflection and strain (moment) indicators, Eqs. (8) and (7)</w:t>
            </w:r>
          </w:p>
        </w:tc>
      </w:tr>
      <w:tr>
        <w:trPr>
          <w:cantSplit/>
        </w:trPr>
        <w:tc>
          <w:tcPr>
            <w:tcW w:type="dxa" w:w="3452"/>
          </w:tcPr>
          <w:p>
            <w:pPr>
              <w:pStyle w:val="Compact"/>
              <w:jc w:val="left"/>
            </w:pPr>
            <m:oMath>
              <m:sSub>
                <m:e>
                  <m:r>
                    <m:t>N</m:t>
                  </m:r>
                </m:e>
                <m:sub>
                  <m:r>
                    <m:t>ε</m:t>
                  </m:r>
                </m:sub>
              </m:sSub>
            </m:oMath>
          </w:p>
        </w:tc>
        <w:tc>
          <w:tcPr>
            <w:tcW w:type="dxa" w:w="5617"/>
          </w:tcPr>
          <w:p>
            <w:pPr>
              <w:pStyle w:val="Compact"/>
              <w:jc w:val="left"/>
            </w:pPr>
            <w:r>
              <w:t xml:space="preserve">strain indicator including the gain,</w:t>
            </w:r>
            <w:r>
              <w:t xml:space="preserve"> </w:t>
            </w:r>
            <m:oMath>
              <m:sSub>
                <m:e>
                  <m:r>
                    <m:t>N</m:t>
                  </m:r>
                </m:e>
                <m:sub>
                  <m:r>
                    <m:t>M</m:t>
                  </m:r>
                </m:sub>
              </m:sSub>
              <m:d>
                <m:dPr>
                  <m:begChr m:val="("/>
                  <m:endChr m:val=")"/>
                  <m:grow/>
                </m:dPr>
                <m:e>
                  <m:r>
                    <m:t>c</m:t>
                  </m:r>
                  <m:r>
                    <m:rPr>
                      <m:sty m:val="p"/>
                    </m:rPr>
                    <m:t>/</m:t>
                  </m:r>
                  <m:r>
                    <m:t>E</m:t>
                  </m:r>
                  <m:r>
                    <m:t>I</m:t>
                  </m:r>
                </m:e>
              </m:d>
              <m:r>
                <m:rPr>
                  <m:sty m:val="p"/>
                </m:rPr>
                <m:t>/</m:t>
              </m:r>
              <m:sSub>
                <m:e>
                  <m:d>
                    <m:dPr>
                      <m:begChr m:val="("/>
                      <m:endChr m:val=")"/>
                      <m:grow/>
                    </m:dPr>
                    <m:e>
                      <m:r>
                        <m:t>c</m:t>
                      </m:r>
                      <m:r>
                        <m:rPr>
                          <m:sty m:val="p"/>
                        </m:rPr>
                        <m:t>/</m:t>
                      </m:r>
                      <m:r>
                        <m:t>E</m:t>
                      </m:r>
                      <m:r>
                        <m:t>I</m:t>
                      </m:r>
                    </m:e>
                  </m:d>
                </m:e>
                <m:sub>
                  <m:r>
                    <m:rPr>
                      <m:sty m:val="p"/>
                      <m:nor/>
                    </m:rPr>
                    <m:t>mid</m:t>
                  </m:r>
                </m:sub>
              </m:sSub>
            </m:oMath>
            <w:r>
              <w:t xml:space="preserve"> </w:t>
            </w:r>
            <w:r>
              <w:t xml:space="preserve">(main-text Fig. 6c)</w:t>
            </w:r>
          </w:p>
        </w:tc>
      </w:tr>
      <w:tr>
        <w:trPr>
          <w:cantSplit/>
        </w:trPr>
        <w:tc>
          <w:tcPr>
            <w:tcW w:type="dxa" w:w="345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5617"/>
          </w:tcPr>
          <w:p>
            <w:pPr>
              <w:pStyle w:val="Compact"/>
              <w:jc w:val="left"/>
            </w:pPr>
            <w:r>
              <w:t xml:space="preserve">rotation, shear and end-reaction indicators (Section 2.2, Section S3)</w:t>
            </w:r>
          </w:p>
        </w:tc>
      </w:tr>
      <w:tr>
        <w:trPr>
          <w:cantSplit/>
        </w:trPr>
        <w:tc>
          <w:tcPr>
            <w:tcW w:type="dxa" w:w="3452"/>
          </w:tcPr>
          <w:p>
            <w:pPr>
              <w:pStyle w:val="Compact"/>
              <w:jc w:val="left"/>
            </w:pPr>
            <m:oMath>
              <m:sSub>
                <m:e>
                  <m:r>
                    <m:t>P</m:t>
                  </m:r>
                </m:e>
                <m:sub>
                  <m:r>
                    <m:t>i</m:t>
                  </m:r>
                </m:sub>
              </m:sSub>
            </m:oMath>
          </w:p>
        </w:tc>
        <w:tc>
          <w:tcPr>
            <w:tcW w:type="dxa" w:w="5617"/>
          </w:tcPr>
          <w:p>
            <w:pPr>
              <w:pStyle w:val="Compact"/>
              <w:jc w:val="left"/>
            </w:pPr>
            <w:r>
              <w:t xml:space="preserve">load of axle</w:t>
            </w:r>
            <w:r>
              <w:t xml:space="preserve"> </w:t>
            </w:r>
            <m:oMath>
              <m:r>
                <m:t>i</m:t>
              </m:r>
            </m:oMath>
            <w:r>
              <w:t xml:space="preserve">, Eq. (1) (kN)</w:t>
            </w:r>
          </w:p>
        </w:tc>
      </w:tr>
      <w:tr>
        <w:trPr>
          <w:cantSplit/>
        </w:trPr>
        <w:tc>
          <w:tcPr>
            <w:tcW w:type="dxa" w:w="3452"/>
          </w:tcPr>
          <w:p>
            <w:pPr>
              <w:pStyle w:val="Compact"/>
              <w:jc w:val="left"/>
            </w:pPr>
            <m:oMath>
              <m:sSub>
                <m:e>
                  <m:r>
                    <m:t>P</m:t>
                  </m:r>
                </m:e>
                <m:sub>
                  <m:r>
                    <m:rPr>
                      <m:sty m:val="p"/>
                      <m:nor/>
                    </m:rPr>
                    <m:t>tot</m:t>
                  </m:r>
                </m:sub>
              </m:sSub>
            </m:oMath>
            <w:r>
              <w:t xml:space="preserve">,</w:t>
            </w:r>
            <w:r>
              <w:t xml:space="preserve"> </w:t>
            </w:r>
            <m:oMath>
              <m:sSub>
                <m:e>
                  <m:r>
                    <m:t>P</m:t>
                  </m:r>
                </m:e>
                <m:sub>
                  <m:r>
                    <m:t>0</m:t>
                  </m:r>
                </m:sub>
              </m:sSub>
            </m:oMath>
          </w:p>
        </w:tc>
        <w:tc>
          <w:tcPr>
            <w:tcW w:type="dxa" w:w="5617"/>
          </w:tcPr>
          <w:p>
            <w:pPr>
              <w:pStyle w:val="Compact"/>
              <w:jc w:val="left"/>
            </w:pPr>
            <w:r>
              <w:t xml:space="preserve">total load of a crossing; weighed reference load (kN)</w:t>
            </w:r>
          </w:p>
        </w:tc>
      </w:tr>
      <w:tr>
        <w:trPr>
          <w:cantSplit/>
        </w:trPr>
        <w:tc>
          <w:tcPr>
            <w:tcW w:type="dxa" w:w="345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5617"/>
          </w:tcPr>
          <w:p>
            <w:pPr>
              <w:pStyle w:val="Compact"/>
              <w:jc w:val="left"/>
            </w:pPr>
            <w:r>
              <w:t xml:space="preserve">load and record integral of a target crossing; record integral of the reference crossing</w:t>
            </w:r>
          </w:p>
        </w:tc>
      </w:tr>
      <w:tr>
        <w:trPr>
          <w:cantSplit/>
        </w:trPr>
        <w:tc>
          <w:tcPr>
            <w:tcW w:type="dxa" w:w="3452"/>
          </w:tcPr>
          <w:p>
            <w:pPr>
              <w:pStyle w:val="Compact"/>
              <w:jc w:val="left"/>
            </w:pPr>
            <m:oMath>
              <m:sSub>
                <m:e>
                  <m:r>
                    <m:t>P</m:t>
                  </m:r>
                </m:e>
                <m:sub>
                  <m:r>
                    <m:t>δ</m:t>
                  </m:r>
                </m:sub>
              </m:sSub>
            </m:oMath>
          </w:p>
        </w:tc>
        <w:tc>
          <w:tcPr>
            <w:tcW w:type="dxa" w:w="5617"/>
          </w:tcPr>
          <w:p>
            <w:pPr>
              <w:pStyle w:val="Compact"/>
              <w:jc w:val="left"/>
            </w:pPr>
            <w:r>
              <w:t xml:space="preserve">offset-equivalent load</w:t>
            </w:r>
            <w:r>
              <w:t xml:space="preserve"> </w:t>
            </w:r>
            <m:oMath>
              <m:sSub>
                <m:e>
                  <m:r>
                    <m:t>δ</m:t>
                  </m:r>
                </m:e>
                <m:sub>
                  <m:r>
                    <m:t>0</m:t>
                  </m:r>
                </m:sub>
              </m:sSub>
              <m:sSub>
                <m:e>
                  <m:r>
                    <m:t>L</m:t>
                  </m:r>
                </m:e>
                <m:sub>
                  <m:r>
                    <m:rPr>
                      <m:sty m:val="p"/>
                      <m:nor/>
                    </m:rPr>
                    <m:t>tot</m:t>
                  </m:r>
                </m:sub>
              </m:sSub>
              <m:r>
                <m:rPr>
                  <m:sty m:val="p"/>
                </m:rPr>
                <m:t>/</m:t>
              </m:r>
              <m:r>
                <m:t>C</m:t>
              </m:r>
            </m:oMath>
            <w:r>
              <w:t xml:space="preserve"> </w:t>
            </w:r>
            <w:r>
              <w:t xml:space="preserve">(kN)</w:t>
            </w:r>
          </w:p>
        </w:tc>
      </w:tr>
      <w:tr>
        <w:trPr>
          <w:cantSplit/>
        </w:trPr>
        <w:tc>
          <w:tcPr>
            <w:tcW w:type="dxa" w:w="3452"/>
          </w:tcPr>
          <w:p>
            <w:pPr>
              <w:pStyle w:val="Compact"/>
              <w:jc w:val="left"/>
            </w:pPr>
            <m:oMath>
              <m:sSub>
                <m:e>
                  <m:r>
                    <m:t>q</m:t>
                  </m:r>
                </m:e>
                <m:sub>
                  <m:r>
                    <m:t>0</m:t>
                  </m:r>
                </m:sub>
              </m:sSub>
            </m:oMath>
          </w:p>
        </w:tc>
        <w:tc>
          <w:tcPr>
            <w:tcW w:type="dxa" w:w="5617"/>
          </w:tcPr>
          <w:p>
            <w:pPr>
              <w:pStyle w:val="Compact"/>
              <w:jc w:val="left"/>
            </w:pPr>
            <w:r>
              <w:t xml:space="preserve">intensity of a uniform load over the whole path (kN/m)</w:t>
            </w:r>
          </w:p>
        </w:tc>
      </w:tr>
      <w:tr>
        <w:trPr>
          <w:cantSplit/>
        </w:trPr>
        <w:tc>
          <w:tcPr>
            <w:tcW w:type="dxa" w:w="3452"/>
          </w:tcPr>
          <w:p>
            <w:pPr>
              <w:pStyle w:val="Compact"/>
              <w:jc w:val="left"/>
            </w:pPr>
            <m:oMath>
              <m:r>
                <m:t>R</m:t>
              </m:r>
            </m:oMath>
          </w:p>
        </w:tc>
        <w:tc>
          <w:tcPr>
            <w:tcW w:type="dxa" w:w="561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3452"/>
          </w:tcPr>
          <w:p>
            <w:pPr>
              <w:pStyle w:val="Compact"/>
              <w:jc w:val="left"/>
            </w:pPr>
            <m:oMath>
              <m:sSub>
                <m:e>
                  <m:r>
                    <m:t>r</m:t>
                  </m:r>
                </m:e>
                <m:sub>
                  <m:r>
                    <m:t>87</m:t>
                  </m:r>
                </m:sub>
              </m:sSub>
            </m:oMath>
          </w:p>
        </w:tc>
        <w:tc>
          <w:tcPr>
            <w:tcW w:type="dxa" w:w="561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3452"/>
          </w:tcPr>
          <w:p>
            <w:pPr>
              <w:pStyle w:val="Compact"/>
              <w:jc w:val="left"/>
            </w:pPr>
            <m:oMath>
              <m:sSub>
                <m:e>
                  <m:r>
                    <m:t>S</m:t>
                  </m:r>
                </m:e>
                <m:sub>
                  <m:r>
                    <m:t>α</m:t>
                  </m:r>
                </m:sub>
              </m:sSub>
            </m:oMath>
            <w:r>
              <w:t xml:space="preserve">,</w:t>
            </w:r>
            <w:r>
              <w:t xml:space="preserve"> </w:t>
            </w:r>
            <m:oMath>
              <m:sSub>
                <m:e>
                  <m:r>
                    <m:t>S</m:t>
                  </m:r>
                </m:e>
                <m:sub>
                  <m:r>
                    <m:t>k</m:t>
                  </m:r>
                </m:sub>
              </m:sSub>
            </m:oMath>
          </w:p>
        </w:tc>
        <w:tc>
          <w:tcPr>
            <w:tcW w:type="dxa" w:w="5617"/>
          </w:tcPr>
          <w:p>
            <w:pPr>
              <w:pStyle w:val="Compact"/>
              <w:jc w:val="left"/>
            </w:pPr>
            <w:r>
              <w:t xml:space="preserve">logarithmic sensitivities</w:t>
            </w:r>
            <w:r>
              <w:t xml:space="preserve"> </w:t>
            </w:r>
            <m:oMath>
              <m:r>
                <m:rPr>
                  <m:sty m:val="p"/>
                </m:rPr>
                <m:t>∂</m:t>
              </m:r>
              <m:r>
                <m:rPr>
                  <m:sty m:val="p"/>
                  <m:nor/>
                </m:rPr>
                <m:t>ln</m:t>
              </m:r>
              <m:sSub>
                <m:e>
                  <m:r>
                    <m:t>C</m:t>
                  </m:r>
                </m:e>
                <m:sub>
                  <m:r>
                    <m:t>m</m:t>
                  </m:r>
                </m:sub>
              </m:sSub>
              <m:r>
                <m:rPr>
                  <m:sty m:val="p"/>
                </m:rPr>
                <m:t>/</m:t>
              </m:r>
              <m:r>
                <m:rPr>
                  <m:sty m:val="p"/>
                </m:rPr>
                <m:t>∂</m:t>
              </m:r>
              <m:r>
                <m:rPr>
                  <m:sty m:val="p"/>
                  <m:nor/>
                </m:rPr>
                <m:t>ln</m:t>
              </m:r>
              <m:r>
                <m:t>α</m:t>
              </m:r>
            </m:oMath>
            <w:r>
              <w:t xml:space="preserve">,</w:t>
            </w:r>
            <w:r>
              <w:t xml:space="preserve"> </w:t>
            </w:r>
            <m:oMath>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(Section S5)</w:t>
            </w:r>
          </w:p>
        </w:tc>
      </w:tr>
      <w:tr>
        <w:trPr>
          <w:cantSplit/>
        </w:trPr>
        <w:tc>
          <w:tcPr>
            <w:tcW w:type="dxa" w:w="3452"/>
          </w:tcPr>
          <w:p>
            <w:pPr>
              <w:pStyle w:val="Compact"/>
              <w:jc w:val="left"/>
            </w:pPr>
            <m:oMath>
              <m:sSub>
                <m:e>
                  <m:r>
                    <m:t>t</m:t>
                  </m:r>
                </m:e>
                <m:sub>
                  <m:r>
                    <m:rPr>
                      <m:sty m:val="p"/>
                      <m:nor/>
                    </m:rPr>
                    <m:t>cr</m:t>
                  </m:r>
                </m:sub>
              </m:sSub>
            </m:oMath>
          </w:p>
        </w:tc>
        <w:tc>
          <w:tcPr>
            <w:tcW w:type="dxa" w:w="5617"/>
          </w:tcPr>
          <w:p>
            <w:pPr>
              <w:pStyle w:val="Compact"/>
              <w:jc w:val="left"/>
            </w:pPr>
            <w:r>
              <w:t xml:space="preserve">duration of a crossing (s)</w:t>
            </w:r>
          </w:p>
        </w:tc>
      </w:tr>
      <w:tr>
        <w:trPr>
          <w:cantSplit/>
        </w:trPr>
        <w:tc>
          <w:tcPr>
            <w:tcW w:type="dxa" w:w="3452"/>
          </w:tcPr>
          <w:p>
            <w:pPr>
              <w:pStyle w:val="Compact"/>
              <w:jc w:val="left"/>
            </w:pPr>
            <m:oMath>
              <m:r>
                <m:t>w</m:t>
              </m:r>
            </m:oMath>
            <w:r>
              <w:t xml:space="preserve">,</w:t>
            </w:r>
            <w:r>
              <w:t xml:space="preserve"> </w:t>
            </w:r>
            <m:oMath>
              <m:sSub>
                <m:e>
                  <m:r>
                    <m:t>w</m:t>
                  </m:r>
                </m:e>
                <m:sub>
                  <m:r>
                    <m:t>q</m:t>
                  </m:r>
                </m:sub>
              </m:sSub>
            </m:oMath>
          </w:p>
        </w:tc>
        <w:tc>
          <w:tcPr>
            <w:tcW w:type="dxa" w:w="561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r>
                <m:t>x</m:t>
              </m:r>
            </m:oMath>
            <w:r>
              <w:t xml:space="preserve">,</w:t>
            </w:r>
            <w:r>
              <w:t xml:space="preserve"> </w:t>
            </w:r>
            <m:oMath>
              <m:sSub>
                <m:e>
                  <m:r>
                    <m:t>x</m:t>
                  </m:r>
                </m:e>
                <m:sub>
                  <m:r>
                    <m:t>m</m:t>
                  </m:r>
                </m:sub>
              </m:sSub>
            </m:oMath>
          </w:p>
        </w:tc>
        <w:tc>
          <w:tcPr>
            <w:tcW w:type="dxa" w:w="5617"/>
          </w:tcPr>
          <w:p>
            <w:pPr>
              <w:pStyle w:val="Compact"/>
              <w:jc w:val="left"/>
            </w:pPr>
            <w:r>
              <w:t xml:space="preserve">coordinate along the path or span (in Eq. (1), position of the first axle); position of the sensor of channel</w:t>
            </w:r>
            <w:r>
              <w:t xml:space="preserve"> </w:t>
            </w:r>
            <m:oMath>
              <m:r>
                <m:t>m</m:t>
              </m:r>
            </m:oMath>
            <w:r>
              <w:t xml:space="preserve"> </w:t>
            </w:r>
            <w:r>
              <w:t xml:space="preserve">(m)</w:t>
            </w:r>
          </w:p>
        </w:tc>
      </w:tr>
      <w:tr>
        <w:trPr>
          <w:cantSplit/>
        </w:trPr>
        <w:tc>
          <w:tcPr>
            <w:tcW w:type="dxa" w:w="3452"/>
          </w:tcPr>
          <w:p>
            <w:pPr>
              <w:pStyle w:val="Compact"/>
              <w:jc w:val="left"/>
            </w:pPr>
            <m:oMath>
              <m:sSub>
                <m:e>
                  <m:r>
                    <m:t>y</m:t>
                  </m:r>
                </m:e>
                <m:sub>
                  <m:r>
                    <m:t>m</m:t>
                  </m:r>
                </m:sub>
              </m:sSub>
            </m:oMath>
          </w:p>
        </w:tc>
        <w:tc>
          <w:tcPr>
            <w:tcW w:type="dxa" w:w="5617"/>
          </w:tcPr>
          <w:p>
            <w:pPr>
              <w:pStyle w:val="Compact"/>
              <w:jc w:val="left"/>
            </w:pPr>
            <w:r>
              <w:t xml:space="preserve">record of the channel at</w:t>
            </w:r>
            <w:r>
              <w:t xml:space="preserve"> </w:t>
            </w:r>
            <m:oMath>
              <m:r>
                <m:t>m</m:t>
              </m:r>
            </m:oMath>
            <w:r>
              <w:t xml:space="preserve">, Eq. (1)</w:t>
            </w:r>
          </w:p>
        </w:tc>
      </w:tr>
      <w:tr>
        <w:trPr>
          <w:cantSplit/>
        </w:trPr>
        <w:tc>
          <w:tcPr>
            <w:tcW w:type="dxa" w:w="3452"/>
          </w:tcPr>
          <w:p>
            <w:pPr>
              <w:pStyle w:val="Compact"/>
              <w:jc w:val="left"/>
            </w:pPr>
            <m:oMath>
              <m:r>
                <m:t>α</m:t>
              </m:r>
            </m:oMath>
          </w:p>
        </w:tc>
        <w:tc>
          <w:tcPr>
            <w:tcW w:type="dxa" w:w="5617"/>
          </w:tcPr>
          <w:p>
            <w:pPr>
              <w:pStyle w:val="Compact"/>
              <w:jc w:val="left"/>
            </w:pPr>
            <w:r>
              <w:t xml:space="preserve">ratio of effective to design girder rigidity</w:t>
            </w:r>
          </w:p>
        </w:tc>
      </w:tr>
      <w:tr>
        <w:trPr>
          <w:cantSplit/>
        </w:trPr>
        <w:tc>
          <w:tcPr>
            <w:tcW w:type="dxa" w:w="3452"/>
          </w:tcPr>
          <w:p>
            <w:pPr>
              <w:pStyle w:val="Compact"/>
              <w:jc w:val="left"/>
            </w:pPr>
            <m:oMath>
              <m:r>
                <m:t>β</m:t>
              </m:r>
            </m:oMath>
          </w:p>
        </w:tc>
        <w:tc>
          <w:tcPr>
            <w:tcW w:type="dxa" w:w="5617"/>
          </w:tcPr>
          <w:p>
            <w:pPr>
              <w:pStyle w:val="Compact"/>
              <w:jc w:val="left"/>
            </w:pPr>
            <w:r>
              <w:t xml:space="preserve">main-to-side span ratio</w:t>
            </w:r>
            <w:r>
              <w:t xml:space="preserve"> </w:t>
            </w:r>
            <m:oMath>
              <m:sSub>
                <m:e>
                  <m:r>
                    <m:t>L</m:t>
                  </m:r>
                </m:e>
                <m:sub>
                  <m:r>
                    <m:rPr>
                      <m:sty m:val="p"/>
                      <m:nor/>
                    </m:rPr>
                    <m:t>main</m:t>
                  </m:r>
                </m:sub>
              </m:sSub>
              <m:r>
                <m:rPr>
                  <m:sty m:val="p"/>
                </m:rPr>
                <m:t>/</m:t>
              </m:r>
              <m:sSub>
                <m:e>
                  <m:r>
                    <m:t>L</m:t>
                  </m:r>
                </m:e>
                <m:sub>
                  <m:r>
                    <m:rPr>
                      <m:sty m:val="p"/>
                      <m:nor/>
                    </m:rPr>
                    <m:t>side</m:t>
                  </m:r>
                </m:sub>
              </m:sSub>
            </m:oMath>
            <w:r>
              <w:t xml:space="preserve"> </w:t>
            </w:r>
            <w:r>
              <w:t xml:space="preserve">(three spans)</w:t>
            </w:r>
          </w:p>
        </w:tc>
      </w:tr>
      <w:tr>
        <w:trPr>
          <w:cantSplit/>
        </w:trPr>
        <w:tc>
          <w:tcPr>
            <w:tcW w:type="dxa" w:w="3452"/>
          </w:tcPr>
          <w:p>
            <w:pPr>
              <w:pStyle w:val="Compact"/>
              <w:jc w:val="left"/>
            </w:pPr>
            <m:oMath>
              <m:r>
                <m:t>γ</m:t>
              </m:r>
            </m:oMath>
          </w:p>
        </w:tc>
        <w:tc>
          <w:tcPr>
            <w:tcW w:type="dxa" w:w="561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(three spans)</w:t>
            </w:r>
          </w:p>
        </w:tc>
      </w:tr>
      <w:tr>
        <w:trPr>
          <w:cantSplit/>
        </w:trPr>
        <w:tc>
          <w:tcPr>
            <w:tcW w:type="dxa" w:w="3452"/>
          </w:tcPr>
          <w:p>
            <w:pPr>
              <w:pStyle w:val="Compact"/>
              <w:jc w:val="left"/>
            </w:pPr>
            <m:oMath>
              <m:sSub>
                <m:e>
                  <m:r>
                    <m:t>δ</m:t>
                  </m:r>
                </m:e>
                <m:sub>
                  <m:r>
                    <m:t>0</m:t>
                  </m:r>
                </m:sub>
              </m:sSub>
            </m:oMath>
          </w:p>
        </w:tc>
        <w:tc>
          <w:tcPr>
            <w:tcW w:type="dxa" w:w="5617"/>
          </w:tcPr>
          <w:p>
            <w:pPr>
              <w:pStyle w:val="Compact"/>
              <w:jc w:val="left"/>
            </w:pPr>
            <w:r>
              <w:t xml:space="preserve">residual zero offset after re-zeroing before and after a crossing, in the units of the channel (mm for deflection)</w:t>
            </w:r>
          </w:p>
        </w:tc>
      </w:tr>
      <w:tr>
        <w:trPr>
          <w:cantSplit/>
        </w:trPr>
        <w:tc>
          <w:tcPr>
            <w:tcW w:type="dxa" w:w="3452"/>
          </w:tcPr>
          <w:p>
            <w:pPr>
              <w:pStyle w:val="Compact"/>
              <w:jc w:val="left"/>
            </w:pPr>
            <m:oMath>
              <m:r>
                <m:t>ζ</m:t>
              </m:r>
            </m:oMath>
          </w:p>
        </w:tc>
        <w:tc>
          <w:tcPr>
            <w:tcW w:type="dxa" w:w="5617"/>
          </w:tcPr>
          <w:p>
            <w:pPr>
              <w:pStyle w:val="Compact"/>
              <w:jc w:val="left"/>
            </w:pPr>
            <w:r>
              <w:t xml:space="preserve">position in the main span from the pier, as a fraction of the main span</w:t>
            </w:r>
          </w:p>
        </w:tc>
      </w:tr>
      <w:tr>
        <w:trPr>
          <w:cantSplit/>
        </w:trPr>
        <w:tc>
          <w:tcPr>
            <w:tcW w:type="dxa" w:w="3452"/>
          </w:tcPr>
          <w:p>
            <w:pPr>
              <w:pStyle w:val="Compact"/>
              <w:jc w:val="left"/>
            </w:pPr>
            <m:oMath>
              <m:sSub>
                <m:e>
                  <m:r>
                    <m:t>η</m:t>
                  </m:r>
                </m:e>
                <m:sub>
                  <m:r>
                    <m:t>m</m:t>
                  </m:r>
                </m:sub>
              </m:sSub>
            </m:oMath>
          </w:p>
        </w:tc>
        <w:tc>
          <w:tcPr>
            <w:tcW w:type="dxa" w:w="5617"/>
          </w:tcPr>
          <w:p>
            <w:pPr>
              <w:pStyle w:val="Compact"/>
              <w:jc w:val="left"/>
            </w:pPr>
            <w:r>
              <w:t xml:space="preserve">influence line of the channel at</w:t>
            </w:r>
            <w:r>
              <w:t xml:space="preserve"> </w:t>
            </w:r>
            <m:oMath>
              <m:r>
                <m:t>m</m:t>
              </m:r>
            </m:oMath>
          </w:p>
        </w:tc>
      </w:tr>
      <w:tr>
        <w:trPr>
          <w:cantSplit/>
        </w:trPr>
        <w:tc>
          <w:tcPr>
            <w:tcW w:type="dxa" w:w="3452"/>
          </w:tcPr>
          <w:p>
            <w:pPr>
              <w:pStyle w:val="Compact"/>
              <w:jc w:val="left"/>
            </w:pPr>
            <m:oMath>
              <m:r>
                <m:t>κ</m:t>
              </m:r>
            </m:oMath>
          </w:p>
        </w:tc>
        <w:tc>
          <w:tcPr>
            <w:tcW w:type="dxa" w:w="561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3452"/>
          </w:tcPr>
          <w:p>
            <w:pPr>
              <w:pStyle w:val="Compact"/>
              <w:jc w:val="left"/>
            </w:pPr>
            <m:oMath>
              <m:r>
                <m:t>λ</m:t>
              </m:r>
            </m:oMath>
            <w:r>
              <w:t xml:space="preserve">,</w:t>
            </w:r>
            <w:r>
              <w:t xml:space="preserve"> </w:t>
            </w:r>
            <m:oMath>
              <m:sSub>
                <m:e>
                  <m:r>
                    <m:t>λ</m:t>
                  </m:r>
                </m:e>
                <m:sub>
                  <m:r>
                    <m:rPr>
                      <m:sty m:val="p"/>
                      <m:nor/>
                    </m:rPr>
                    <m:t>crit</m:t>
                  </m:r>
                </m:sub>
              </m:sSub>
            </m:oMath>
          </w:p>
        </w:tc>
        <w:tc>
          <w:tcPr>
            <w:tcW w:type="dxa" w:w="561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 its blind value for a mid-span deflection gauge, Eq. (S1)</w:t>
            </w:r>
          </w:p>
        </w:tc>
      </w:tr>
      <w:tr>
        <w:trPr>
          <w:cantSplit/>
        </w:trPr>
        <w:tc>
          <w:tcPr>
            <w:tcW w:type="dxa" w:w="3452"/>
          </w:tcPr>
          <w:p>
            <w:pPr>
              <w:pStyle w:val="Compact"/>
              <w:jc w:val="left"/>
            </w:pPr>
            <m:oMath>
              <m:r>
                <m:t>μ</m:t>
              </m:r>
            </m:oMath>
          </w:p>
        </w:tc>
        <w:tc>
          <w:tcPr>
            <w:tcW w:type="dxa" w:w="561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nor/>
                    </m:rPr>
                    <m:t>side</m:t>
                  </m:r>
                </m:sub>
              </m:sSub>
            </m:oMath>
            <w:r>
              <w:t xml:space="preserve"> </w:t>
            </w:r>
            <w:r>
              <w:t xml:space="preserve">(three spans); Eqs. (4), (14)</w:t>
            </w:r>
          </w:p>
        </w:tc>
      </w:tr>
      <w:tr>
        <w:trPr>
          <w:cantSplit/>
        </w:trPr>
        <w:tc>
          <w:tcPr>
            <w:tcW w:type="dxa" w:w="3452"/>
          </w:tcPr>
          <w:p>
            <w:pPr>
              <w:pStyle w:val="Compact"/>
              <w:jc w:val="left"/>
            </w:pPr>
            <m:oMath>
              <m:sSub>
                <m:e>
                  <m:r>
                    <m:t>μ</m:t>
                  </m:r>
                </m:e>
                <m:sub>
                  <m:r>
                    <m:rPr>
                      <m:sty m:val="p"/>
                      <m:nor/>
                    </m:rPr>
                    <m:t>crit</m:t>
                  </m:r>
                </m:sub>
              </m:sSub>
            </m:oMath>
          </w:p>
        </w:tc>
        <w:tc>
          <w:tcPr>
            <w:tcW w:type="dxa" w:w="5617"/>
          </w:tcPr>
          <w:p>
            <w:pPr>
              <w:pStyle w:val="Compact"/>
              <w:jc w:val="left"/>
            </w:pPr>
            <w:r>
              <w:t xml:space="preserve">value of</w:t>
            </w:r>
            <w:r>
              <w:t xml:space="preserve"> </w:t>
            </w:r>
            <m:oMath>
              <m:r>
                <m:t>μ</m:t>
              </m:r>
            </m:oMath>
            <w:r>
              <w:t xml:space="preserve"> </w:t>
            </w:r>
            <w:r>
              <w:t xml:space="preserve">at which a deflection gauge at</w:t>
            </w:r>
            <w:r>
              <w:t xml:space="preserve"> </w:t>
            </w:r>
            <m:oMath>
              <m:r>
                <m:t>ξ</m:t>
              </m:r>
            </m:oMath>
            <w:r>
              <w:t xml:space="preserve"> </w:t>
            </w:r>
            <w:r>
              <w:t xml:space="preserve">is blind, Eq. (6)</w:t>
            </w:r>
          </w:p>
        </w:tc>
      </w:tr>
      <w:tr>
        <w:trPr>
          <w:cantSplit/>
        </w:trPr>
        <w:tc>
          <w:tcPr>
            <w:tcW w:type="dxa" w:w="3452"/>
          </w:tcPr>
          <w:p>
            <w:pPr>
              <w:pStyle w:val="Compact"/>
              <w:jc w:val="left"/>
            </w:pPr>
            <m:oMath>
              <m:r>
                <m:t>ν</m:t>
              </m:r>
            </m:oMath>
          </w:p>
        </w:tc>
        <w:tc>
          <w:tcPr>
            <w:tcW w:type="dxa" w:w="5617"/>
          </w:tcPr>
          <w:p>
            <w:pPr>
              <w:pStyle w:val="Compact"/>
              <w:jc w:val="left"/>
            </w:pPr>
            <w:r>
              <w:t xml:space="preserve">deflection coefficient of the main span of a symmetric three-span beam,</w:t>
            </w:r>
            <w:r>
              <w:t xml:space="preserve"> </w:t>
            </w:r>
            <m:oMath>
              <m:r>
                <m:t>ν</m:t>
              </m:r>
              <m:r>
                <m:rPr>
                  <m:sty m:val="p"/>
                </m:rPr>
                <m:t>=</m:t>
              </m:r>
              <m:r>
                <m:t>1.5</m:t>
              </m:r>
              <m:sSub>
                <m:e>
                  <m:acc>
                    <m:accPr>
                      <m:chr m:val="¯"/>
                    </m:accPr>
                    <m:e>
                      <m:r>
                        <m:t>M</m:t>
                      </m:r>
                    </m:e>
                  </m:acc>
                </m:e>
                <m:sub>
                  <m:r>
                    <m:rPr>
                      <m:sty m:val="p"/>
                      <m:nor/>
                    </m:rPr>
                    <m:t>main</m:t>
                  </m:r>
                </m:sub>
              </m:sSub>
            </m:oMath>
            <w:r>
              <w:t xml:space="preserve"> </w:t>
            </w:r>
            <w:r>
              <w:t xml:space="preserve">for pinned piers (Section S2)</w:t>
            </w:r>
          </w:p>
        </w:tc>
      </w:tr>
      <w:tr>
        <w:trPr>
          <w:cantSplit/>
        </w:trPr>
        <w:tc>
          <w:tcPr>
            <w:tcW w:type="dxa" w:w="3452"/>
          </w:tcPr>
          <w:p>
            <w:pPr>
              <w:pStyle w:val="Compact"/>
              <w:jc w:val="left"/>
            </w:pPr>
            <m:oMath>
              <m:sSup>
                <m:e>
                  <m:r>
                    <m:t>r</m:t>
                  </m:r>
                </m:e>
                <m:sup>
                  <m:r>
                    <m:t>2</m:t>
                  </m:r>
                </m:sup>
              </m:sSup>
            </m:oMath>
          </w:p>
        </w:tc>
        <w:tc>
          <w:tcPr>
            <w:tcW w:type="dxa" w:w="5617"/>
          </w:tcPr>
          <w:p>
            <w:pPr>
              <w:pStyle w:val="Compact"/>
              <w:jc w:val="left"/>
            </w:pPr>
            <w:r>
              <w:t xml:space="preserve">coefficient of determination</w:t>
            </w:r>
          </w:p>
        </w:tc>
      </w:tr>
      <w:tr>
        <w:trPr>
          <w:cantSplit/>
        </w:trPr>
        <w:tc>
          <w:tcPr>
            <w:tcW w:type="dxa" w:w="3452"/>
          </w:tcPr>
          <w:p>
            <w:pPr>
              <w:pStyle w:val="Compact"/>
              <w:jc w:val="left"/>
            </w:pPr>
            <m:oMath>
              <m:r>
                <m:t>ρ</m:t>
              </m:r>
            </m:oMath>
          </w:p>
        </w:tc>
        <w:tc>
          <w:tcPr>
            <w:tcW w:type="dxa" w:w="5617"/>
          </w:tcPr>
          <w:p>
            <w:pPr>
              <w:pStyle w:val="Compact"/>
              <w:jc w:val="left"/>
            </w:pPr>
            <w:r>
              <w:t xml:space="preserve">common-mode fraction of the offset or noise between channels</w:t>
            </w:r>
          </w:p>
        </w:tc>
      </w:tr>
      <w:tr>
        <w:trPr>
          <w:cantSplit/>
        </w:trPr>
        <w:tc>
          <w:tcPr>
            <w:tcW w:type="dxa" w:w="3452"/>
          </w:tcPr>
          <w:p>
            <w:pPr>
              <w:pStyle w:val="Compact"/>
              <w:jc w:val="left"/>
            </w:pPr>
            <m:oMath>
              <m:r>
                <m:t>Σ</m:t>
              </m:r>
            </m:oMath>
          </w:p>
        </w:tc>
        <w:tc>
          <w:tcPr>
            <w:tcW w:type="dxa" w:w="5617"/>
          </w:tcPr>
          <w:p>
            <w:pPr>
              <w:pStyle w:val="Compact"/>
              <w:jc w:val="left"/>
            </w:pPr>
            <w:r>
              <w:t xml:space="preserve">covariance matrix of the channel integrals</w:t>
            </w:r>
          </w:p>
        </w:tc>
      </w:tr>
      <w:tr>
        <w:trPr>
          <w:cantSplit/>
        </w:trPr>
        <w:tc>
          <w:tcPr>
            <w:tcW w:type="dxa" w:w="3452"/>
          </w:tcPr>
          <w:p>
            <w:pPr>
              <w:pStyle w:val="Compact"/>
              <w:jc w:val="left"/>
            </w:pPr>
            <m:oMath>
              <m:r>
                <m:t>σ</m:t>
              </m:r>
            </m:oMath>
            <w:r>
              <w:t xml:space="preserve">,</w:t>
            </w:r>
            <w:r>
              <w:t xml:space="preserve"> </w:t>
            </w:r>
            <m:oMath>
              <m:r>
                <m:t>Δ</m:t>
              </m:r>
              <m:r>
                <m:t>x</m:t>
              </m:r>
            </m:oMath>
          </w:p>
        </w:tc>
        <w:tc>
          <w:tcPr>
            <w:tcW w:type="dxa" w:w="5617"/>
          </w:tcPr>
          <w:p>
            <w:pPr>
              <w:pStyle w:val="Compact"/>
              <w:jc w:val="left"/>
            </w:pPr>
            <w:r>
              <w:t xml:space="preserve">standard deviation of the white noise of a record; sampling interval along the record</w:t>
            </w:r>
          </w:p>
        </w:tc>
      </w:tr>
      <w:tr>
        <w:trPr>
          <w:cantSplit/>
        </w:trPr>
        <w:tc>
          <w:tcPr>
            <w:tcW w:type="dxa" w:w="3452"/>
          </w:tcPr>
          <w:p>
            <w:pPr>
              <w:pStyle w:val="Compact"/>
              <w:jc w:val="left"/>
            </w:pPr>
            <m:oMath>
              <m:sSub>
                <m:e>
                  <m:r>
                    <m:t>σ</m:t>
                  </m:r>
                </m:e>
                <m:sub>
                  <m:r>
                    <m:t>P</m:t>
                  </m:r>
                  <m:r>
                    <m:rPr>
                      <m:sty m:val="p"/>
                    </m:rPr>
                    <m:t>,</m:t>
                  </m:r>
                  <m:r>
                    <m:rPr>
                      <m:sty m:val="p"/>
                      <m:nor/>
                    </m:rPr>
                    <m:t>noise</m:t>
                  </m:r>
                </m:sub>
              </m:sSub>
            </m:oMath>
          </w:p>
        </w:tc>
        <w:tc>
          <w:tcPr>
            <w:tcW w:type="dxa" w:w="5617"/>
          </w:tcPr>
          <w:p>
            <w:pPr>
              <w:pStyle w:val="Compact"/>
              <w:jc w:val="left"/>
            </w:pPr>
            <w:r>
              <w:t xml:space="preserve">standard deviation of the load estimate caused by white noise</w:t>
            </w:r>
          </w:p>
        </w:tc>
      </w:tr>
      <w:tr>
        <w:trPr>
          <w:cantSplit/>
        </w:trPr>
        <w:tc>
          <w:tcPr>
            <w:tcW w:type="dxa" w:w="3452"/>
          </w:tcPr>
          <w:p>
            <w:pPr>
              <w:pStyle w:val="Compact"/>
              <w:jc w:val="left"/>
            </w:pPr>
            <m:oMath>
              <m:r>
                <m:t>τ</m:t>
              </m:r>
            </m:oMath>
          </w:p>
        </w:tc>
        <w:tc>
          <w:tcPr>
            <w:tcW w:type="dxa" w:w="5617"/>
          </w:tcPr>
          <w:p>
            <w:pPr>
              <w:pStyle w:val="Compact"/>
              <w:jc w:val="left"/>
            </w:pPr>
            <w:r>
              <w:t xml:space="preserve">tolerance on the static misfit of a gauge</w:t>
            </w:r>
          </w:p>
        </w:tc>
      </w:tr>
      <w:tr>
        <w:trPr>
          <w:cantSplit/>
        </w:trPr>
        <w:tc>
          <w:tcPr>
            <w:tcW w:type="dxa" w:w="3452"/>
          </w:tcPr>
          <w:p>
            <w:pPr>
              <w:pStyle w:val="Compact"/>
              <w:jc w:val="left"/>
            </w:pPr>
            <m:oMath>
              <m:r>
                <m:t>ξ</m:t>
              </m:r>
            </m:oMath>
            <w:r>
              <w:t xml:space="preserve">,</w:t>
            </w:r>
            <w:r>
              <w:t xml:space="preserve"> </w:t>
            </w:r>
            <m:oMath>
              <m:sSub>
                <m:e>
                  <m:r>
                    <m:t>ξ</m:t>
                  </m:r>
                </m:e>
                <m:sub>
                  <m:r>
                    <m:t>0</m:t>
                  </m:r>
                </m:sub>
              </m:sSub>
            </m:oMath>
            <w:r>
              <w:t xml:space="preserve">,</w:t>
            </w:r>
            <w:r>
              <w:t xml:space="preserve"> </w:t>
            </w:r>
            <m:oMath>
              <m:sSup>
                <m:e>
                  <m:r>
                    <m:t>ξ</m:t>
                  </m:r>
                </m:e>
                <m:sup>
                  <m:r>
                    <m:rPr>
                      <m:nor/>
                    </m:rPr>
                    <m:t>*</m:t>
                  </m:r>
                </m:sup>
              </m:sSup>
            </m:oMath>
          </w:p>
        </w:tc>
        <w:tc>
          <w:tcPr>
            <w:tcW w:type="dxa" w:w="5617"/>
          </w:tcPr>
          <w:p>
            <w:pPr>
              <w:pStyle w:val="Compact"/>
              <w:jc w:val="left"/>
            </w:pPr>
            <w:r>
              <w:t xml:space="preserve">sensor position as a fraction of its span; zero of the uniform-load moment in the span (main span:</w:t>
            </w:r>
            <w:r>
              <w:t xml:space="preserve"> </w:t>
            </w:r>
            <m:oMath>
              <m:sSub>
                <m:e>
                  <m:r>
                    <m:t>ζ</m:t>
                  </m:r>
                </m:e>
                <m:sub>
                  <m:r>
                    <m:t>0</m:t>
                  </m:r>
                </m:sub>
              </m:sSub>
            </m:oMath>
            <w:r>
              <w:t xml:space="preserve">); optimal side-span position, Eq. (S1) and Table S2</w:t>
            </w:r>
          </w:p>
        </w:tc>
      </w:tr>
      <w:tr>
        <w:trPr>
          <w:cantSplit/>
        </w:trPr>
        <w:tc>
          <w:tcPr>
            <w:tcW w:type="dxa" w:w="3452"/>
          </w:tcPr>
          <w:p>
            <w:pPr>
              <w:pStyle w:val="Compact"/>
              <w:jc w:val="left"/>
            </w:pPr>
            <m:oMath>
              <m:r>
                <m:t>Φ</m:t>
              </m:r>
            </m:oMath>
          </w:p>
        </w:tc>
        <w:tc>
          <w:tcPr>
            <w:tcW w:type="dxa" w:w="5617"/>
          </w:tcPr>
          <w:p>
            <w:pPr>
              <w:pStyle w:val="Compact"/>
              <w:jc w:val="left"/>
            </w:pPr>
            <w:r>
              <w:t xml:space="preserve">normalized uniform-load deflection of a prismatic span with end moments (Section S3)</w:t>
            </w:r>
          </w:p>
        </w:tc>
      </w:tr>
      <w:tr>
        <w:trPr>
          <w:cantSplit/>
        </w:trPr>
        <w:tc>
          <w:tcPr>
            <w:tcW w:type="dxa" w:w="3452"/>
          </w:tcPr>
          <w:p>
            <w:pPr>
              <w:pStyle w:val="Compact"/>
              <w:jc w:val="left"/>
            </w:pPr>
            <w:r>
              <w:t xml:space="preserve">BPM</w:t>
            </w:r>
          </w:p>
        </w:tc>
        <w:tc>
          <w:tcPr>
            <w:tcW w:type="dxa" w:w="5617"/>
          </w:tcPr>
          <w:p>
            <w:pPr>
              <w:pStyle w:val="Compact"/>
              <w:jc w:val="left"/>
            </w:pPr>
            <w:r>
              <w:t xml:space="preserve">beam-property method: load = record integral / modeled constant</w:t>
            </w:r>
          </w:p>
        </w:tc>
      </w:tr>
      <w:tr>
        <w:trPr>
          <w:cantSplit/>
        </w:trPr>
        <w:tc>
          <w:tcPr>
            <w:tcW w:type="dxa" w:w="3452"/>
          </w:tcPr>
          <w:p>
            <w:pPr>
              <w:pStyle w:val="Compact"/>
              <w:jc w:val="left"/>
            </w:pPr>
            <w:r>
              <w:t xml:space="preserve">SLM</w:t>
            </w:r>
          </w:p>
        </w:tc>
        <w:tc>
          <w:tcPr>
            <w:tcW w:type="dxa" w:w="5617"/>
          </w:tcPr>
          <w:p>
            <w:pPr>
              <w:pStyle w:val="Compact"/>
              <w:jc w:val="left"/>
            </w:pPr>
            <w:r>
              <w:t xml:space="preserve">standard-load method: constant taken from a crossing of known weight</w:t>
            </w:r>
          </w:p>
        </w:tc>
      </w:tr>
      <w:tr>
        <w:trPr>
          <w:cantSplit/>
        </w:trPr>
        <w:tc>
          <w:tcPr>
            <w:tcW w:type="dxa" w:w="3452"/>
          </w:tcPr>
          <w:p>
            <w:pPr>
              <w:pStyle w:val="Compact"/>
              <w:jc w:val="left"/>
            </w:pPr>
            <w:r>
              <w:t xml:space="preserve">WIM, BWIM, NOR</w:t>
            </w:r>
          </w:p>
        </w:tc>
        <w:tc>
          <w:tcPr>
            <w:tcW w:type="dxa" w:w="5617"/>
          </w:tcPr>
          <w:p>
            <w:pPr>
              <w:pStyle w:val="Compact"/>
              <w:jc w:val="left"/>
            </w:pPr>
            <w:r>
              <w:t xml:space="preserve">weigh-in-motion; bridge weigh-in-motion; Nothing-on-Road (no sensors on the road surface)</w:t>
            </w:r>
          </w:p>
        </w:tc>
      </w:tr>
      <w:tr>
        <w:trPr>
          <w:cantSplit/>
        </w:trPr>
        <w:tc>
          <w:tcPr>
            <w:tcW w:type="dxa" w:w="3452"/>
          </w:tcPr>
          <w:p>
            <w:pPr>
              <w:pStyle w:val="Compact"/>
              <w:jc w:val="left"/>
            </w:pPr>
            <w:r>
              <w:t xml:space="preserve">CI, CV, MAE, SD</w:t>
            </w:r>
          </w:p>
        </w:tc>
        <w:tc>
          <w:tcPr>
            <w:tcW w:type="dxa" w:w="5617"/>
          </w:tcPr>
          <w:p>
            <w:pPr>
              <w:pStyle w:val="Compact"/>
              <w:jc w:val="left"/>
            </w:pPr>
            <w:r>
              <w:t xml:space="preserve">confidence interval; coefficient of variation; mean absolute error; standard deviation</w:t>
            </w:r>
          </w:p>
        </w:tc>
      </w:tr>
      <w:tr>
        <w:trPr>
          <w:cantSplit/>
        </w:trPr>
        <w:tc>
          <w:tcPr>
            <w:tcW w:type="dxa" w:w="3452"/>
          </w:tcPr>
          <w:p>
            <w:pPr>
              <w:pStyle w:val="Compact"/>
              <w:jc w:val="left"/>
            </w:pPr>
            <w:r>
              <w:t xml:space="preserve">FE</w:t>
            </w:r>
          </w:p>
        </w:tc>
        <w:tc>
          <w:tcPr>
            <w:tcW w:type="dxa" w:w="5617"/>
          </w:tcPr>
          <w:p>
            <w:pPr>
              <w:pStyle w:val="Compact"/>
              <w:jc w:val="left"/>
            </w:pPr>
            <w:r>
              <w:t xml:space="preserve">finite element</w:t>
            </w:r>
          </w:p>
        </w:tc>
      </w:tr>
      <w:tr>
        <w:trPr>
          <w:cantSplit/>
        </w:trPr>
        <w:tc>
          <w:tcPr>
            <w:tcW w:type="dxa" w:w="3452"/>
          </w:tcPr>
          <w:p>
            <w:pPr>
              <w:pStyle w:val="Compact"/>
              <w:jc w:val="left"/>
            </w:pPr>
            <w:r>
              <w:t xml:space="preserve">GLS</w:t>
            </w:r>
          </w:p>
        </w:tc>
        <w:tc>
          <w:tcPr>
            <w:tcW w:type="dxa" w:w="5617"/>
          </w:tcPr>
          <w:p>
            <w:pPr>
              <w:pStyle w:val="Compact"/>
              <w:jc w:val="left"/>
            </w:pPr>
            <w:r>
              <w:t xml:space="preserve">generalized least squares</w:t>
            </w:r>
          </w:p>
        </w:tc>
      </w:tr>
      <w:tr>
        <w:trPr>
          <w:cantSplit/>
        </w:trPr>
        <w:tc>
          <w:tcPr>
            <w:tcW w:type="dxa" w:w="3452"/>
          </w:tcPr>
          <w:p>
            <w:pPr>
              <w:pStyle w:val="Compact"/>
              <w:jc w:val="left"/>
            </w:pPr>
            <w:r>
              <w:t xml:space="preserve">GUM</w:t>
            </w:r>
          </w:p>
        </w:tc>
        <w:tc>
          <w:tcPr>
            <w:tcW w:type="dxa" w:w="5617"/>
          </w:tcPr>
          <w:p>
            <w:pPr>
              <w:pStyle w:val="Compact"/>
              <w:jc w:val="left"/>
            </w:pPr>
            <w:r>
              <w:t xml:space="preserve">Guide to the Expression of Uncertainty in Measurement</w:t>
            </w:r>
          </w:p>
        </w:tc>
      </w:tr>
      <w:tr>
        <w:trPr>
          <w:cantSplit/>
        </w:trPr>
        <w:tc>
          <w:tcPr>
            <w:tcW w:type="dxa" w:w="3452"/>
          </w:tcPr>
          <w:p>
            <w:pPr>
              <w:pStyle w:val="Compact"/>
              <w:jc w:val="left"/>
            </w:pPr>
            <w:r>
              <w:t xml:space="preserve">GVW</w:t>
            </w:r>
          </w:p>
        </w:tc>
        <w:tc>
          <w:tcPr>
            <w:tcW w:type="dxa" w:w="5617"/>
          </w:tcPr>
          <w:p>
            <w:pPr>
              <w:pStyle w:val="Compact"/>
              <w:jc w:val="left"/>
            </w:pPr>
            <w:r>
              <w:t xml:space="preserve">gross vehicle weight</w:t>
            </w:r>
          </w:p>
        </w:tc>
      </w:tr>
      <w:tr>
        <w:trPr>
          <w:cantSplit/>
        </w:trPr>
        <w:tc>
          <w:tcPr>
            <w:tcW w:type="dxa" w:w="3452"/>
          </w:tcPr>
          <w:p>
            <w:pPr>
              <w:pStyle w:val="Compact"/>
              <w:jc w:val="left"/>
            </w:pPr>
            <w:r>
              <w:t xml:space="preserve">LOO, LOTO</w:t>
            </w:r>
          </w:p>
        </w:tc>
        <w:tc>
          <w:tcPr>
            <w:tcW w:type="dxa" w:w="5617"/>
          </w:tcPr>
          <w:p>
            <w:pPr>
              <w:pStyle w:val="Compact"/>
              <w:jc w:val="left"/>
            </w:pPr>
            <w:r>
              <w:t xml:space="preserve">leave-one-run-out and leave-one-truck-out cross-validation</w:t>
            </w:r>
          </w:p>
        </w:tc>
      </w:tr>
      <w:tr>
        <w:trPr>
          <w:cantSplit/>
        </w:trPr>
        <w:tc>
          <w:tcPr>
            <w:tcW w:type="dxa" w:w="3452"/>
          </w:tcPr>
          <w:p>
            <w:pPr>
              <w:pStyle w:val="Compact"/>
              <w:jc w:val="left"/>
            </w:pPr>
            <w:r>
              <w:t xml:space="preserve">TOST</w:t>
            </w:r>
          </w:p>
        </w:tc>
        <w:tc>
          <w:tcPr>
            <w:tcW w:type="dxa" w:w="5617"/>
          </w:tcPr>
          <w:p>
            <w:pPr>
              <w:pStyle w:val="Compact"/>
              <w:jc w:val="left"/>
            </w:pPr>
            <w:r>
              <w:t xml:space="preserve">two one-sided tests of equivalence</w:t>
            </w:r>
          </w:p>
        </w:tc>
      </w:tr>
      <w:tr>
        <w:trPr>
          <w:cantSplit/>
        </w:trPr>
        <w:tc>
          <w:tcPr>
            <w:tcW w:type="dxa" w:w="3452"/>
          </w:tcPr>
          <w:p>
            <w:pPr>
              <w:pStyle w:val="Compact"/>
              <w:jc w:val="left"/>
            </w:pPr>
            <w:r>
              <w:t xml:space="preserve">N7, N8</w:t>
            </w:r>
          </w:p>
        </w:tc>
        <w:tc>
          <w:tcPr>
            <w:tcW w:type="dxa" w:w="561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3452"/>
          </w:tcPr>
          <w:p>
            <w:pPr>
              <w:pStyle w:val="Compact"/>
              <w:jc w:val="left"/>
            </w:pPr>
            <w:r>
              <w:t xml:space="preserve">T5–T8</w:t>
            </w:r>
          </w:p>
        </w:tc>
        <w:tc>
          <w:tcPr>
            <w:tcW w:type="dxa" w:w="561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grow/>
          </m:dPr>
          <m:e>
            <m:r>
              <m:t>8</m:t>
            </m:r>
            <m:d>
              <m:dPr>
                <m:begChr m:val="("/>
                <m:end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nor/>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grow/>
          </m:dPr>
          <m:e>
            <m:r>
              <m:t>1</m:t>
            </m:r>
            <m:r>
              <m:rPr>
                <m:sty m:val="p"/>
              </m:rPr>
              <m:t>−</m:t>
            </m:r>
            <m:r>
              <m:t>ξ</m:t>
            </m:r>
          </m:e>
        </m:d>
        <m:d>
          <m:dPr>
            <m:begChr m:val="("/>
            <m:end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nor/>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nor/>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nor/>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nor/>
                      </m:rPr>
                      <m:t>crit</m:t>
                    </m:r>
                  </m:sub>
                </m:sSub>
                <m:r>
                  <m:rPr>
                    <m:sty m:val="p"/>
                  </m:rPr>
                  <m:t>=</m:t>
                </m:r>
                <m:rad>
                  <m:radPr>
                    <m:degHide m:val="on"/>
                  </m:radPr>
                  <m:deg/>
                  <m:e>
                    <m:r>
                      <m:t>10</m:t>
                    </m:r>
                    <m:r>
                      <m:rPr>
                        <m:sty m:val="p"/>
                      </m:rPr>
                      <m:t>/</m:t>
                    </m:r>
                    <m:r>
                      <m:t>3</m:t>
                    </m:r>
                  </m:e>
                </m:rad>
                <m:r>
                  <m:t> </m:t>
                </m:r>
                <m:r>
                  <m:rPr>
                    <m:sty m:val="p"/>
                    <m:nor/>
                  </m:rPr>
                  <m:t>cos</m:t>
                </m:r>
                <m:r>
                  <m:t>​</m:t>
                </m:r>
                <m:d>
                  <m:dPr>
                    <m:begChr m:val="["/>
                    <m:endChr m:val="]"/>
                    <m:grow/>
                  </m:dPr>
                  <m:e>
                    <m:f>
                      <m:fPr>
                        <m:type m:val="bar"/>
                      </m:fPr>
                      <m:num>
                        <m:r>
                          <m:t>1</m:t>
                        </m:r>
                      </m:num>
                      <m:den>
                        <m:r>
                          <m:t>3</m:t>
                        </m:r>
                      </m:den>
                    </m:f>
                    <m:r>
                      <m:rPr>
                        <m:sty m:val="p"/>
                        <m:nor/>
                      </m:rPr>
                      <m:t>arccos</m:t>
                    </m:r>
                    <m:r>
                      <m:t>​</m:t>
                    </m:r>
                    <m:d>
                      <m:dPr>
                        <m:begChr m:val="("/>
                        <m:endChr m:val=")"/>
                        <m:grow/>
                      </m:dPr>
                      <m:e>
                        <m:f>
                          <m:fPr>
                            <m:type m:val="bar"/>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nor/>
          </m:rPr>
          <m:t>cos</m:t>
        </m:r>
        <m:d>
          <m:dPr>
            <m:begChr m:val="("/>
            <m:end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grow/>
          </m:dPr>
          <m:e>
            <m:r>
              <m:t>12</m:t>
            </m:r>
            <m:r>
              <m:rPr>
                <m:sty m:val="p"/>
              </m:rPr>
              <m:t>−</m:t>
            </m:r>
            <m:r>
              <m:t>3</m:t>
            </m:r>
            <m:r>
              <m:t>μ</m:t>
            </m:r>
          </m:e>
        </m:d>
        <m:sSup>
          <m:e>
            <m:r>
              <m:t>ξ</m:t>
            </m:r>
          </m:e>
          <m:sup>
            <m:r>
              <m:t>2</m:t>
            </m:r>
          </m:sup>
        </m:sSup>
        <m:r>
          <m:rPr>
            <m:sty m:val="p"/>
          </m:rPr>
          <m:t>+</m:t>
        </m:r>
        <m:d>
          <m:dPr>
            <m:begChr m:val="("/>
            <m:end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 the blind condition is</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with</w:t>
      </w:r>
      <w:r>
        <w:t xml:space="preserve"> </w:t>
      </w:r>
      <m:oMath>
        <m:r>
          <m:t>ν</m:t>
        </m:r>
      </m:oMath>
      <w:r>
        <w:t xml:space="preserve"> </w:t>
      </w:r>
      <w:r>
        <w:t xml:space="preserve">defined below (three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nor/>
              </m:rPr>
              <m:t>main</m:t>
            </m:r>
          </m:sub>
        </m:sSub>
      </m:oMath>
      <w:r>
        <w:t xml:space="preserve"> </w:t>
      </w:r>
      <w:r>
        <w:t xml:space="preserve">in the main span,</w:t>
      </w:r>
      <w:r>
        <w:t xml:space="preserve"> </w:t>
      </w:r>
      <m:oMath>
        <m:r>
          <m:t>192</m:t>
        </m:r>
        <m:r>
          <m:t>E</m:t>
        </m:r>
        <m:sSub>
          <m:e>
            <m:r>
              <m:t>I</m:t>
            </m:r>
          </m:e>
          <m:sub>
            <m:r>
              <m:rPr>
                <m:sty m:val="p"/>
                <m:nor/>
              </m:rPr>
              <m:t>main</m:t>
            </m:r>
          </m:sub>
        </m:sSub>
        <m:sSub>
          <m:e>
            <m:r>
              <m:t>C</m:t>
            </m:r>
          </m:e>
          <m:sub>
            <m:r>
              <m:t>m</m:t>
            </m:r>
          </m:sub>
        </m:sSub>
        <m:r>
          <m:rPr>
            <m:sty m:val="p"/>
          </m:rPr>
          <m:t>/</m:t>
        </m:r>
        <m:sSubSup>
          <m:e>
            <m:r>
              <m:t>L</m:t>
            </m:r>
          </m:e>
          <m:sub>
            <m:r>
              <m:rPr>
                <m:sty m:val="p"/>
                <m:nor/>
              </m:rPr>
              <m:t>main</m:t>
            </m:r>
          </m:sub>
          <m:sup>
            <m:r>
              <m:t>4</m:t>
            </m:r>
          </m:sup>
        </m:sSubSup>
        <m:r>
          <m:rPr>
            <m:sty m:val="p"/>
          </m:rPr>
          <m:t>=</m:t>
        </m:r>
        <m:r>
          <m:t>8</m:t>
        </m:r>
        <m:d>
          <m:dPr>
            <m:begChr m:val="["/>
            <m:endChr m:val="]"/>
            <m:grow/>
          </m:dPr>
          <m:e>
            <m:r>
              <m:t>ζ</m:t>
            </m:r>
            <m:d>
              <m:dPr>
                <m:begChr m:val="("/>
                <m:end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grow/>
          </m:dPr>
          <m:e>
            <m:r>
              <m:t>γ</m:t>
            </m:r>
            <m:r>
              <m:rPr>
                <m:sty m:val="p"/>
              </m:rPr>
              <m:t>+</m:t>
            </m:r>
            <m:sSup>
              <m:e>
                <m:r>
                  <m:t>β</m:t>
                </m:r>
              </m:e>
              <m:sup>
                <m:r>
                  <m:t>3</m:t>
                </m:r>
              </m:sup>
            </m:sSup>
          </m:e>
        </m:d>
        <m:r>
          <m:rPr>
            <m:sty m:val="p"/>
          </m:rPr>
          <m:t>/</m:t>
        </m:r>
        <m:d>
          <m:dPr>
            <m:begChr m:val="["/>
            <m:endChr m:val="]"/>
            <m:grow/>
          </m:dPr>
          <m:e>
            <m:sSup>
              <m:e>
                <m:r>
                  <m:t>β</m:t>
                </m:r>
              </m:e>
              <m:sup>
                <m:r>
                  <m:t>2</m:t>
                </m:r>
              </m:sup>
            </m:sSup>
            <m:d>
              <m:dPr>
                <m:begChr m:val="("/>
                <m:end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keepLines/>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keepNext/>
              <w:pStyle w:val="Compact"/>
              <w:jc w:val="right"/>
            </w:pPr>
            <m:oMath>
              <m:r>
                <m:t>β</m:t>
              </m:r>
            </m:oMath>
          </w:p>
        </w:tc>
        <w:tc>
          <w:tcPr>
            <w:tcW w:type="dxa" w:w="1744"/>
            <w:tcBorders>
              <w:top w:val="nil"/>
              <w:left w:val="nil"/>
              <w:bottom w:val="single" w:sz="6" w:space="0" w:color="000000"/>
              <w:right w:val="nil"/>
            </w:tcBorders>
          </w:tcPr>
          <w:p>
            <w:pPr>
              <w:keepNext/>
              <w:pStyle w:val="Compact"/>
              <w:jc w:val="right"/>
            </w:pPr>
            <m:oMath>
              <m:r>
                <m:t>μ</m:t>
              </m:r>
            </m:oMath>
          </w:p>
        </w:tc>
        <w:tc>
          <w:tcPr>
            <w:tcW w:type="dxa" w:w="1744"/>
            <w:tcBorders>
              <w:top w:val="nil"/>
              <w:left w:val="nil"/>
              <w:bottom w:val="single" w:sz="6" w:space="0" w:color="000000"/>
              <w:right w:val="nil"/>
            </w:tcBorders>
          </w:tcPr>
          <w:p>
            <w:pPr>
              <w:keepNext/>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keepNext/>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keepNext/>
              <w:pStyle w:val="Compact"/>
              <w:jc w:val="right"/>
            </w:pPr>
            <w:r>
              <w:t xml:space="preserve">1.0</w:t>
            </w:r>
          </w:p>
        </w:tc>
        <w:tc>
          <w:tcPr>
            <w:tcW w:type="dxa" w:w="1744"/>
          </w:tcPr>
          <w:p>
            <w:pPr>
              <w:keepNext/>
              <w:pStyle w:val="Compact"/>
              <w:jc w:val="right"/>
            </w:pPr>
            <w:r>
              <w:t xml:space="preserve">0.800</w:t>
            </w:r>
          </w:p>
        </w:tc>
        <w:tc>
          <w:tcPr>
            <w:tcW w:type="dxa" w:w="1744"/>
          </w:tcPr>
          <w:p>
            <w:pPr>
              <w:keepNext/>
              <w:pStyle w:val="Compact"/>
              <w:jc w:val="right"/>
            </w:pPr>
            <w:r>
              <w:t xml:space="preserve">0.4460</w:t>
            </w:r>
          </w:p>
        </w:tc>
        <w:tc>
          <w:tcPr>
            <w:tcW w:type="dxa" w:w="1744"/>
          </w:tcPr>
          <w:p>
            <w:pPr>
              <w:keepNext/>
              <w:pStyle w:val="Compact"/>
              <w:jc w:val="right"/>
            </w:pPr>
            <w:r>
              <w:t xml:space="preserve">1.322</w:t>
            </w:r>
          </w:p>
        </w:tc>
        <w:tc>
          <w:tcPr>
            <w:tcW w:type="dxa" w:w="1744"/>
          </w:tcPr>
          <w:p>
            <w:pPr>
              <w:keepNext/>
              <w:pStyle w:val="Compact"/>
              <w:jc w:val="right"/>
            </w:pPr>
            <w:r>
              <w:t xml:space="preserve">1.300</w:t>
            </w:r>
          </w:p>
        </w:tc>
      </w:tr>
      <w:tr>
        <w:trPr>
          <w:cantSplit/>
        </w:trPr>
        <w:tc>
          <w:tcPr>
            <w:tcW w:type="dxa" w:w="2093"/>
          </w:tcPr>
          <w:p>
            <w:pPr>
              <w:keepNext/>
              <w:pStyle w:val="Compact"/>
              <w:jc w:val="right"/>
            </w:pPr>
            <w:r>
              <w:t xml:space="preserve">1.2</w:t>
            </w:r>
          </w:p>
        </w:tc>
        <w:tc>
          <w:tcPr>
            <w:tcW w:type="dxa" w:w="1744"/>
          </w:tcPr>
          <w:p>
            <w:pPr>
              <w:keepNext/>
              <w:pStyle w:val="Compact"/>
              <w:jc w:val="right"/>
            </w:pPr>
            <w:r>
              <w:t xml:space="preserve">0.9743</w:t>
            </w:r>
          </w:p>
        </w:tc>
        <w:tc>
          <w:tcPr>
            <w:tcW w:type="dxa" w:w="1744"/>
          </w:tcPr>
          <w:p>
            <w:pPr>
              <w:keepNext/>
              <w:pStyle w:val="Compact"/>
              <w:jc w:val="right"/>
            </w:pPr>
            <w:r>
              <w:t xml:space="preserve">0.4251</w:t>
            </w:r>
          </w:p>
        </w:tc>
        <w:tc>
          <w:tcPr>
            <w:tcW w:type="dxa" w:w="1744"/>
          </w:tcPr>
          <w:p>
            <w:pPr>
              <w:keepNext/>
              <w:pStyle w:val="Compact"/>
              <w:jc w:val="right"/>
            </w:pPr>
            <w:r>
              <w:t xml:space="preserve">1.076</w:t>
            </w:r>
          </w:p>
        </w:tc>
        <w:tc>
          <w:tcPr>
            <w:tcW w:type="dxa" w:w="1744"/>
          </w:tcPr>
          <w:p>
            <w:pPr>
              <w:keepNext/>
              <w:pStyle w:val="Compact"/>
              <w:jc w:val="right"/>
            </w:pPr>
            <w:r>
              <w:t xml:space="preserve">1.039</w:t>
            </w:r>
          </w:p>
        </w:tc>
      </w:tr>
      <w:tr>
        <w:trPr>
          <w:cantSplit/>
        </w:trPr>
        <w:tc>
          <w:tcPr>
            <w:tcW w:type="dxa" w:w="2093"/>
          </w:tcPr>
          <w:p>
            <w:pPr>
              <w:keepNext/>
              <w:pStyle w:val="Compact"/>
              <w:jc w:val="right"/>
            </w:pPr>
            <w:r>
              <w:t xml:space="preserve">1.4</w:t>
            </w:r>
          </w:p>
        </w:tc>
        <w:tc>
          <w:tcPr>
            <w:tcW w:type="dxa" w:w="1744"/>
          </w:tcPr>
          <w:p>
            <w:pPr>
              <w:keepNext/>
              <w:pStyle w:val="Compact"/>
              <w:jc w:val="right"/>
            </w:pPr>
            <w:r>
              <w:t xml:space="preserve">1.208</w:t>
            </w:r>
          </w:p>
        </w:tc>
        <w:tc>
          <w:tcPr>
            <w:tcW w:type="dxa" w:w="1744"/>
          </w:tcPr>
          <w:p>
            <w:pPr>
              <w:keepNext/>
              <w:pStyle w:val="Compact"/>
              <w:jc w:val="right"/>
            </w:pPr>
            <w:r>
              <w:t xml:space="preserve">0.3875</w:t>
            </w:r>
          </w:p>
        </w:tc>
        <w:tc>
          <w:tcPr>
            <w:tcW w:type="dxa" w:w="1744"/>
          </w:tcPr>
          <w:p>
            <w:pPr>
              <w:keepNext/>
              <w:pStyle w:val="Compact"/>
              <w:jc w:val="right"/>
            </w:pPr>
            <w:r>
              <w:t xml:space="preserve">0.7585</w:t>
            </w:r>
          </w:p>
        </w:tc>
        <w:tc>
          <w:tcPr>
            <w:tcW w:type="dxa" w:w="1744"/>
          </w:tcPr>
          <w:p>
            <w:pPr>
              <w:keepNext/>
              <w:pStyle w:val="Compact"/>
              <w:jc w:val="right"/>
            </w:pPr>
            <w:r>
              <w:t xml:space="preserve">0.6884</w:t>
            </w:r>
          </w:p>
        </w:tc>
      </w:tr>
      <w:tr>
        <w:trPr>
          <w:cantSplit/>
        </w:trPr>
        <w:tc>
          <w:tcPr>
            <w:tcW w:type="dxa" w:w="2093"/>
          </w:tcPr>
          <w:p>
            <w:pPr>
              <w:keepNext/>
              <w:pStyle w:val="Compact"/>
              <w:jc w:val="right"/>
            </w:pPr>
            <w:r>
              <w:t xml:space="preserve">1.5</w:t>
            </w:r>
          </w:p>
        </w:tc>
        <w:tc>
          <w:tcPr>
            <w:tcW w:type="dxa" w:w="1744"/>
          </w:tcPr>
          <w:p>
            <w:pPr>
              <w:keepNext/>
              <w:pStyle w:val="Compact"/>
              <w:jc w:val="right"/>
            </w:pPr>
            <w:r>
              <w:t xml:space="preserve">1.346</w:t>
            </w:r>
          </w:p>
        </w:tc>
        <w:tc>
          <w:tcPr>
            <w:tcW w:type="dxa" w:w="1744"/>
          </w:tcPr>
          <w:p>
            <w:pPr>
              <w:keepNext/>
              <w:pStyle w:val="Compact"/>
              <w:jc w:val="right"/>
            </w:pPr>
            <w:r>
              <w:t xml:space="preserve">0.3582</w:t>
            </w:r>
          </w:p>
        </w:tc>
        <w:tc>
          <w:tcPr>
            <w:tcW w:type="dxa" w:w="1744"/>
          </w:tcPr>
          <w:p>
            <w:pPr>
              <w:keepNext/>
              <w:pStyle w:val="Compact"/>
              <w:jc w:val="right"/>
            </w:pPr>
            <w:r>
              <w:t xml:space="preserve">0.5807</w:t>
            </w:r>
          </w:p>
        </w:tc>
        <w:tc>
          <w:tcPr>
            <w:tcW w:type="dxa" w:w="1744"/>
          </w:tcPr>
          <w:p>
            <w:pPr>
              <w:keepNext/>
              <w:pStyle w:val="Compact"/>
              <w:jc w:val="right"/>
            </w:pPr>
            <w:r>
              <w:t xml:space="preserve">0.4808</w:t>
            </w:r>
          </w:p>
        </w:tc>
      </w:tr>
      <w:tr>
        <w:trPr>
          <w:cantSplit/>
        </w:trPr>
        <w:tc>
          <w:tcPr>
            <w:tcW w:type="dxa" w:w="2093"/>
          </w:tcPr>
          <w:p>
            <w:pPr>
              <w:keepNext/>
              <w:pStyle w:val="Compact"/>
              <w:jc w:val="right"/>
            </w:pPr>
            <w:r>
              <w:t xml:space="preserve">1.636 (= 90/55)</w:t>
            </w:r>
          </w:p>
        </w:tc>
        <w:tc>
          <w:tcPr>
            <w:tcW w:type="dxa" w:w="1744"/>
          </w:tcPr>
          <w:p>
            <w:pPr>
              <w:keepNext/>
              <w:pStyle w:val="Compact"/>
              <w:jc w:val="right"/>
            </w:pPr>
            <w:r>
              <w:t xml:space="preserve">1.558</w:t>
            </w:r>
          </w:p>
        </w:tc>
        <w:tc>
          <w:tcPr>
            <w:tcW w:type="dxa" w:w="1744"/>
          </w:tcPr>
          <w:p>
            <w:pPr>
              <w:keepNext/>
              <w:pStyle w:val="Compact"/>
              <w:jc w:val="right"/>
            </w:pPr>
            <w:r>
              <w:t xml:space="preserve">0.2994</w:t>
            </w:r>
          </w:p>
        </w:tc>
        <w:tc>
          <w:tcPr>
            <w:tcW w:type="dxa" w:w="1744"/>
          </w:tcPr>
          <w:p>
            <w:pPr>
              <w:keepNext/>
              <w:pStyle w:val="Compact"/>
              <w:jc w:val="right"/>
            </w:pPr>
            <w:r>
              <w:t xml:space="preserve">0.3316</w:t>
            </w:r>
          </w:p>
        </w:tc>
        <w:tc>
          <w:tcPr>
            <w:tcW w:type="dxa" w:w="1744"/>
          </w:tcPr>
          <w:p>
            <w:pPr>
              <w:keepNext/>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keepLines/>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keepLines/>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keepLines/>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keepNext/>
              <w:pStyle w:val="Compact"/>
              <w:jc w:val="right"/>
            </w:pPr>
            <w:r>
              <w:t xml:space="preserve">Threshold</w:t>
            </w:r>
          </w:p>
        </w:tc>
        <w:tc>
          <w:tcPr>
            <w:tcW w:type="dxa" w:w="2075"/>
            <w:tcBorders>
              <w:top w:val="nil"/>
              <w:left w:val="nil"/>
              <w:bottom w:val="single" w:sz="6" w:space="0" w:color="000000"/>
              <w:right w:val="nil"/>
            </w:tcBorders>
          </w:tcPr>
          <w:p>
            <w:pPr>
              <w:keepNext/>
              <w:pStyle w:val="Compact"/>
              <w:jc w:val="right"/>
            </w:pPr>
            <w:r>
              <w:t xml:space="preserve">Strain, two equal spans</w:t>
            </w:r>
          </w:p>
        </w:tc>
        <w:tc>
          <w:tcPr>
            <w:tcW w:type="dxa" w:w="2707"/>
            <w:tcBorders>
              <w:top w:val="nil"/>
              <w:left w:val="nil"/>
              <w:bottom w:val="single" w:sz="6" w:space="0" w:color="000000"/>
              <w:right w:val="nil"/>
            </w:tcBorders>
          </w:tcPr>
          <w:p>
            <w:pPr>
              <w:keepNext/>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keepNext/>
              <w:pStyle w:val="Compact"/>
              <w:jc w:val="right"/>
            </w:pPr>
            <w:r>
              <w:t xml:space="preserve">Deflection, mid side span, three spans:</w:t>
            </w:r>
            <w:r>
              <w:t xml:space="preserve"> </w:t>
            </w:r>
            <m:oMath>
              <m:r>
                <m:t>β</m:t>
              </m:r>
            </m:oMath>
          </w:p>
        </w:tc>
      </w:tr>
      <w:tr>
        <w:trPr>
          <w:cantSplit/>
        </w:trPr>
        <w:tc>
          <w:tcPr>
            <w:tcW w:type="dxa" w:w="1579"/>
          </w:tcPr>
          <w:p>
            <w:pPr>
              <w:keepNext/>
              <w:pStyle w:val="Compact"/>
              <w:jc w:val="right"/>
            </w:pPr>
            <w:r>
              <w:t xml:space="preserve">0.1</w:t>
            </w:r>
          </w:p>
        </w:tc>
        <w:tc>
          <w:tcPr>
            <w:tcW w:type="dxa" w:w="2075"/>
          </w:tcPr>
          <w:p>
            <w:pPr>
              <w:keepNext/>
              <w:pStyle w:val="Compact"/>
              <w:jc w:val="right"/>
            </w:pPr>
            <w:r>
              <w:t xml:space="preserve">0.218–0.285</w:t>
            </w:r>
          </w:p>
        </w:tc>
        <w:tc>
          <w:tcPr>
            <w:tcW w:type="dxa" w:w="2707"/>
          </w:tcPr>
          <w:p>
            <w:pPr>
              <w:keepNext/>
              <w:pStyle w:val="Compact"/>
              <w:jc w:val="right"/>
            </w:pPr>
            <w:r>
              <w:t xml:space="preserve">1.422–1.492</w:t>
            </w:r>
          </w:p>
        </w:tc>
        <w:tc>
          <w:tcPr>
            <w:tcW w:type="dxa" w:w="2707"/>
          </w:tcPr>
          <w:p>
            <w:pPr>
              <w:keepNext/>
              <w:pStyle w:val="Compact"/>
              <w:jc w:val="right"/>
            </w:pPr>
            <w:r>
              <w:t xml:space="preserve">1.662–1.738</w:t>
            </w:r>
          </w:p>
        </w:tc>
      </w:tr>
      <w:tr>
        <w:trPr>
          <w:cantSplit/>
        </w:trPr>
        <w:tc>
          <w:tcPr>
            <w:tcW w:type="dxa" w:w="1579"/>
          </w:tcPr>
          <w:p>
            <w:pPr>
              <w:keepNext/>
              <w:pStyle w:val="Compact"/>
              <w:jc w:val="right"/>
            </w:pPr>
            <w:r>
              <w:t xml:space="preserve">0.2</w:t>
            </w:r>
          </w:p>
        </w:tc>
        <w:tc>
          <w:tcPr>
            <w:tcW w:type="dxa" w:w="2075"/>
          </w:tcPr>
          <w:p>
            <w:pPr>
              <w:keepNext/>
              <w:pStyle w:val="Compact"/>
              <w:jc w:val="right"/>
            </w:pPr>
            <w:r>
              <w:t xml:space="preserve">0.188–0.324</w:t>
            </w:r>
          </w:p>
        </w:tc>
        <w:tc>
          <w:tcPr>
            <w:tcW w:type="dxa" w:w="2707"/>
          </w:tcPr>
          <w:p>
            <w:pPr>
              <w:keepNext/>
              <w:pStyle w:val="Compact"/>
              <w:jc w:val="right"/>
            </w:pPr>
            <w:r>
              <w:t xml:space="preserve">1.385–1.525</w:t>
            </w:r>
          </w:p>
        </w:tc>
        <w:tc>
          <w:tcPr>
            <w:tcW w:type="dxa" w:w="2707"/>
          </w:tcPr>
          <w:p>
            <w:pPr>
              <w:keepNext/>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grow/>
          </m:dPr>
          <m:e>
            <m:r>
              <m:t>0</m:t>
            </m:r>
            <m:r>
              <m:rPr>
                <m:sty m:val="p"/>
              </m:rPr>
              <m:t>,</m:t>
            </m:r>
            <m:r>
              <m:t>μ</m:t>
            </m:r>
          </m:e>
        </m:d>
      </m:oMath>
      <w:r>
        <w:t xml:space="preserve"> </w:t>
      </w:r>
      <w:r>
        <w:t xml:space="preserve">in span 1 and</w:t>
      </w:r>
      <w:r>
        <w:t xml:space="preserve"> </w:t>
      </w:r>
      <m:oMath>
        <m:d>
          <m:dPr>
            <m:begChr m:val="("/>
            <m:end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grow/>
          </m:dPr>
          <m:e>
            <m:r>
              <m:t>0</m:t>
            </m:r>
            <m:r>
              <m:rPr>
                <m:sty m:val="p"/>
              </m:rPr>
              <m:t>,</m:t>
            </m:r>
            <m:r>
              <m:t>μ</m:t>
            </m:r>
          </m:e>
        </m:d>
      </m:oMath>
      <w:r>
        <w:t xml:space="preserve"> </w:t>
      </w:r>
      <w:r>
        <w:t xml:space="preserve">in the side span and</w:t>
      </w:r>
      <w:r>
        <w:t xml:space="preserve"> </w:t>
      </w:r>
      <m:oMath>
        <m:d>
          <m:dPr>
            <m:begChr m:val="("/>
            <m:end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nor/>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grow/>
          </m:dPr>
          <m:e>
            <m:r>
              <m:t>x</m:t>
            </m:r>
          </m:e>
        </m:d>
        <m:sSub>
          <m:e>
            <m:r>
              <m:t>y</m:t>
            </m:r>
          </m:e>
          <m:sub>
            <m:r>
              <m:t>j</m:t>
            </m:r>
          </m:sub>
        </m:sSub>
        <m:d>
          <m:dPr>
            <m:begChr m:val="("/>
            <m:endChr m:val=")"/>
            <m:grow/>
          </m:dPr>
          <m:e>
            <m:r>
              <m:t>x</m:t>
            </m:r>
          </m:e>
        </m:d>
        <m:r>
          <m:t> </m:t>
        </m:r>
        <m:r>
          <m:rPr>
            <m:sty m:val="p"/>
            <m:nor/>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grow/>
          </m:dPr>
          <m:e>
            <m:r>
              <m:t>x</m:t>
            </m:r>
          </m:e>
        </m:d>
        <m:sSub>
          <m:e>
            <m:r>
              <m:t>η</m:t>
            </m:r>
          </m:e>
          <m:sub>
            <m:r>
              <m:t>j</m:t>
            </m:r>
          </m:sub>
        </m:sSub>
        <m:d>
          <m:dPr>
            <m:begChr m:val="("/>
            <m:endChr m:val=")"/>
            <m:grow/>
          </m:dPr>
          <m:e>
            <m:r>
              <m:t>x</m:t>
            </m:r>
            <m:r>
              <m:rPr>
                <m:sty m:val="p"/>
              </m:rPr>
              <m:t>−</m:t>
            </m:r>
            <m:r>
              <m:t>s</m:t>
            </m:r>
          </m:e>
        </m:d>
        <m:r>
          <m:t> </m:t>
        </m:r>
        <m:r>
          <m:rPr>
            <m:sty m:val="p"/>
            <m:nor/>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grow/>
              </m:dPr>
              <m:e>
                <m:r>
                  <m:t>g</m:t>
                </m:r>
                <m:d>
                  <m:dPr>
                    <m:begChr m:val="("/>
                    <m:endChr m:val=")"/>
                    <m:grow/>
                  </m:dPr>
                  <m:e>
                    <m:r>
                      <m:t>u</m:t>
                    </m:r>
                    <m:r>
                      <m:rPr>
                        <m:sty m:val="p"/>
                      </m:rPr>
                      <m:t>+</m:t>
                    </m:r>
                    <m:r>
                      <m:t>s</m:t>
                    </m:r>
                  </m:e>
                </m:d>
                <m:r>
                  <m:rPr>
                    <m:sty m:val="p"/>
                  </m:rPr>
                  <m:t>−</m:t>
                </m:r>
                <m:r>
                  <m:t>g</m:t>
                </m:r>
                <m:d>
                  <m:dPr>
                    <m:begChr m:val="("/>
                    <m:endChr m:val=")"/>
                    <m:grow/>
                  </m:dPr>
                  <m:e>
                    <m:r>
                      <m:t>u</m:t>
                    </m:r>
                    <m:r>
                      <m:rPr>
                        <m:sty m:val="p"/>
                      </m:rPr>
                      <m:t>+</m:t>
                    </m:r>
                    <m:r>
                      <m:t>s</m:t>
                    </m:r>
                    <m:r>
                      <m:rPr>
                        <m:sty m:val="p"/>
                      </m:rPr>
                      <m:t>′</m:t>
                    </m:r>
                  </m:e>
                </m:d>
              </m:e>
            </m:d>
          </m:e>
        </m:nary>
        <m:r>
          <m:t>η</m:t>
        </m:r>
        <m:d>
          <m:dPr>
            <m:begChr m:val="("/>
            <m:endChr m:val=")"/>
            <m:grow/>
          </m:dPr>
          <m:e>
            <m:r>
              <m:t>u</m:t>
            </m:r>
          </m:e>
        </m:d>
        <m:r>
          <m:t> </m:t>
        </m:r>
        <m:r>
          <m:rPr>
            <m:sty m:val="p"/>
            <m:nor/>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grow/>
          </m:dPr>
          <m:e>
            <m:r>
              <m:t>u</m:t>
            </m:r>
            <m:r>
              <m:rPr>
                <m:sty m:val="p"/>
              </m:rPr>
              <m:t>+</m:t>
            </m:r>
            <m:r>
              <m:t>s</m:t>
            </m:r>
          </m:e>
        </m:d>
        <m:r>
          <m:rPr>
            <m:sty m:val="p"/>
          </m:rPr>
          <m:t>=</m:t>
        </m:r>
        <m:r>
          <m:t>g</m:t>
        </m:r>
        <m:d>
          <m:dPr>
            <m:begChr m:val="("/>
            <m:end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and entry-shift ranges of 2–160 m (the range of axle positions over which the estimate must stay invariant)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keepLines/>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nor/>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nor/>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grow/>
          </m:dPr>
          <m:e>
            <m:r>
              <m:t>1</m:t>
            </m:r>
            <m:r>
              <m:rPr>
                <m:sty m:val="p"/>
              </m:rPr>
              <m:t>,</m:t>
            </m:r>
            <m:r>
              <m:rPr>
                <m:sty m:val="p"/>
              </m:rPr>
              <m:t>−</m:t>
            </m:r>
            <m:r>
              <m:t>1</m:t>
            </m:r>
          </m:e>
        </m:d>
        <m:r>
          <m:rPr>
            <m:sty m:val="p"/>
          </m:rPr>
          <m:t>/</m:t>
        </m:r>
        <m:d>
          <m:dPr>
            <m:begChr m:val="("/>
            <m:end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nor/>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nor/>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noise model above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keepLines/>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keepLines/>
      </w:pPr>
      <w:r>
        <w:rPr>
          <w:bCs/>
          <w:b/>
        </w:rPr>
        <w:t xml:space="preserve">Figure S5.</w:t>
      </w:r>
      <w:r>
        <w:t xml:space="preserve"> </w:t>
      </w:r>
      <w:r>
        <w:t xml:space="preserve">Uniform-load response</w:t>
      </w:r>
      <w:r>
        <w:t xml:space="preserve"> </w:t>
      </w:r>
      <m:oMath>
        <m:r>
          <m:t>C</m:t>
        </m:r>
        <m:d>
          <m:dPr>
            <m:begChr m:val="("/>
            <m:end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keepLines/>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nor/>
          </m:rPr>
          <m:t>d</m:t>
        </m:r>
        <m:sSub>
          <m:e>
            <m:r>
              <m:t>C</m:t>
            </m:r>
          </m:e>
          <m:sub>
            <m:r>
              <m:t>m</m:t>
            </m:r>
          </m:sub>
        </m:sSub>
        <m:r>
          <m:rPr>
            <m:sty m:val="p"/>
          </m:rPr>
          <m:t>/</m:t>
        </m:r>
        <m:r>
          <m:rPr>
            <m:sty m:val="p"/>
            <m:nor/>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α</m:t>
        </m:r>
      </m:oMath>
      <w:r>
        <w:t xml:space="preserve"> </w:t>
      </w:r>
      <w:r>
        <w:t xml:space="preserve">and</w:t>
      </w:r>
      <w:r>
        <w:t xml:space="preserve"> </w:t>
      </w:r>
      <m:oMath>
        <m:sSub>
          <m:e>
            <m:r>
              <m:t>S</m:t>
            </m:r>
          </m:e>
          <m:sub>
            <m:r>
              <m:t>k</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keepLines/>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nor/>
              </m:rPr>
              <m:t>side</m:t>
            </m:r>
          </m:sub>
        </m:sSub>
        <m:r>
          <m:rPr>
            <m:sty m:val="p"/>
          </m:rPr>
          <m:t>/</m:t>
        </m:r>
        <m:r>
          <m:t>E</m:t>
        </m:r>
        <m:sSub>
          <m:e>
            <m:r>
              <m:t>I</m:t>
            </m:r>
          </m:e>
          <m:sub>
            <m:r>
              <m:rPr>
                <m:sty m:val="p"/>
                <m:nor/>
              </m:rPr>
              <m:t>side</m:t>
            </m:r>
          </m:sub>
        </m:sSub>
      </m:oMath>
      <w:r>
        <w:t xml:space="preserve">.</w:t>
      </w:r>
    </w:p>
    <w:p>
      <w:pPr>
        <w:pStyle w:val="BodyText"/>
      </w:pPr>
      <w:r>
        <w:t xml:space="preserve">Because every static response has the form</w:t>
      </w:r>
      <w:r>
        <w:t xml:space="preserve"> </w:t>
      </w:r>
      <m:oMath>
        <m:r>
          <m:t>f</m:t>
        </m:r>
        <m:d>
          <m:dPr>
            <m:begChr m:val="("/>
            <m:end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both by the trapezoidal rule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keepLines/>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keepLines/>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keepNext/>
              <w:pStyle w:val="Compact"/>
              <w:jc w:val="left"/>
            </w:pPr>
            <w:r>
              <w:t xml:space="preserve">Configuration</w:t>
            </w:r>
          </w:p>
        </w:tc>
        <w:tc>
          <w:tcPr>
            <w:tcW w:type="dxa" w:w="1306"/>
            <w:tcBorders>
              <w:top w:val="nil"/>
              <w:left w:val="nil"/>
              <w:bottom w:val="single" w:sz="6" w:space="0" w:color="000000"/>
              <w:right w:val="nil"/>
            </w:tcBorders>
          </w:tcPr>
          <w:p>
            <w:pPr>
              <w:keepNext/>
              <w:pStyle w:val="Compact"/>
              <w:jc w:val="right"/>
            </w:pPr>
            <w:r>
              <w:t xml:space="preserve">Weighed (N)</w:t>
            </w:r>
          </w:p>
        </w:tc>
        <w:tc>
          <w:tcPr>
            <w:tcW w:type="dxa" w:w="1152"/>
            <w:tcBorders>
              <w:top w:val="nil"/>
              <w:left w:val="nil"/>
              <w:bottom w:val="single" w:sz="6" w:space="0" w:color="000000"/>
              <w:right w:val="nil"/>
            </w:tcBorders>
          </w:tcPr>
          <w:p>
            <w:pPr>
              <w:keepNext/>
              <w:pStyle w:val="Compact"/>
              <w:jc w:val="right"/>
            </w:pPr>
            <w:r>
              <w:t xml:space="preserve">BPM (N)</w:t>
            </w:r>
          </w:p>
        </w:tc>
        <w:tc>
          <w:tcPr>
            <w:tcW w:type="dxa" w:w="1614"/>
            <w:tcBorders>
              <w:top w:val="nil"/>
              <w:left w:val="nil"/>
              <w:bottom w:val="single" w:sz="6" w:space="0" w:color="000000"/>
              <w:right w:val="nil"/>
            </w:tcBorders>
          </w:tcPr>
          <w:p>
            <w:pPr>
              <w:keepNext/>
              <w:pStyle w:val="Compact"/>
              <w:jc w:val="right"/>
            </w:pPr>
            <w:r>
              <w:t xml:space="preserve">BPM deviation</w:t>
            </w:r>
          </w:p>
        </w:tc>
        <w:tc>
          <w:tcPr>
            <w:tcW w:type="dxa" w:w="1152"/>
            <w:tcBorders>
              <w:top w:val="nil"/>
              <w:left w:val="nil"/>
              <w:bottom w:val="single" w:sz="6" w:space="0" w:color="000000"/>
              <w:right w:val="nil"/>
            </w:tcBorders>
          </w:tcPr>
          <w:p>
            <w:pPr>
              <w:keepNext/>
              <w:pStyle w:val="Compact"/>
              <w:jc w:val="right"/>
            </w:pPr>
            <w:r>
              <w:t xml:space="preserve">SLM (N)</w:t>
            </w:r>
          </w:p>
        </w:tc>
        <w:tc>
          <w:tcPr>
            <w:tcW w:type="dxa" w:w="1614"/>
            <w:tcBorders>
              <w:top w:val="nil"/>
              <w:left w:val="nil"/>
              <w:bottom w:val="single" w:sz="6" w:space="0" w:color="000000"/>
              <w:right w:val="nil"/>
            </w:tcBorders>
          </w:tcPr>
          <w:p>
            <w:pPr>
              <w:keepNext/>
              <w:pStyle w:val="Compact"/>
              <w:jc w:val="right"/>
            </w:pPr>
            <w:r>
              <w:t xml:space="preserve">SLM deviation</w:t>
            </w:r>
          </w:p>
        </w:tc>
      </w:tr>
      <w:tr>
        <w:trPr>
          <w:cantSplit/>
        </w:trPr>
        <w:tc>
          <w:tcPr>
            <w:tcW w:type="dxa" w:w="2229"/>
          </w:tcPr>
          <w:p>
            <w:pPr>
              <w:keepNext/>
              <w:pStyle w:val="Compact"/>
              <w:jc w:val="left"/>
            </w:pPr>
            <w:r>
              <w:t xml:space="preserve">Two loads</w:t>
            </w:r>
          </w:p>
        </w:tc>
        <w:tc>
          <w:tcPr>
            <w:tcW w:type="dxa" w:w="1306"/>
          </w:tcPr>
          <w:p>
            <w:pPr>
              <w:keepNext/>
              <w:pStyle w:val="Compact"/>
              <w:jc w:val="right"/>
            </w:pPr>
            <w:r>
              <w:t xml:space="preserve">66.99</w:t>
            </w:r>
          </w:p>
        </w:tc>
        <w:tc>
          <w:tcPr>
            <w:tcW w:type="dxa" w:w="1152"/>
          </w:tcPr>
          <w:p>
            <w:pPr>
              <w:keepNext/>
              <w:pStyle w:val="Compact"/>
              <w:jc w:val="right"/>
            </w:pPr>
            <w:r>
              <w:t xml:space="preserve">67.73</w:t>
            </w:r>
          </w:p>
        </w:tc>
        <w:tc>
          <w:tcPr>
            <w:tcW w:type="dxa" w:w="1614"/>
          </w:tcPr>
          <w:p>
            <w:pPr>
              <w:keepNext/>
              <w:pStyle w:val="Compact"/>
              <w:jc w:val="right"/>
            </w:pPr>
            <w:r>
              <w:t xml:space="preserve">+1.10 %</w:t>
            </w:r>
          </w:p>
        </w:tc>
        <w:tc>
          <w:tcPr>
            <w:tcW w:type="dxa" w:w="1152"/>
          </w:tcPr>
          <w:p>
            <w:pPr>
              <w:keepNext/>
              <w:pStyle w:val="Compact"/>
              <w:jc w:val="right"/>
            </w:pPr>
            <w:r>
              <w:t xml:space="preserve">67.40</w:t>
            </w:r>
          </w:p>
        </w:tc>
        <w:tc>
          <w:tcPr>
            <w:tcW w:type="dxa" w:w="1614"/>
          </w:tcPr>
          <w:p>
            <w:pPr>
              <w:keepNext/>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keepLines/>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standard deviation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keepLines/>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an MAE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keepLines/>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keepLines/>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keepLines/>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keepLines/>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keepLines/>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keepNext/>
              <w:pStyle w:val="Compact"/>
              <w:jc w:val="left"/>
            </w:pPr>
            <w:r>
              <w:t xml:space="preserve">Day, channel</w:t>
            </w:r>
          </w:p>
        </w:tc>
        <w:tc>
          <w:tcPr>
            <w:tcW w:type="dxa" w:w="804"/>
            <w:tcBorders>
              <w:top w:val="nil"/>
              <w:left w:val="nil"/>
              <w:bottom w:val="single" w:sz="6" w:space="0" w:color="000000"/>
              <w:right w:val="nil"/>
            </w:tcBorders>
          </w:tcPr>
          <w:p>
            <w:pPr>
              <w:keepNext/>
              <w:pStyle w:val="Compact"/>
              <w:jc w:val="right"/>
            </w:pPr>
            <w:r>
              <w:t xml:space="preserve">Runs</w:t>
            </w:r>
          </w:p>
        </w:tc>
        <w:tc>
          <w:tcPr>
            <w:tcW w:type="dxa" w:w="1755"/>
            <w:tcBorders>
              <w:top w:val="nil"/>
              <w:left w:val="nil"/>
              <w:bottom w:val="single" w:sz="6" w:space="0" w:color="000000"/>
              <w:right w:val="nil"/>
            </w:tcBorders>
          </w:tcPr>
          <w:p>
            <w:pPr>
              <w:keepNext/>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keepNext/>
              <w:pStyle w:val="Compact"/>
              <w:jc w:val="right"/>
            </w:pPr>
            <w:r>
              <w:t xml:space="preserve">CV observed (%)</w:t>
            </w:r>
          </w:p>
        </w:tc>
        <w:tc>
          <w:tcPr>
            <w:tcW w:type="dxa" w:w="1389"/>
            <w:tcBorders>
              <w:top w:val="nil"/>
              <w:left w:val="nil"/>
              <w:bottom w:val="single" w:sz="6" w:space="0" w:color="000000"/>
              <w:right w:val="nil"/>
            </w:tcBorders>
          </w:tcPr>
          <w:p>
            <w:pPr>
              <w:keepNext/>
              <w:pStyle w:val="Compact"/>
              <w:jc w:val="right"/>
            </w:pPr>
            <w:r>
              <w:t xml:space="preserve">CV expected (%)</w:t>
            </w:r>
          </w:p>
        </w:tc>
        <w:tc>
          <w:tcPr>
            <w:tcW w:type="dxa" w:w="950"/>
            <w:tcBorders>
              <w:top w:val="nil"/>
              <w:left w:val="nil"/>
              <w:bottom w:val="single" w:sz="6" w:space="0" w:color="000000"/>
              <w:right w:val="nil"/>
            </w:tcBorders>
          </w:tcPr>
          <w:p>
            <w:pPr>
              <w:keepNext/>
              <w:pStyle w:val="Compact"/>
              <w:jc w:val="right"/>
            </w:pPr>
            <m:oMath>
              <m:sSup>
                <m:e>
                  <m:r>
                    <m:t>χ</m:t>
                  </m:r>
                </m:e>
                <m:sup>
                  <m:r>
                    <m:t>2</m:t>
                  </m:r>
                </m:sup>
              </m:sSup>
            </m:oMath>
            <w:r>
              <w:t xml:space="preserve"> </w:t>
            </w:r>
            <m:oMath>
              <m:r>
                <m:t>p</m:t>
              </m:r>
            </m:oMath>
          </w:p>
        </w:tc>
      </w:tr>
      <w:tr>
        <w:trPr>
          <w:cantSplit/>
        </w:trPr>
        <w:tc>
          <w:tcPr>
            <w:tcW w:type="dxa" w:w="2633"/>
          </w:tcPr>
          <w:p>
            <w:pPr>
              <w:keepNext/>
              <w:pStyle w:val="Compact"/>
              <w:jc w:val="left"/>
            </w:pPr>
            <w:r>
              <w:t xml:space="preserve">1, ch11 (best)</w:t>
            </w:r>
          </w:p>
        </w:tc>
        <w:tc>
          <w:tcPr>
            <w:tcW w:type="dxa" w:w="804"/>
          </w:tcPr>
          <w:p>
            <w:pPr>
              <w:keepNext/>
              <w:pStyle w:val="Compact"/>
              <w:jc w:val="right"/>
            </w:pPr>
            <w:r>
              <w:t xml:space="preserve">7</w:t>
            </w:r>
          </w:p>
        </w:tc>
        <w:tc>
          <w:tcPr>
            <w:tcW w:type="dxa" w:w="1755"/>
          </w:tcPr>
          <w:p>
            <w:pPr>
              <w:keepNext/>
              <w:pStyle w:val="Compact"/>
              <w:jc w:val="right"/>
            </w:pPr>
            <w:r>
              <w:t xml:space="preserve">−5.85 (−6.17, −5.53)</w:t>
            </w:r>
          </w:p>
        </w:tc>
        <w:tc>
          <w:tcPr>
            <w:tcW w:type="dxa" w:w="1536"/>
          </w:tcPr>
          <w:p>
            <w:pPr>
              <w:keepNext/>
              <w:pStyle w:val="Compact"/>
              <w:jc w:val="right"/>
            </w:pPr>
            <w:r>
              <w:t xml:space="preserve">5.8</w:t>
            </w:r>
          </w:p>
        </w:tc>
        <w:tc>
          <w:tcPr>
            <w:tcW w:type="dxa" w:w="1389"/>
          </w:tcPr>
          <w:p>
            <w:pPr>
              <w:keepNext/>
              <w:pStyle w:val="Compact"/>
              <w:jc w:val="right"/>
            </w:pPr>
            <w:r>
              <w:t xml:space="preserve">6.8</w:t>
            </w:r>
          </w:p>
        </w:tc>
        <w:tc>
          <w:tcPr>
            <w:tcW w:type="dxa" w:w="950"/>
          </w:tcPr>
          <w:p>
            <w:pPr>
              <w:keepNext/>
              <w:pStyle w:val="Compact"/>
              <w:jc w:val="right"/>
            </w:pPr>
            <w:r>
              <w:t xml:space="preserve">0.60</w:t>
            </w:r>
          </w:p>
        </w:tc>
      </w:tr>
      <w:tr>
        <w:trPr>
          <w:cantSplit/>
        </w:trPr>
        <w:tc>
          <w:tcPr>
            <w:tcW w:type="dxa" w:w="2633"/>
          </w:tcPr>
          <w:p>
            <w:pPr>
              <w:keepNext/>
              <w:pStyle w:val="Compact"/>
              <w:jc w:val="left"/>
            </w:pPr>
            <w:r>
              <w:t xml:space="preserve">1, gauge average (4 wheel-path gauges)</w:t>
            </w:r>
          </w:p>
        </w:tc>
        <w:tc>
          <w:tcPr>
            <w:tcW w:type="dxa" w:w="804"/>
          </w:tcPr>
          <w:p>
            <w:pPr>
              <w:keepNext/>
              <w:pStyle w:val="Compact"/>
              <w:jc w:val="right"/>
            </w:pPr>
            <w:r>
              <w:t xml:space="preserve">7</w:t>
            </w:r>
          </w:p>
        </w:tc>
        <w:tc>
          <w:tcPr>
            <w:tcW w:type="dxa" w:w="1755"/>
          </w:tcPr>
          <w:p>
            <w:pPr>
              <w:keepNext/>
              <w:pStyle w:val="Compact"/>
              <w:jc w:val="right"/>
            </w:pPr>
            <w:r>
              <w:t xml:space="preserve">−4.03 (−4.24, −3.82)</w:t>
            </w:r>
          </w:p>
        </w:tc>
        <w:tc>
          <w:tcPr>
            <w:tcW w:type="dxa" w:w="1536"/>
          </w:tcPr>
          <w:p>
            <w:pPr>
              <w:keepNext/>
              <w:pStyle w:val="Compact"/>
              <w:jc w:val="right"/>
            </w:pPr>
            <w:r>
              <w:t xml:space="preserve">5.6</w:t>
            </w:r>
          </w:p>
        </w:tc>
        <w:tc>
          <w:tcPr>
            <w:tcW w:type="dxa" w:w="1389"/>
          </w:tcPr>
          <w:p>
            <w:pPr>
              <w:keepNext/>
              <w:pStyle w:val="Compact"/>
              <w:jc w:val="right"/>
            </w:pPr>
            <w:r>
              <w:t xml:space="preserve">6.1</w:t>
            </w:r>
          </w:p>
        </w:tc>
        <w:tc>
          <w:tcPr>
            <w:tcW w:type="dxa" w:w="950"/>
          </w:tcPr>
          <w:p>
            <w:pPr>
              <w:keepNext/>
              <w:pStyle w:val="Compact"/>
              <w:jc w:val="right"/>
            </w:pPr>
            <w:r>
              <w:t xml:space="preserve">0.53</w:t>
            </w:r>
          </w:p>
        </w:tc>
      </w:tr>
      <w:tr>
        <w:trPr>
          <w:cantSplit/>
        </w:trPr>
        <w:tc>
          <w:tcPr>
            <w:tcW w:type="dxa" w:w="2633"/>
          </w:tcPr>
          <w:p>
            <w:pPr>
              <w:keepNext/>
              <w:pStyle w:val="Compact"/>
              <w:jc w:val="left"/>
            </w:pPr>
            <w:r>
              <w:t xml:space="preserve">1, ch1, ch2, ch8, ch9</w:t>
            </w:r>
          </w:p>
        </w:tc>
        <w:tc>
          <w:tcPr>
            <w:tcW w:type="dxa" w:w="804"/>
          </w:tcPr>
          <w:p>
            <w:pPr>
              <w:keepNext/>
              <w:pStyle w:val="Compact"/>
              <w:jc w:val="right"/>
            </w:pPr>
            <w:r>
              <w:t xml:space="preserve">7</w:t>
            </w:r>
          </w:p>
        </w:tc>
        <w:tc>
          <w:tcPr>
            <w:tcW w:type="dxa" w:w="1755"/>
          </w:tcPr>
          <w:p>
            <w:pPr>
              <w:keepNext/>
              <w:pStyle w:val="Compact"/>
              <w:jc w:val="right"/>
            </w:pPr>
            <w:r>
              <w:t xml:space="preserve">−1.49 to −2.38</w:t>
            </w:r>
          </w:p>
        </w:tc>
        <w:tc>
          <w:tcPr>
            <w:tcW w:type="dxa" w:w="1536"/>
          </w:tcPr>
          <w:p>
            <w:pPr>
              <w:keepNext/>
              <w:pStyle w:val="Compact"/>
              <w:jc w:val="right"/>
            </w:pPr>
            <w:r>
              <w:t xml:space="preserve">17.2–19.1</w:t>
            </w:r>
          </w:p>
        </w:tc>
        <w:tc>
          <w:tcPr>
            <w:tcW w:type="dxa" w:w="1389"/>
          </w:tcPr>
          <w:p>
            <w:pPr>
              <w:keepNext/>
              <w:pStyle w:val="Compact"/>
              <w:jc w:val="right"/>
            </w:pPr>
            <w:r>
              <w:t xml:space="preserve">7.8–11.0</w:t>
            </w:r>
          </w:p>
        </w:tc>
        <w:tc>
          <w:tcPr>
            <w:tcW w:type="dxa" w:w="950"/>
          </w:tcPr>
          <w:p>
            <w:pPr>
              <w:keepNext/>
              <w:pStyle w:val="Compact"/>
              <w:jc w:val="right"/>
            </w:pPr>
            <w:r>
              <w:t xml:space="preserve">≤ 0.012</w:t>
            </w:r>
          </w:p>
        </w:tc>
      </w:tr>
      <w:tr>
        <w:trPr>
          <w:cantSplit/>
        </w:trPr>
        <w:tc>
          <w:tcPr>
            <w:tcW w:type="dxa" w:w="2633"/>
          </w:tcPr>
          <w:p>
            <w:pPr>
              <w:keepNext/>
              <w:pStyle w:val="Compact"/>
              <w:jc w:val="left"/>
            </w:pPr>
            <w:r>
              <w:t xml:space="preserve">2, st36</w:t>
            </w:r>
          </w:p>
        </w:tc>
        <w:tc>
          <w:tcPr>
            <w:tcW w:type="dxa" w:w="804"/>
          </w:tcPr>
          <w:p>
            <w:pPr>
              <w:keepNext/>
              <w:pStyle w:val="Compact"/>
              <w:jc w:val="right"/>
            </w:pPr>
            <w:r>
              <w:t xml:space="preserve">8</w:t>
            </w:r>
          </w:p>
        </w:tc>
        <w:tc>
          <w:tcPr>
            <w:tcW w:type="dxa" w:w="1755"/>
          </w:tcPr>
          <w:p>
            <w:pPr>
              <w:keepNext/>
              <w:pStyle w:val="Compact"/>
              <w:jc w:val="right"/>
            </w:pPr>
            <w:r>
              <w:t xml:space="preserve">−5.97 (−6.57, −5.38)</w:t>
            </w:r>
          </w:p>
        </w:tc>
        <w:tc>
          <w:tcPr>
            <w:tcW w:type="dxa" w:w="1536"/>
          </w:tcPr>
          <w:p>
            <w:pPr>
              <w:keepNext/>
              <w:pStyle w:val="Compact"/>
              <w:jc w:val="right"/>
            </w:pPr>
            <w:r>
              <w:t xml:space="preserve">12.0</w:t>
            </w:r>
          </w:p>
        </w:tc>
        <w:tc>
          <w:tcPr>
            <w:tcW w:type="dxa" w:w="1389"/>
          </w:tcPr>
          <w:p>
            <w:pPr>
              <w:keepNext/>
              <w:pStyle w:val="Compact"/>
              <w:jc w:val="right"/>
            </w:pPr>
            <w:r>
              <w:t xml:space="preserve">16.5</w:t>
            </w:r>
          </w:p>
        </w:tc>
        <w:tc>
          <w:tcPr>
            <w:tcW w:type="dxa" w:w="950"/>
          </w:tcPr>
          <w:p>
            <w:pPr>
              <w:keepNext/>
              <w:pStyle w:val="Compact"/>
              <w:jc w:val="right"/>
            </w:pPr>
            <w:r>
              <w:t xml:space="preserve">0.73</w:t>
            </w:r>
          </w:p>
        </w:tc>
      </w:tr>
      <w:tr>
        <w:trPr>
          <w:cantSplit/>
        </w:trPr>
        <w:tc>
          <w:tcPr>
            <w:tcW w:type="dxa" w:w="2633"/>
          </w:tcPr>
          <w:p>
            <w:pPr>
              <w:keepNext/>
              <w:pStyle w:val="Compact"/>
              <w:jc w:val="left"/>
            </w:pPr>
            <w:r>
              <w:t xml:space="preserve">2, gauge average (4 gauges)</w:t>
            </w:r>
          </w:p>
        </w:tc>
        <w:tc>
          <w:tcPr>
            <w:tcW w:type="dxa" w:w="804"/>
          </w:tcPr>
          <w:p>
            <w:pPr>
              <w:keepNext/>
              <w:pStyle w:val="Compact"/>
              <w:jc w:val="right"/>
            </w:pPr>
            <w:r>
              <w:t xml:space="preserve">8</w:t>
            </w:r>
          </w:p>
        </w:tc>
        <w:tc>
          <w:tcPr>
            <w:tcW w:type="dxa" w:w="1755"/>
          </w:tcPr>
          <w:p>
            <w:pPr>
              <w:keepNext/>
              <w:pStyle w:val="Compact"/>
              <w:jc w:val="right"/>
            </w:pPr>
            <w:r>
              <w:t xml:space="preserve">−4.12 (−4.62, −3.63)</w:t>
            </w:r>
          </w:p>
        </w:tc>
        <w:tc>
          <w:tcPr>
            <w:tcW w:type="dxa" w:w="1536"/>
          </w:tcPr>
          <w:p>
            <w:pPr>
              <w:keepNext/>
              <w:pStyle w:val="Compact"/>
              <w:jc w:val="right"/>
            </w:pPr>
            <w:r>
              <w:t xml:space="preserve">14.4</w:t>
            </w:r>
          </w:p>
        </w:tc>
        <w:tc>
          <w:tcPr>
            <w:tcW w:type="dxa" w:w="1389"/>
          </w:tcPr>
          <w:p>
            <w:pPr>
              <w:keepNext/>
              <w:pStyle w:val="Compact"/>
              <w:jc w:val="right"/>
            </w:pPr>
            <w:r>
              <w:t xml:space="preserve">20.2</w:t>
            </w:r>
          </w:p>
        </w:tc>
        <w:tc>
          <w:tcPr>
            <w:tcW w:type="dxa" w:w="950"/>
          </w:tcPr>
          <w:p>
            <w:pPr>
              <w:keepNext/>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keepLines/>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keepNext/>
              <w:pStyle w:val="Compact"/>
              <w:jc w:val="left"/>
            </w:pPr>
            <w:r>
              <w:t xml:space="preserve">Day, channel</w:t>
            </w:r>
          </w:p>
        </w:tc>
        <w:tc>
          <w:tcPr>
            <w:tcW w:type="dxa" w:w="2604"/>
            <w:tcBorders>
              <w:top w:val="nil"/>
              <w:left w:val="nil"/>
              <w:bottom w:val="single" w:sz="6" w:space="0" w:color="000000"/>
              <w:right w:val="nil"/>
            </w:tcBorders>
          </w:tcPr>
          <w:p>
            <w:pPr>
              <w:keepNext/>
              <w:pStyle w:val="Compact"/>
              <w:jc w:val="right"/>
            </w:pPr>
            <w:r>
              <w:t xml:space="preserve">Ratio (95 % CI)</w:t>
            </w:r>
          </w:p>
        </w:tc>
        <w:tc>
          <w:tcPr>
            <w:tcW w:type="dxa" w:w="3232"/>
            <w:tcBorders>
              <w:top w:val="nil"/>
              <w:left w:val="nil"/>
              <w:bottom w:val="single" w:sz="6" w:space="0" w:color="000000"/>
              <w:right w:val="nil"/>
            </w:tcBorders>
          </w:tcPr>
          <w:p>
            <w:pPr>
              <w:keepNext/>
              <w:pStyle w:val="Compact"/>
              <w:jc w:val="left"/>
            </w:pPr>
            <w:r>
              <w:t xml:space="preserve">Equivalence</w:t>
            </w:r>
          </w:p>
        </w:tc>
      </w:tr>
      <w:tr>
        <w:trPr>
          <w:cantSplit/>
        </w:trPr>
        <w:tc>
          <w:tcPr>
            <w:tcW w:type="dxa" w:w="3232"/>
          </w:tcPr>
          <w:p>
            <w:pPr>
              <w:keepNext/>
              <w:pStyle w:val="Compact"/>
              <w:jc w:val="left"/>
            </w:pPr>
            <w:r>
              <w:t xml:space="preserve">1, ch11 (best)</w:t>
            </w:r>
          </w:p>
        </w:tc>
        <w:tc>
          <w:tcPr>
            <w:tcW w:type="dxa" w:w="2604"/>
          </w:tcPr>
          <w:p>
            <w:pPr>
              <w:keepNext/>
              <w:pStyle w:val="Compact"/>
              <w:jc w:val="right"/>
            </w:pPr>
            <w:r>
              <w:t xml:space="preserve">0.996 (0.874–1.136)</w:t>
            </w:r>
          </w:p>
        </w:tc>
        <w:tc>
          <w:tcPr>
            <w:tcW w:type="dxa" w:w="3232"/>
          </w:tcPr>
          <w:p>
            <w:pPr>
              <w:keepNext/>
              <w:pStyle w:val="Compact"/>
              <w:jc w:val="left"/>
            </w:pPr>
            <w:r>
              <w:t xml:space="preserve">shown within ±10 %</w:t>
            </w:r>
          </w:p>
        </w:tc>
      </w:tr>
      <w:tr>
        <w:trPr>
          <w:cantSplit/>
        </w:trPr>
        <w:tc>
          <w:tcPr>
            <w:tcW w:type="dxa" w:w="3232"/>
          </w:tcPr>
          <w:p>
            <w:pPr>
              <w:keepNext/>
              <w:pStyle w:val="Compact"/>
              <w:jc w:val="left"/>
            </w:pPr>
            <w:r>
              <w:t xml:space="preserve">1, gauge average (4 wheel-path gauges)</w:t>
            </w:r>
          </w:p>
        </w:tc>
        <w:tc>
          <w:tcPr>
            <w:tcW w:type="dxa" w:w="2604"/>
          </w:tcPr>
          <w:p>
            <w:pPr>
              <w:keepNext/>
              <w:pStyle w:val="Compact"/>
              <w:jc w:val="right"/>
            </w:pPr>
            <w:r>
              <w:t xml:space="preserve">0.955 (0.863–1.057)</w:t>
            </w:r>
          </w:p>
        </w:tc>
        <w:tc>
          <w:tcPr>
            <w:tcW w:type="dxa" w:w="3232"/>
          </w:tcPr>
          <w:p>
            <w:pPr>
              <w:keepNext/>
              <w:pStyle w:val="Compact"/>
              <w:jc w:val="left"/>
            </w:pPr>
            <w:r>
              <w:t xml:space="preserve">shown only within ±11.8 %</w:t>
            </w:r>
          </w:p>
        </w:tc>
      </w:tr>
      <w:tr>
        <w:trPr>
          <w:cantSplit/>
        </w:trPr>
        <w:tc>
          <w:tcPr>
            <w:tcW w:type="dxa" w:w="3232"/>
          </w:tcPr>
          <w:p>
            <w:pPr>
              <w:keepNext/>
              <w:pStyle w:val="Compact"/>
              <w:jc w:val="left"/>
            </w:pPr>
            <w:r>
              <w:t xml:space="preserve">1, ch1, ch2, ch8, ch9</w:t>
            </w:r>
          </w:p>
        </w:tc>
        <w:tc>
          <w:tcPr>
            <w:tcW w:type="dxa" w:w="2604"/>
          </w:tcPr>
          <w:p>
            <w:pPr>
              <w:keepNext/>
              <w:pStyle w:val="Compact"/>
              <w:jc w:val="right"/>
            </w:pPr>
            <w:r>
              <w:t xml:space="preserve">0.740–0.783</w:t>
            </w:r>
          </w:p>
        </w:tc>
        <w:tc>
          <w:tcPr>
            <w:tcW w:type="dxa" w:w="3232"/>
          </w:tcPr>
          <w:p>
            <w:pPr>
              <w:keepNext/>
              <w:pStyle w:val="Compact"/>
              <w:jc w:val="left"/>
            </w:pPr>
            <w:r>
              <w:t xml:space="preserve">invariance rejected (CIs exclude 1)</w:t>
            </w:r>
          </w:p>
        </w:tc>
      </w:tr>
      <w:tr>
        <w:trPr>
          <w:cantSplit/>
        </w:trPr>
        <w:tc>
          <w:tcPr>
            <w:tcW w:type="dxa" w:w="3232"/>
          </w:tcPr>
          <w:p>
            <w:pPr>
              <w:keepNext/>
              <w:pStyle w:val="Compact"/>
              <w:jc w:val="left"/>
            </w:pPr>
            <w:r>
              <w:t xml:space="preserve">2, st36</w:t>
            </w:r>
          </w:p>
        </w:tc>
        <w:tc>
          <w:tcPr>
            <w:tcW w:type="dxa" w:w="2604"/>
          </w:tcPr>
          <w:p>
            <w:pPr>
              <w:keepNext/>
              <w:pStyle w:val="Compact"/>
              <w:jc w:val="right"/>
            </w:pPr>
            <w:r>
              <w:t xml:space="preserve">1.005 (0.735–1.375)</w:t>
            </w:r>
          </w:p>
        </w:tc>
        <w:tc>
          <w:tcPr>
            <w:tcW w:type="dxa" w:w="3232"/>
          </w:tcPr>
          <w:p>
            <w:pPr>
              <w:keepNext/>
              <w:pStyle w:val="Compact"/>
              <w:jc w:val="left"/>
            </w:pPr>
            <w:r>
              <w:t xml:space="preserve">not shown</w:t>
            </w:r>
          </w:p>
        </w:tc>
      </w:tr>
      <w:tr>
        <w:trPr>
          <w:cantSplit/>
        </w:trPr>
        <w:tc>
          <w:tcPr>
            <w:tcW w:type="dxa" w:w="3232"/>
          </w:tcPr>
          <w:p>
            <w:pPr>
              <w:keepNext/>
              <w:pStyle w:val="Compact"/>
              <w:jc w:val="left"/>
            </w:pPr>
            <w:r>
              <w:t xml:space="preserve">2, gauge average (4 gauges)</w:t>
            </w:r>
          </w:p>
        </w:tc>
        <w:tc>
          <w:tcPr>
            <w:tcW w:type="dxa" w:w="2604"/>
          </w:tcPr>
          <w:p>
            <w:pPr>
              <w:keepNext/>
              <w:pStyle w:val="Compact"/>
              <w:jc w:val="right"/>
            </w:pPr>
            <w:r>
              <w:t xml:space="preserve">0.978 (0.697–1.374)</w:t>
            </w:r>
          </w:p>
        </w:tc>
        <w:tc>
          <w:tcPr>
            <w:tcW w:type="dxa" w:w="3232"/>
          </w:tcPr>
          <w:p>
            <w:pPr>
              <w:keepNext/>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keepLines/>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keepNext/>
              <w:pStyle w:val="Compact"/>
              <w:jc w:val="left"/>
            </w:pPr>
            <w:r>
              <w:t xml:space="preserve">Estimator</w:t>
            </w:r>
          </w:p>
        </w:tc>
        <w:tc>
          <w:tcPr>
            <w:tcW w:type="dxa" w:w="2356"/>
            <w:tcBorders>
              <w:top w:val="nil"/>
              <w:left w:val="nil"/>
              <w:bottom w:val="single" w:sz="6" w:space="0" w:color="000000"/>
              <w:right w:val="nil"/>
            </w:tcBorders>
          </w:tcPr>
          <w:p>
            <w:pPr>
              <w:keepNext/>
              <w:pStyle w:val="Compact"/>
              <w:jc w:val="right"/>
            </w:pPr>
            <w:r>
              <w:t xml:space="preserve">Day 2, leave-one-run-out</w:t>
            </w:r>
          </w:p>
        </w:tc>
        <w:tc>
          <w:tcPr>
            <w:tcW w:type="dxa" w:w="840"/>
            <w:tcBorders>
              <w:top w:val="nil"/>
              <w:left w:val="nil"/>
              <w:bottom w:val="single" w:sz="6" w:space="0" w:color="000000"/>
              <w:right w:val="nil"/>
            </w:tcBorders>
          </w:tcPr>
          <w:p>
            <w:pPr>
              <w:keepNext/>
              <w:pStyle w:val="Compact"/>
              <w:jc w:val="right"/>
            </w:pPr>
            <w:r>
              <w:t xml:space="preserve">Day 2, LOTO</w:t>
            </w:r>
          </w:p>
        </w:tc>
        <w:tc>
          <w:tcPr>
            <w:tcW w:type="dxa" w:w="1592"/>
            <w:tcBorders>
              <w:top w:val="nil"/>
              <w:left w:val="nil"/>
              <w:bottom w:val="single" w:sz="6" w:space="0" w:color="000000"/>
              <w:right w:val="nil"/>
            </w:tcBorders>
          </w:tcPr>
          <w:p>
            <w:pPr>
              <w:keepNext/>
              <w:pStyle w:val="Compact"/>
              <w:jc w:val="right"/>
            </w:pPr>
            <w:r>
              <w:t xml:space="preserve">Day 1, 12 gauges</w:t>
            </w:r>
          </w:p>
        </w:tc>
        <w:tc>
          <w:tcPr>
            <w:tcW w:type="dxa" w:w="1987"/>
            <w:tcBorders>
              <w:top w:val="nil"/>
              <w:left w:val="nil"/>
              <w:bottom w:val="single" w:sz="6" w:space="0" w:color="000000"/>
              <w:right w:val="nil"/>
            </w:tcBorders>
          </w:tcPr>
          <w:p>
            <w:pPr>
              <w:keepNext/>
              <w:pStyle w:val="Compact"/>
              <w:jc w:val="right"/>
            </w:pPr>
            <w:r>
              <w:t xml:space="preserve">Day 1, 4 wheel-path gauges</w:t>
            </w:r>
          </w:p>
        </w:tc>
      </w:tr>
      <w:tr>
        <w:trPr>
          <w:cantSplit/>
        </w:trPr>
        <w:tc>
          <w:tcPr>
            <w:tcW w:type="dxa" w:w="2292"/>
          </w:tcPr>
          <w:p>
            <w:pPr>
              <w:keepNext/>
              <w:pStyle w:val="Compact"/>
              <w:jc w:val="left"/>
            </w:pPr>
            <w:r>
              <w:t xml:space="preserve">Best single gauge (chosen after the fact)</w:t>
            </w:r>
          </w:p>
        </w:tc>
        <w:tc>
          <w:tcPr>
            <w:tcW w:type="dxa" w:w="2356"/>
          </w:tcPr>
          <w:p>
            <w:pPr>
              <w:keepNext/>
              <w:pStyle w:val="Compact"/>
              <w:jc w:val="right"/>
            </w:pPr>
            <w:r>
              <w:t xml:space="preserve">8.4 (2.9–15.3)</w:t>
            </w:r>
          </w:p>
        </w:tc>
        <w:tc>
          <w:tcPr>
            <w:tcW w:type="dxa" w:w="840"/>
          </w:tcPr>
          <w:p>
            <w:pPr>
              <w:keepNext/>
              <w:pStyle w:val="Compact"/>
              <w:jc w:val="right"/>
            </w:pPr>
            <w:r>
              <w:t xml:space="preserve">7.6</w:t>
            </w:r>
          </w:p>
        </w:tc>
        <w:tc>
          <w:tcPr>
            <w:tcW w:type="dxa" w:w="1592"/>
          </w:tcPr>
          <w:p>
            <w:pPr>
              <w:keepNext/>
              <w:pStyle w:val="Compact"/>
              <w:jc w:val="right"/>
            </w:pPr>
            <w:r>
              <w:t xml:space="preserve">4.8 (1.8–7.9)</w:t>
            </w:r>
          </w:p>
        </w:tc>
        <w:tc>
          <w:tcPr>
            <w:tcW w:type="dxa" w:w="1987"/>
          </w:tcPr>
          <w:p>
            <w:pPr>
              <w:keepNext/>
              <w:pStyle w:val="Compact"/>
              <w:jc w:val="right"/>
            </w:pPr>
            <w:r>
              <w:t xml:space="preserve">4.8 (1.8–7.9)</w:t>
            </w:r>
          </w:p>
        </w:tc>
      </w:tr>
      <w:tr>
        <w:trPr>
          <w:cantSplit/>
        </w:trPr>
        <w:tc>
          <w:tcPr>
            <w:tcW w:type="dxa" w:w="2292"/>
          </w:tcPr>
          <w:p>
            <w:pPr>
              <w:keepNext/>
              <w:pStyle w:val="Compact"/>
              <w:jc w:val="left"/>
            </w:pPr>
            <w:r>
              <w:t xml:space="preserve">Worst single gauge</w:t>
            </w:r>
          </w:p>
        </w:tc>
        <w:tc>
          <w:tcPr>
            <w:tcW w:type="dxa" w:w="2356"/>
          </w:tcPr>
          <w:p>
            <w:pPr>
              <w:keepNext/>
              <w:pStyle w:val="Compact"/>
              <w:jc w:val="right"/>
            </w:pPr>
            <w:r>
              <w:t xml:space="preserve">27.9 (12.9–44.5)</w:t>
            </w:r>
          </w:p>
        </w:tc>
        <w:tc>
          <w:tcPr>
            <w:tcW w:type="dxa" w:w="840"/>
          </w:tcPr>
          <w:p>
            <w:pPr>
              <w:keepNext/>
              <w:pStyle w:val="Compact"/>
              <w:jc w:val="right"/>
            </w:pPr>
            <w:r>
              <w:t xml:space="preserve">24.3</w:t>
            </w:r>
          </w:p>
        </w:tc>
        <w:tc>
          <w:tcPr>
            <w:tcW w:type="dxa" w:w="1592"/>
          </w:tcPr>
          <w:p>
            <w:pPr>
              <w:keepNext/>
              <w:pStyle w:val="Compact"/>
              <w:jc w:val="right"/>
            </w:pPr>
            <w:r>
              <w:t xml:space="preserve">17.6 (11.0–23.4)</w:t>
            </w:r>
          </w:p>
        </w:tc>
        <w:tc>
          <w:tcPr>
            <w:tcW w:type="dxa" w:w="1987"/>
          </w:tcPr>
          <w:p>
            <w:pPr>
              <w:keepNext/>
              <w:pStyle w:val="Compact"/>
              <w:jc w:val="right"/>
            </w:pPr>
            <w:r>
              <w:t xml:space="preserve">12.1</w:t>
            </w:r>
          </w:p>
        </w:tc>
      </w:tr>
      <w:tr>
        <w:trPr>
          <w:cantSplit/>
        </w:trPr>
        <w:tc>
          <w:tcPr>
            <w:tcW w:type="dxa" w:w="2292"/>
          </w:tcPr>
          <w:p>
            <w:pPr>
              <w:keepNext/>
              <w:pStyle w:val="Compact"/>
              <w:jc w:val="left"/>
            </w:pPr>
            <w:r>
              <w:t xml:space="preserve">Gauge average</w:t>
            </w:r>
          </w:p>
        </w:tc>
        <w:tc>
          <w:tcPr>
            <w:tcW w:type="dxa" w:w="2356"/>
          </w:tcPr>
          <w:p>
            <w:pPr>
              <w:keepNext/>
              <w:pStyle w:val="Compact"/>
              <w:jc w:val="right"/>
            </w:pPr>
            <w:r>
              <w:t xml:space="preserve">11.9 (6.0–18.6)</w:t>
            </w:r>
          </w:p>
        </w:tc>
        <w:tc>
          <w:tcPr>
            <w:tcW w:type="dxa" w:w="840"/>
          </w:tcPr>
          <w:p>
            <w:pPr>
              <w:keepNext/>
              <w:pStyle w:val="Compact"/>
              <w:jc w:val="right"/>
            </w:pPr>
            <w:r>
              <w:t xml:space="preserve">11.1</w:t>
            </w:r>
          </w:p>
        </w:tc>
        <w:tc>
          <w:tcPr>
            <w:tcW w:type="dxa" w:w="1592"/>
          </w:tcPr>
          <w:p>
            <w:pPr>
              <w:keepNext/>
              <w:pStyle w:val="Compact"/>
              <w:jc w:val="right"/>
            </w:pPr>
            <w:r>
              <w:t xml:space="preserve">5.3 (2.5–7.8)</w:t>
            </w:r>
          </w:p>
        </w:tc>
        <w:tc>
          <w:tcPr>
            <w:tcW w:type="dxa" w:w="1987"/>
          </w:tcPr>
          <w:p>
            <w:pPr>
              <w:keepNext/>
              <w:pStyle w:val="Compact"/>
              <w:jc w:val="right"/>
            </w:pPr>
            <w:r>
              <w:t xml:space="preserve">5.4 (3.3–7.4)</w:t>
            </w:r>
          </w:p>
        </w:tc>
      </w:tr>
      <w:tr>
        <w:trPr>
          <w:cantSplit/>
        </w:trPr>
        <w:tc>
          <w:tcPr>
            <w:tcW w:type="dxa" w:w="2292"/>
          </w:tcPr>
          <w:p>
            <w:pPr>
              <w:keepNext/>
              <w:pStyle w:val="Compact"/>
              <w:jc w:val="left"/>
            </w:pPr>
            <w:r>
              <w:t xml:space="preserve">GLS, diagonal</w:t>
            </w:r>
            <w:r>
              <w:t xml:space="preserve"> </w:t>
            </w:r>
            <m:oMath>
              <m:r>
                <m:t>Σ</m:t>
              </m:r>
            </m:oMath>
          </w:p>
        </w:tc>
        <w:tc>
          <w:tcPr>
            <w:tcW w:type="dxa" w:w="2356"/>
          </w:tcPr>
          <w:p>
            <w:pPr>
              <w:keepNext/>
              <w:pStyle w:val="Compact"/>
              <w:jc w:val="right"/>
            </w:pPr>
            <w:r>
              <w:t xml:space="preserve">11.4 (6.0–18.0)</w:t>
            </w:r>
          </w:p>
        </w:tc>
        <w:tc>
          <w:tcPr>
            <w:tcW w:type="dxa" w:w="840"/>
          </w:tcPr>
          <w:p>
            <w:pPr>
              <w:keepNext/>
              <w:pStyle w:val="Compact"/>
              <w:jc w:val="right"/>
            </w:pPr>
            <w:r>
              <w:t xml:space="preserve">10.8</w:t>
            </w:r>
          </w:p>
        </w:tc>
        <w:tc>
          <w:tcPr>
            <w:tcW w:type="dxa" w:w="1592"/>
          </w:tcPr>
          <w:p>
            <w:pPr>
              <w:keepNext/>
              <w:pStyle w:val="Compact"/>
              <w:jc w:val="right"/>
            </w:pPr>
            <w:r>
              <w:t xml:space="preserve">5.3 (2.5–8.0)</w:t>
            </w:r>
          </w:p>
        </w:tc>
        <w:tc>
          <w:tcPr>
            <w:tcW w:type="dxa" w:w="1987"/>
          </w:tcPr>
          <w:p>
            <w:pPr>
              <w:keepNext/>
              <w:pStyle w:val="Compact"/>
              <w:jc w:val="right"/>
            </w:pPr>
            <w:r>
              <w:t xml:space="preserve">5.2 (3.3–7.1)</w:t>
            </w:r>
          </w:p>
        </w:tc>
      </w:tr>
      <w:tr>
        <w:trPr>
          <w:cantSplit/>
        </w:trPr>
        <w:tc>
          <w:tcPr>
            <w:tcW w:type="dxa" w:w="2292"/>
          </w:tcPr>
          <w:p>
            <w:pPr>
              <w:keepNext/>
              <w:pStyle w:val="Compact"/>
              <w:jc w:val="left"/>
            </w:pPr>
            <w:r>
              <w:t xml:space="preserve">GLS, measured</w:t>
            </w:r>
            <w:r>
              <w:t xml:space="preserve"> </w:t>
            </w:r>
            <m:oMath>
              <m:r>
                <m:t>Σ</m:t>
              </m:r>
            </m:oMath>
          </w:p>
        </w:tc>
        <w:tc>
          <w:tcPr>
            <w:tcW w:type="dxa" w:w="2356"/>
          </w:tcPr>
          <w:p>
            <w:pPr>
              <w:keepNext/>
              <w:pStyle w:val="Compact"/>
              <w:jc w:val="right"/>
            </w:pPr>
            <w:r>
              <w:t xml:space="preserve">20.4 (12.3–28.8)</w:t>
            </w:r>
          </w:p>
        </w:tc>
        <w:tc>
          <w:tcPr>
            <w:tcW w:type="dxa" w:w="840"/>
          </w:tcPr>
          <w:p>
            <w:pPr>
              <w:keepNext/>
              <w:pStyle w:val="Compact"/>
              <w:jc w:val="right"/>
            </w:pPr>
            <w:r>
              <w:t xml:space="preserve">17.7</w:t>
            </w:r>
          </w:p>
        </w:tc>
        <w:tc>
          <w:tcPr>
            <w:tcW w:type="dxa" w:w="1592"/>
          </w:tcPr>
          <w:p>
            <w:pPr>
              <w:keepNext/>
              <w:pStyle w:val="Compact"/>
              <w:jc w:val="right"/>
            </w:pPr>
            <w:r>
              <w:t xml:space="preserve">5.8 (3.5–8.1)</w:t>
            </w:r>
          </w:p>
        </w:tc>
        <w:tc>
          <w:tcPr>
            <w:tcW w:type="dxa" w:w="1987"/>
          </w:tcPr>
          <w:p>
            <w:pPr>
              <w:keepNext/>
              <w:pStyle w:val="Compact"/>
              <w:jc w:val="right"/>
            </w:pPr>
            <w:r>
              <w:t xml:space="preserve">4.9 (3.0–6.9)</w:t>
            </w:r>
          </w:p>
        </w:tc>
      </w:tr>
      <w:tr>
        <w:trPr>
          <w:cantSplit/>
        </w:trPr>
        <w:tc>
          <w:tcPr>
            <w:tcW w:type="dxa" w:w="2292"/>
          </w:tcPr>
          <w:p>
            <w:pPr>
              <w:keepNext/>
              <w:pStyle w:val="Compact"/>
              <w:jc w:val="left"/>
            </w:pPr>
            <w:r>
              <w:t xml:space="preserve">Zero-sum, measured</w:t>
            </w:r>
            <w:r>
              <w:t xml:space="preserve"> </w:t>
            </w:r>
            <m:oMath>
              <m:r>
                <m:t>Σ</m:t>
              </m:r>
            </m:oMath>
          </w:p>
        </w:tc>
        <w:tc>
          <w:tcPr>
            <w:tcW w:type="dxa" w:w="2356"/>
          </w:tcPr>
          <w:p>
            <w:pPr>
              <w:keepNext/>
              <w:pStyle w:val="Compact"/>
              <w:jc w:val="right"/>
            </w:pPr>
            <w:r>
              <w:t xml:space="preserve">20.3 (12.4–28.6)</w:t>
            </w:r>
          </w:p>
        </w:tc>
        <w:tc>
          <w:tcPr>
            <w:tcW w:type="dxa" w:w="840"/>
          </w:tcPr>
          <w:p>
            <w:pPr>
              <w:keepNext/>
              <w:pStyle w:val="Compact"/>
              <w:jc w:val="right"/>
            </w:pPr>
            <w:r>
              <w:t xml:space="preserve">18.0</w:t>
            </w:r>
          </w:p>
        </w:tc>
        <w:tc>
          <w:tcPr>
            <w:tcW w:type="dxa" w:w="1592"/>
          </w:tcPr>
          <w:p>
            <w:pPr>
              <w:keepNext/>
              <w:pStyle w:val="Compact"/>
              <w:jc w:val="right"/>
            </w:pPr>
            <w:r>
              <w:t xml:space="preserve">6.0 (2.9–9.3)</w:t>
            </w:r>
          </w:p>
        </w:tc>
        <w:tc>
          <w:tcPr>
            <w:tcW w:type="dxa" w:w="1987"/>
          </w:tcPr>
          <w:p>
            <w:pPr>
              <w:keepNext/>
              <w:pStyle w:val="Compact"/>
              <w:jc w:val="right"/>
            </w:pPr>
            <w:r>
              <w:t xml:space="preserve">8.3 (3.9–13.4)</w:t>
            </w:r>
          </w:p>
        </w:tc>
      </w:tr>
      <w:tr>
        <w:trPr>
          <w:cantSplit/>
        </w:trPr>
        <w:tc>
          <w:tcPr>
            <w:tcW w:type="dxa" w:w="2292"/>
          </w:tcPr>
          <w:p>
            <w:pPr>
              <w:keepNext/>
              <w:pStyle w:val="Compact"/>
              <w:jc w:val="left"/>
            </w:pPr>
            <w:r>
              <w:t xml:space="preserve">Zero-sum,</w:t>
            </w:r>
            <w:r>
              <w:t xml:space="preserve"> </w:t>
            </w:r>
            <m:oMath>
              <m:r>
                <m:t>Σ</m:t>
              </m:r>
            </m:oMath>
            <w:r>
              <w:t xml:space="preserve"> </w:t>
            </w:r>
            <w:r>
              <w:t xml:space="preserve">= identity matrix</w:t>
            </w:r>
          </w:p>
        </w:tc>
        <w:tc>
          <w:tcPr>
            <w:tcW w:type="dxa" w:w="2356"/>
          </w:tcPr>
          <w:p>
            <w:pPr>
              <w:keepNext/>
              <w:pStyle w:val="Compact"/>
              <w:jc w:val="right"/>
            </w:pPr>
            <w:r>
              <w:t xml:space="preserve">12.3 (6.1–20.2)</w:t>
            </w:r>
          </w:p>
        </w:tc>
        <w:tc>
          <w:tcPr>
            <w:tcW w:type="dxa" w:w="840"/>
          </w:tcPr>
          <w:p>
            <w:pPr>
              <w:keepNext/>
              <w:pStyle w:val="Compact"/>
              <w:jc w:val="right"/>
            </w:pPr>
            <w:r>
              <w:t xml:space="preserve">10.8</w:t>
            </w:r>
          </w:p>
        </w:tc>
        <w:tc>
          <w:tcPr>
            <w:tcW w:type="dxa" w:w="1592"/>
          </w:tcPr>
          <w:p>
            <w:pPr>
              <w:keepNext/>
              <w:pStyle w:val="Compact"/>
              <w:jc w:val="right"/>
            </w:pPr>
            <w:r>
              <w:t xml:space="preserve">13.0 (7.1–19.0)</w:t>
            </w:r>
          </w:p>
        </w:tc>
        <w:tc>
          <w:tcPr>
            <w:tcW w:type="dxa" w:w="1987"/>
          </w:tcPr>
          <w:p>
            <w:pPr>
              <w:keepNext/>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keepLines/>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keepNext/>
              <w:pStyle w:val="Compact"/>
              <w:jc w:val="left"/>
            </w:pPr>
            <w:r>
              <w:t xml:space="preserve">Correlation of</w:t>
            </w:r>
          </w:p>
        </w:tc>
        <w:tc>
          <w:tcPr>
            <w:tcW w:type="dxa" w:w="2636"/>
            <w:tcBorders>
              <w:top w:val="nil"/>
              <w:left w:val="nil"/>
              <w:bottom w:val="single" w:sz="6" w:space="0" w:color="000000"/>
              <w:right w:val="nil"/>
            </w:tcBorders>
          </w:tcPr>
          <w:p>
            <w:pPr>
              <w:keepNext/>
              <w:pStyle w:val="Compact"/>
              <w:jc w:val="right"/>
            </w:pPr>
            <w:r>
              <w:t xml:space="preserve">Day 2, 4 gauges</w:t>
            </w:r>
          </w:p>
        </w:tc>
        <w:tc>
          <w:tcPr>
            <w:tcW w:type="dxa" w:w="2636"/>
            <w:tcBorders>
              <w:top w:val="nil"/>
              <w:left w:val="nil"/>
              <w:bottom w:val="single" w:sz="6" w:space="0" w:color="000000"/>
              <w:right w:val="nil"/>
            </w:tcBorders>
          </w:tcPr>
          <w:p>
            <w:pPr>
              <w:keepNext/>
              <w:pStyle w:val="Compact"/>
              <w:jc w:val="right"/>
            </w:pPr>
            <w:r>
              <w:t xml:space="preserve">Day 1, 12 gauges</w:t>
            </w:r>
          </w:p>
        </w:tc>
      </w:tr>
      <w:tr>
        <w:trPr>
          <w:cantSplit/>
        </w:trPr>
        <w:tc>
          <w:tcPr>
            <w:tcW w:type="dxa" w:w="3796"/>
          </w:tcPr>
          <w:p>
            <w:pPr>
              <w:keepNext/>
              <w:pStyle w:val="Compact"/>
              <w:jc w:val="left"/>
            </w:pPr>
            <w:r>
              <w:t xml:space="preserve">vehicle-free noise, non-overlapping windows</w:t>
            </w:r>
          </w:p>
        </w:tc>
        <w:tc>
          <w:tcPr>
            <w:tcW w:type="dxa" w:w="2636"/>
          </w:tcPr>
          <w:p>
            <w:pPr>
              <w:keepNext/>
              <w:pStyle w:val="Compact"/>
              <w:jc w:val="right"/>
            </w:pPr>
            <w:r>
              <w:t xml:space="preserve">0.92 (0.83–0.96)</w:t>
            </w:r>
          </w:p>
        </w:tc>
        <w:tc>
          <w:tcPr>
            <w:tcW w:type="dxa" w:w="2636"/>
          </w:tcPr>
          <w:p>
            <w:pPr>
              <w:keepNext/>
              <w:pStyle w:val="Compact"/>
              <w:jc w:val="right"/>
            </w:pPr>
            <w:r>
              <w:t xml:space="preserve">0.42 (0.26–0.54)</w:t>
            </w:r>
          </w:p>
        </w:tc>
      </w:tr>
      <w:tr>
        <w:trPr>
          <w:cantSplit/>
        </w:trPr>
        <w:tc>
          <w:tcPr>
            <w:tcW w:type="dxa" w:w="3796"/>
          </w:tcPr>
          <w:p>
            <w:pPr>
              <w:keepNext/>
              <w:pStyle w:val="Compact"/>
              <w:jc w:val="left"/>
            </w:pPr>
            <w:r>
              <w:t xml:space="preserve">vehicle-free noise, window length of each crossing</w:t>
            </w:r>
          </w:p>
        </w:tc>
        <w:tc>
          <w:tcPr>
            <w:tcW w:type="dxa" w:w="2636"/>
          </w:tcPr>
          <w:p>
            <w:pPr>
              <w:keepNext/>
              <w:pStyle w:val="Compact"/>
              <w:jc w:val="right"/>
            </w:pPr>
            <w:r>
              <w:t xml:space="preserve">0.90</w:t>
            </w:r>
          </w:p>
        </w:tc>
        <w:tc>
          <w:tcPr>
            <w:tcW w:type="dxa" w:w="2636"/>
          </w:tcPr>
          <w:p>
            <w:pPr>
              <w:keepNext/>
              <w:pStyle w:val="Compact"/>
              <w:jc w:val="right"/>
            </w:pPr>
            <w:r>
              <w:t xml:space="preserve">0.42</w:t>
            </w:r>
          </w:p>
        </w:tc>
      </w:tr>
      <w:tr>
        <w:trPr>
          <w:cantSplit/>
        </w:trPr>
        <w:tc>
          <w:tcPr>
            <w:tcW w:type="dxa" w:w="3796"/>
          </w:tcPr>
          <w:p>
            <w:pPr>
              <w:keepNext/>
              <w:pStyle w:val="Compact"/>
              <w:jc w:val="left"/>
            </w:pPr>
            <w:r>
              <w:t xml:space="preserve">crossing residuals</w:t>
            </w:r>
          </w:p>
        </w:tc>
        <w:tc>
          <w:tcPr>
            <w:tcW w:type="dxa" w:w="2636"/>
          </w:tcPr>
          <w:p>
            <w:pPr>
              <w:keepNext/>
              <w:pStyle w:val="Compact"/>
              <w:jc w:val="right"/>
            </w:pPr>
            <w:r>
              <w:t xml:space="preserve">0.63</w:t>
            </w:r>
          </w:p>
        </w:tc>
        <w:tc>
          <w:tcPr>
            <w:tcW w:type="dxa" w:w="2636"/>
          </w:tcPr>
          <w:p>
            <w:pPr>
              <w:keepNext/>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keepLines/>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keepNext/>
              <w:pStyle w:val="Compact"/>
              <w:jc w:val="left"/>
            </w:pPr>
            <w:r>
              <w:t xml:space="preserve">Quantity</w:t>
            </w:r>
          </w:p>
        </w:tc>
        <w:tc>
          <w:tcPr>
            <w:tcW w:type="dxa" w:w="2360"/>
            <w:tcBorders>
              <w:top w:val="nil"/>
              <w:left w:val="nil"/>
              <w:bottom w:val="single" w:sz="6" w:space="0" w:color="000000"/>
              <w:right w:val="nil"/>
            </w:tcBorders>
          </w:tcPr>
          <w:p>
            <w:pPr>
              <w:keepNext/>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keepNext/>
              <w:pStyle w:val="Compact"/>
              <w:jc w:val="right"/>
            </w:pPr>
            <w:r>
              <w:t xml:space="preserve">Gauge average</w:t>
            </w:r>
          </w:p>
        </w:tc>
      </w:tr>
      <w:tr>
        <w:trPr>
          <w:cantSplit/>
        </w:trPr>
        <w:tc>
          <w:tcPr>
            <w:tcW w:type="dxa" w:w="4597"/>
          </w:tcPr>
          <w:p>
            <w:pPr>
              <w:keepNext/>
              <w:pStyle w:val="Compact"/>
              <w:jc w:val="left"/>
            </w:pPr>
            <w:r>
              <w:t xml:space="preserve">SD predicted from the vehicle-free covariance</w:t>
            </w:r>
          </w:p>
        </w:tc>
        <w:tc>
          <w:tcPr>
            <w:tcW w:type="dxa" w:w="2360"/>
          </w:tcPr>
          <w:p>
            <w:pPr>
              <w:keepNext/>
              <w:pStyle w:val="Compact"/>
              <w:jc w:val="right"/>
            </w:pPr>
            <w:r>
              <w:t xml:space="preserve">12.7</w:t>
            </w:r>
          </w:p>
        </w:tc>
        <w:tc>
          <w:tcPr>
            <w:tcW w:type="dxa" w:w="2112"/>
          </w:tcPr>
          <w:p>
            <w:pPr>
              <w:keepNext/>
              <w:pStyle w:val="Compact"/>
              <w:jc w:val="right"/>
            </w:pPr>
            <w:r>
              <w:t xml:space="preserve">19.8</w:t>
            </w:r>
          </w:p>
        </w:tc>
      </w:tr>
      <w:tr>
        <w:trPr>
          <w:cantSplit/>
        </w:trPr>
        <w:tc>
          <w:tcPr>
            <w:tcW w:type="dxa" w:w="4597"/>
          </w:tcPr>
          <w:p>
            <w:pPr>
              <w:keepNext/>
              <w:pStyle w:val="Compact"/>
              <w:jc w:val="left"/>
            </w:pPr>
            <w:r>
              <w:t xml:space="preserve">SD predicted from the covariance of the crossing residuals</w:t>
            </w:r>
          </w:p>
        </w:tc>
        <w:tc>
          <w:tcPr>
            <w:tcW w:type="dxa" w:w="2360"/>
          </w:tcPr>
          <w:p>
            <w:pPr>
              <w:keepNext/>
              <w:pStyle w:val="Compact"/>
              <w:jc w:val="right"/>
            </w:pPr>
            <w:r>
              <w:t xml:space="preserve">21.0</w:t>
            </w:r>
          </w:p>
        </w:tc>
        <w:tc>
          <w:tcPr>
            <w:tcW w:type="dxa" w:w="2112"/>
          </w:tcPr>
          <w:p>
            <w:pPr>
              <w:keepNext/>
              <w:pStyle w:val="Compact"/>
              <w:jc w:val="right"/>
            </w:pPr>
            <w:r>
              <w:t xml:space="preserve">14.6</w:t>
            </w:r>
          </w:p>
        </w:tc>
      </w:tr>
      <w:tr>
        <w:trPr>
          <w:cantSplit/>
        </w:trPr>
        <w:tc>
          <w:tcPr>
            <w:tcW w:type="dxa" w:w="4597"/>
          </w:tcPr>
          <w:p>
            <w:pPr>
              <w:pStyle w:val="Compact"/>
              <w:jc w:val="left"/>
            </w:pPr>
            <w:r>
              <w:t xml:space="preserve">Observed MAE, leave-one-run-out (main-text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nor/>
              </m:rPr>
              <m:t>c</m:t>
            </m:r>
          </m:sub>
        </m:sSub>
      </m:oMath>
      <w:r>
        <w:t xml:space="preserve"> </w:t>
      </w:r>
      <w:r>
        <w:t xml:space="preserve">= 36 057 MPa. Model-form variants:</w:t>
      </w:r>
      <w:r>
        <w:t xml:space="preserve"> </w:t>
      </w:r>
      <m:oMath>
        <m:sSub>
          <m:e>
            <m:r>
              <m:t>L</m:t>
            </m:r>
          </m:e>
          <m:sub>
            <m:r>
              <m:rPr>
                <m:sty m:val="p"/>
                <m:nor/>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nor/>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nor/>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keepLines/>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keepLines/>
      </w:pPr>
      <w:r>
        <w:rPr>
          <w:bCs/>
          <w:b/>
        </w:rPr>
        <w:t xml:space="preserve">Figure S15.</w:t>
      </w:r>
      <w:r>
        <w:t xml:space="preserve"> </w:t>
      </w:r>
      <w:r>
        <w:t xml:space="preserve">Mây Bridge: static misfit over the effective-to-design rigidity ratio</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nor/>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keepLines/>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keepNext/>
              <w:pStyle w:val="Compact"/>
              <w:jc w:val="right"/>
            </w:pPr>
            <w:r>
              <w:t xml:space="preserve">Truck</w:t>
            </w:r>
          </w:p>
        </w:tc>
        <w:tc>
          <w:tcPr>
            <w:tcW w:type="dxa" w:w="1799"/>
            <w:tcBorders>
              <w:top w:val="nil"/>
              <w:left w:val="nil"/>
              <w:bottom w:val="single" w:sz="6" w:space="0" w:color="000000"/>
              <w:right w:val="nil"/>
            </w:tcBorders>
          </w:tcPr>
          <w:p>
            <w:pPr>
              <w:keepNext/>
              <w:pStyle w:val="Compact"/>
              <w:jc w:val="right"/>
            </w:pPr>
            <w:r>
              <w:t xml:space="preserve">Gross weight (t)</w:t>
            </w:r>
          </w:p>
        </w:tc>
        <w:tc>
          <w:tcPr>
            <w:tcW w:type="dxa" w:w="2473"/>
            <w:tcBorders>
              <w:top w:val="nil"/>
              <w:left w:val="nil"/>
              <w:bottom w:val="single" w:sz="6" w:space="0" w:color="000000"/>
              <w:right w:val="nil"/>
            </w:tcBorders>
          </w:tcPr>
          <w:p>
            <w:pPr>
              <w:keepNext/>
              <w:pStyle w:val="Compact"/>
              <w:jc w:val="right"/>
            </w:pPr>
            <w:r>
              <w:t xml:space="preserve">Front axle spacing (m)</w:t>
            </w:r>
          </w:p>
        </w:tc>
        <w:tc>
          <w:tcPr>
            <w:tcW w:type="dxa" w:w="2361"/>
            <w:tcBorders>
              <w:top w:val="nil"/>
              <w:left w:val="nil"/>
              <w:bottom w:val="single" w:sz="6" w:space="0" w:color="000000"/>
              <w:right w:val="nil"/>
            </w:tcBorders>
          </w:tcPr>
          <w:p>
            <w:pPr>
              <w:keepNext/>
              <w:pStyle w:val="Compact"/>
              <w:jc w:val="right"/>
            </w:pPr>
            <w:r>
              <w:t xml:space="preserve">Rear axle spacing (m)</w:t>
            </w:r>
          </w:p>
        </w:tc>
        <w:tc>
          <w:tcPr>
            <w:tcW w:type="dxa" w:w="1218"/>
            <w:tcBorders>
              <w:top w:val="nil"/>
              <w:left w:val="nil"/>
              <w:bottom w:val="single" w:sz="6" w:space="0" w:color="000000"/>
              <w:right w:val="nil"/>
            </w:tcBorders>
          </w:tcPr>
          <w:p>
            <w:pPr>
              <w:keepNext/>
              <w:pStyle w:val="Compact"/>
              <w:jc w:val="right"/>
            </w:pPr>
            <w:r>
              <w:t xml:space="preserve">Track (m)</w:t>
            </w:r>
          </w:p>
        </w:tc>
      </w:tr>
      <w:tr>
        <w:trPr>
          <w:cantSplit/>
        </w:trPr>
        <w:tc>
          <w:tcPr>
            <w:tcW w:type="dxa" w:w="1218"/>
          </w:tcPr>
          <w:p>
            <w:pPr>
              <w:keepNext/>
              <w:pStyle w:val="Compact"/>
              <w:jc w:val="right"/>
            </w:pPr>
            <w:r>
              <w:t xml:space="preserve">1</w:t>
            </w:r>
          </w:p>
        </w:tc>
        <w:tc>
          <w:tcPr>
            <w:tcW w:type="dxa" w:w="1799"/>
          </w:tcPr>
          <w:p>
            <w:pPr>
              <w:keepNext/>
              <w:pStyle w:val="Compact"/>
              <w:jc w:val="right"/>
            </w:pPr>
            <w:r>
              <w:t xml:space="preserve">24.7</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2</w:t>
            </w:r>
          </w:p>
        </w:tc>
        <w:tc>
          <w:tcPr>
            <w:tcW w:type="dxa" w:w="1799"/>
          </w:tcPr>
          <w:p>
            <w:pPr>
              <w:keepNext/>
              <w:pStyle w:val="Compact"/>
              <w:jc w:val="right"/>
            </w:pPr>
            <w:r>
              <w:t xml:space="preserve">25</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3</w:t>
            </w:r>
          </w:p>
        </w:tc>
        <w:tc>
          <w:tcPr>
            <w:tcW w:type="dxa" w:w="1799"/>
          </w:tcPr>
          <w:p>
            <w:pPr>
              <w:keepNext/>
              <w:pStyle w:val="Compact"/>
              <w:jc w:val="right"/>
            </w:pPr>
            <w:r>
              <w:t xml:space="preserve">25.66</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4</w:t>
            </w:r>
          </w:p>
        </w:tc>
        <w:tc>
          <w:tcPr>
            <w:tcW w:type="dxa" w:w="1799"/>
          </w:tcPr>
          <w:p>
            <w:pPr>
              <w:keepNext/>
              <w:pStyle w:val="Compact"/>
              <w:jc w:val="right"/>
            </w:pPr>
            <w:r>
              <w:t xml:space="preserve">25.06</w:t>
            </w:r>
          </w:p>
        </w:tc>
        <w:tc>
          <w:tcPr>
            <w:tcW w:type="dxa" w:w="2473"/>
          </w:tcPr>
          <w:p>
            <w:pPr>
              <w:keepNext/>
              <w:pStyle w:val="Compact"/>
              <w:jc w:val="right"/>
            </w:pPr>
            <w:r>
              <w:t xml:space="preserve">3.85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5</w:t>
            </w:r>
          </w:p>
        </w:tc>
        <w:tc>
          <w:tcPr>
            <w:tcW w:type="dxa" w:w="1799"/>
          </w:tcPr>
          <w:p>
            <w:pPr>
              <w:keepNext/>
              <w:pStyle w:val="Compact"/>
              <w:jc w:val="right"/>
            </w:pPr>
            <w:r>
              <w:t xml:space="preserve">25.05</w:t>
            </w:r>
          </w:p>
        </w:tc>
        <w:tc>
          <w:tcPr>
            <w:tcW w:type="dxa" w:w="2473"/>
          </w:tcPr>
          <w:p>
            <w:pPr>
              <w:keepNext/>
              <w:pStyle w:val="Compact"/>
              <w:jc w:val="right"/>
            </w:pPr>
            <w:r>
              <w:t xml:space="preserve">3.45</w:t>
            </w:r>
          </w:p>
        </w:tc>
        <w:tc>
          <w:tcPr>
            <w:tcW w:type="dxa" w:w="2361"/>
          </w:tcPr>
          <w:p>
            <w:pPr>
              <w:keepNext/>
              <w:pStyle w:val="Compact"/>
              <w:jc w:val="right"/>
            </w:pPr>
            <w:r>
              <w:t xml:space="preserve">1.35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6</w:t>
            </w:r>
          </w:p>
        </w:tc>
        <w:tc>
          <w:tcPr>
            <w:tcW w:type="dxa" w:w="1799"/>
          </w:tcPr>
          <w:p>
            <w:pPr>
              <w:keepNext/>
              <w:pStyle w:val="Compact"/>
              <w:jc w:val="right"/>
            </w:pPr>
            <w:r>
              <w:t xml:space="preserve">25.3</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keepNext/>
              <w:pStyle w:val="Compact"/>
              <w:jc w:val="right"/>
            </w:pPr>
            <w:r>
              <w:t xml:space="preserve">7</w:t>
            </w:r>
          </w:p>
        </w:tc>
        <w:tc>
          <w:tcPr>
            <w:tcW w:type="dxa" w:w="1799"/>
          </w:tcPr>
          <w:p>
            <w:pPr>
              <w:keepNext/>
              <w:pStyle w:val="Compact"/>
              <w:jc w:val="right"/>
            </w:pPr>
            <w:r>
              <w:t xml:space="preserve">25.1</w:t>
            </w:r>
          </w:p>
        </w:tc>
        <w:tc>
          <w:tcPr>
            <w:tcW w:type="dxa" w:w="2473"/>
          </w:tcPr>
          <w:p>
            <w:pPr>
              <w:keepNext/>
              <w:pStyle w:val="Compact"/>
              <w:jc w:val="right"/>
            </w:pPr>
            <w:r>
              <w:t xml:space="preserve">3.7</w:t>
            </w:r>
          </w:p>
        </w:tc>
        <w:tc>
          <w:tcPr>
            <w:tcW w:type="dxa" w:w="2361"/>
          </w:tcPr>
          <w:p>
            <w:pPr>
              <w:keepNext/>
              <w:pStyle w:val="Compact"/>
              <w:jc w:val="right"/>
            </w:pPr>
            <w:r>
              <w:t xml:space="preserve">1.45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8</w:t>
            </w:r>
          </w:p>
        </w:tc>
        <w:tc>
          <w:tcPr>
            <w:tcW w:type="dxa" w:w="1799"/>
          </w:tcPr>
          <w:p>
            <w:pPr>
              <w:keepNext/>
              <w:pStyle w:val="Compact"/>
              <w:jc w:val="right"/>
            </w:pPr>
            <w:r>
              <w:t xml:space="preserve">25.5</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1.9</w:t>
            </w:r>
          </w:p>
        </w:tc>
      </w:tr>
      <w:tr>
        <w:trPr>
          <w:cantSplit/>
        </w:trPr>
        <w:tc>
          <w:tcPr>
            <w:tcW w:type="dxa" w:w="1218"/>
          </w:tcPr>
          <w:p>
            <w:pPr>
              <w:keepNext/>
              <w:pStyle w:val="Compact"/>
              <w:jc w:val="right"/>
            </w:pPr>
            <w:r>
              <w:t xml:space="preserve">9</w:t>
            </w:r>
          </w:p>
        </w:tc>
        <w:tc>
          <w:tcPr>
            <w:tcW w:type="dxa" w:w="1799"/>
          </w:tcPr>
          <w:p>
            <w:pPr>
              <w:keepNext/>
              <w:pStyle w:val="Compact"/>
              <w:jc w:val="right"/>
            </w:pPr>
            <w:r>
              <w:t xml:space="preserve">24.6</w:t>
            </w:r>
          </w:p>
        </w:tc>
        <w:tc>
          <w:tcPr>
            <w:tcW w:type="dxa" w:w="2473"/>
          </w:tcPr>
          <w:p>
            <w:pPr>
              <w:keepNext/>
              <w:pStyle w:val="Compact"/>
              <w:jc w:val="right"/>
            </w:pPr>
            <w:r>
              <w:t xml:space="preserve">3.65</w:t>
            </w:r>
          </w:p>
        </w:tc>
        <w:tc>
          <w:tcPr>
            <w:tcW w:type="dxa" w:w="2361"/>
          </w:tcPr>
          <w:p>
            <w:pPr>
              <w:keepNext/>
              <w:pStyle w:val="Compact"/>
              <w:jc w:val="right"/>
            </w:pPr>
            <w:r>
              <w:t xml:space="preserve">1.45</w:t>
            </w:r>
          </w:p>
        </w:tc>
        <w:tc>
          <w:tcPr>
            <w:tcW w:type="dxa" w:w="1218"/>
          </w:tcPr>
          <w:p>
            <w:pPr>
              <w:keepNext/>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keepLines/>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keepNext/>
              <w:pStyle w:val="Compact"/>
              <w:jc w:val="left"/>
            </w:pPr>
            <w:r>
              <w:t xml:space="preserve">Section</w:t>
            </w:r>
          </w:p>
        </w:tc>
        <w:tc>
          <w:tcPr>
            <w:tcW w:type="dxa" w:w="2233"/>
            <w:tcBorders>
              <w:top w:val="nil"/>
              <w:left w:val="nil"/>
              <w:bottom w:val="single" w:sz="6" w:space="0" w:color="000000"/>
              <w:right w:val="nil"/>
            </w:tcBorders>
          </w:tcPr>
          <w:p>
            <w:pPr>
              <w:keepNext/>
              <w:pStyle w:val="Compact"/>
              <w:jc w:val="left"/>
            </w:pPr>
            <w:r>
              <w:t xml:space="preserve">Measuring point</w:t>
            </w:r>
          </w:p>
        </w:tc>
        <w:tc>
          <w:tcPr>
            <w:tcW w:type="dxa" w:w="1650"/>
            <w:tcBorders>
              <w:top w:val="nil"/>
              <w:left w:val="nil"/>
              <w:bottom w:val="single" w:sz="6" w:space="0" w:color="000000"/>
              <w:right w:val="nil"/>
            </w:tcBorders>
          </w:tcPr>
          <w:p>
            <w:pPr>
              <w:keepNext/>
              <w:pStyle w:val="Compact"/>
              <w:jc w:val="right"/>
            </w:pPr>
            <w:r>
              <w:t xml:space="preserve">Central</w:t>
            </w:r>
          </w:p>
        </w:tc>
        <w:tc>
          <w:tcPr>
            <w:tcW w:type="dxa" w:w="2039"/>
            <w:tcBorders>
              <w:top w:val="nil"/>
              <w:left w:val="nil"/>
              <w:bottom w:val="single" w:sz="6" w:space="0" w:color="000000"/>
              <w:right w:val="nil"/>
            </w:tcBorders>
          </w:tcPr>
          <w:p>
            <w:pPr>
              <w:keepNext/>
              <w:pStyle w:val="Compact"/>
              <w:jc w:val="right"/>
            </w:pPr>
            <w:r>
              <w:t xml:space="preserve">Eccentric</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right edge</w:t>
            </w:r>
          </w:p>
        </w:tc>
        <w:tc>
          <w:tcPr>
            <w:tcW w:type="dxa" w:w="1650"/>
          </w:tcPr>
          <w:p>
            <w:pPr>
              <w:keepNext/>
              <w:pStyle w:val="Compact"/>
              <w:jc w:val="right"/>
            </w:pPr>
            <w:r>
              <w:t xml:space="preserve">5.32</w:t>
            </w:r>
          </w:p>
        </w:tc>
        <w:tc>
          <w:tcPr>
            <w:tcW w:type="dxa" w:w="2039"/>
          </w:tcPr>
          <w:p>
            <w:pPr>
              <w:keepNext/>
              <w:pStyle w:val="Compact"/>
              <w:jc w:val="right"/>
            </w:pPr>
            <w:r>
              <w:t xml:space="preserve">5.91</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centerline</w:t>
            </w:r>
          </w:p>
        </w:tc>
        <w:tc>
          <w:tcPr>
            <w:tcW w:type="dxa" w:w="1650"/>
          </w:tcPr>
          <w:p>
            <w:pPr>
              <w:keepNext/>
              <w:pStyle w:val="Compact"/>
              <w:jc w:val="right"/>
            </w:pPr>
            <w:r>
              <w:t xml:space="preserve">5.56</w:t>
            </w:r>
          </w:p>
        </w:tc>
        <w:tc>
          <w:tcPr>
            <w:tcW w:type="dxa" w:w="2039"/>
          </w:tcPr>
          <w:p>
            <w:pPr>
              <w:keepNext/>
              <w:pStyle w:val="Compact"/>
              <w:jc w:val="right"/>
            </w:pPr>
            <w:r>
              <w:t xml:space="preserve">5.55</w:t>
            </w:r>
          </w:p>
        </w:tc>
      </w:tr>
      <w:tr>
        <w:trPr>
          <w:cantSplit/>
        </w:trPr>
        <w:tc>
          <w:tcPr>
            <w:tcW w:type="dxa" w:w="3146"/>
          </w:tcPr>
          <w:p>
            <w:pPr>
              <w:keepNext/>
              <w:pStyle w:val="Compact"/>
              <w:jc w:val="left"/>
            </w:pPr>
            <w:r>
              <w:t xml:space="preserve">N8, side span, 0.4</w:t>
            </w:r>
            <m:oMath>
              <m:r>
                <m:t>L</m:t>
              </m:r>
            </m:oMath>
            <w:r>
              <w:t xml:space="preserve"> </w:t>
            </w:r>
            <w:r>
              <w:t xml:space="preserve">from T8</w:t>
            </w:r>
          </w:p>
        </w:tc>
        <w:tc>
          <w:tcPr>
            <w:tcW w:type="dxa" w:w="2233"/>
          </w:tcPr>
          <w:p>
            <w:pPr>
              <w:keepNext/>
              <w:pStyle w:val="Compact"/>
              <w:jc w:val="left"/>
            </w:pPr>
            <w:r>
              <w:t xml:space="preserve">left edge</w:t>
            </w:r>
          </w:p>
        </w:tc>
        <w:tc>
          <w:tcPr>
            <w:tcW w:type="dxa" w:w="1650"/>
          </w:tcPr>
          <w:p>
            <w:pPr>
              <w:keepNext/>
              <w:pStyle w:val="Compact"/>
              <w:jc w:val="right"/>
            </w:pPr>
            <w:r>
              <w:t xml:space="preserve">5.76</w:t>
            </w:r>
          </w:p>
        </w:tc>
        <w:tc>
          <w:tcPr>
            <w:tcW w:type="dxa" w:w="2039"/>
          </w:tcPr>
          <w:p>
            <w:pPr>
              <w:keepNext/>
              <w:pStyle w:val="Compact"/>
              <w:jc w:val="right"/>
            </w:pPr>
            <w:r>
              <w:t xml:space="preserve">5.22</w:t>
            </w:r>
          </w:p>
        </w:tc>
      </w:tr>
      <w:tr>
        <w:trPr>
          <w:cantSplit/>
        </w:trPr>
        <w:tc>
          <w:tcPr>
            <w:tcW w:type="dxa" w:w="3146"/>
          </w:tcPr>
          <w:p>
            <w:pPr>
              <w:keepNext/>
              <w:pStyle w:val="Compact"/>
              <w:jc w:val="left"/>
            </w:pPr>
            <w:r>
              <w:t xml:space="preserve">N7, mid main span</w:t>
            </w:r>
          </w:p>
        </w:tc>
        <w:tc>
          <w:tcPr>
            <w:tcW w:type="dxa" w:w="2233"/>
          </w:tcPr>
          <w:p>
            <w:pPr>
              <w:keepNext/>
              <w:pStyle w:val="Compact"/>
              <w:jc w:val="left"/>
            </w:pPr>
            <w:r>
              <w:t xml:space="preserve">right edge</w:t>
            </w:r>
          </w:p>
        </w:tc>
        <w:tc>
          <w:tcPr>
            <w:tcW w:type="dxa" w:w="1650"/>
          </w:tcPr>
          <w:p>
            <w:pPr>
              <w:keepNext/>
              <w:pStyle w:val="Compact"/>
              <w:jc w:val="right"/>
            </w:pPr>
            <w:r>
              <w:t xml:space="preserve">14.68</w:t>
            </w:r>
          </w:p>
        </w:tc>
        <w:tc>
          <w:tcPr>
            <w:tcW w:type="dxa" w:w="2039"/>
          </w:tcPr>
          <w:p>
            <w:pPr>
              <w:keepNext/>
              <w:pStyle w:val="Compact"/>
              <w:jc w:val="right"/>
            </w:pPr>
            <w:r>
              <w:t xml:space="preserve">14.62</w:t>
            </w:r>
          </w:p>
        </w:tc>
      </w:tr>
      <w:tr>
        <w:trPr>
          <w:cantSplit/>
        </w:trPr>
        <w:tc>
          <w:tcPr>
            <w:tcW w:type="dxa" w:w="3146"/>
          </w:tcPr>
          <w:p>
            <w:pPr>
              <w:keepNext/>
              <w:pStyle w:val="Compact"/>
              <w:jc w:val="left"/>
            </w:pPr>
            <w:r>
              <w:t xml:space="preserve">N7, mid main span</w:t>
            </w:r>
          </w:p>
        </w:tc>
        <w:tc>
          <w:tcPr>
            <w:tcW w:type="dxa" w:w="2233"/>
          </w:tcPr>
          <w:p>
            <w:pPr>
              <w:keepNext/>
              <w:pStyle w:val="Compact"/>
              <w:jc w:val="left"/>
            </w:pPr>
            <w:r>
              <w:t xml:space="preserve">centerline</w:t>
            </w:r>
          </w:p>
        </w:tc>
        <w:tc>
          <w:tcPr>
            <w:tcW w:type="dxa" w:w="1650"/>
          </w:tcPr>
          <w:p>
            <w:pPr>
              <w:keepNext/>
              <w:pStyle w:val="Compact"/>
              <w:jc w:val="right"/>
            </w:pPr>
            <w:r>
              <w:t xml:space="preserve">15.24</w:t>
            </w:r>
          </w:p>
        </w:tc>
        <w:tc>
          <w:tcPr>
            <w:tcW w:type="dxa" w:w="2039"/>
          </w:tcPr>
          <w:p>
            <w:pPr>
              <w:keepNext/>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keepLines/>
      </w:pPr>
      <w:r>
        <w:rPr>
          <w:bCs/>
          <w:b/>
        </w:rPr>
        <w:t xml:space="preserve">Table S13.</w:t>
      </w:r>
      <w:r>
        <w:t xml:space="preserve"> </w:t>
      </w:r>
      <w:r>
        <w:t xml:space="preserve">Admissible set of the Mây Bridge model (base model,</w:t>
      </w:r>
      <w:r>
        <w:t xml:space="preserve"> </w:t>
      </w:r>
      <m:oMath>
        <m:sSub>
          <m:e>
            <m:r>
              <m:t>L</m:t>
            </m:r>
          </m:e>
          <m:sub>
            <m:r>
              <m:rPr>
                <m:sty m:val="p"/>
                <m:nor/>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keepNext/>
              <w:pStyle w:val="Compact"/>
              <w:jc w:val="left"/>
            </w:pPr>
            <w:r>
              <w:t xml:space="preserve">Tolerance, prior</w:t>
            </w:r>
          </w:p>
        </w:tc>
        <w:tc>
          <w:tcPr>
            <w:tcW w:type="dxa" w:w="979"/>
            <w:tcBorders>
              <w:top w:val="nil"/>
              <w:left w:val="nil"/>
              <w:bottom w:val="single" w:sz="6" w:space="0" w:color="000000"/>
              <w:right w:val="nil"/>
            </w:tcBorders>
          </w:tcPr>
          <w:p>
            <w:pPr>
              <w:keepNext/>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keepNext/>
              <w:pStyle w:val="Compact"/>
              <w:jc w:val="right"/>
            </w:pPr>
            <m:oMath>
              <m:r>
                <m:t>α</m:t>
              </m:r>
            </m:oMath>
          </w:p>
        </w:tc>
        <w:tc>
          <w:tcPr>
            <w:tcW w:type="dxa" w:w="1030"/>
            <w:tcBorders>
              <w:top w:val="nil"/>
              <w:left w:val="nil"/>
              <w:bottom w:val="single" w:sz="6" w:space="0" w:color="000000"/>
              <w:right w:val="nil"/>
            </w:tcBorders>
          </w:tcPr>
          <w:p>
            <w:pPr>
              <w:keepNext/>
              <w:pStyle w:val="Compact"/>
              <w:jc w:val="right"/>
            </w:pPr>
            <w:r>
              <w:t xml:space="preserve">N8 indicator,</w:t>
            </w:r>
            <w:r>
              <w:t xml:space="preserve"> </w:t>
            </w:r>
            <m:oMath>
              <m:r>
                <m:t>α</m:t>
              </m:r>
              <m:r>
                <m:t>E</m:t>
              </m:r>
              <m:sSub>
                <m:e>
                  <m:r>
                    <m:t>I</m:t>
                  </m:r>
                </m:e>
                <m:sub>
                  <m:r>
                    <m:rPr>
                      <m:sty m:val="p"/>
                      <m:nor/>
                    </m:rPr>
                    <m:t>mid</m:t>
                  </m:r>
                </m:sub>
              </m:sSub>
            </m:oMath>
          </w:p>
        </w:tc>
        <w:tc>
          <w:tcPr>
            <w:tcW w:type="dxa" w:w="1339"/>
            <w:tcBorders>
              <w:top w:val="nil"/>
              <w:left w:val="nil"/>
              <w:bottom w:val="single" w:sz="6" w:space="0" w:color="000000"/>
              <w:right w:val="nil"/>
            </w:tcBorders>
          </w:tcPr>
          <w:p>
            <w:pPr>
              <w:keepNext/>
              <w:pStyle w:val="Compact"/>
              <w:jc w:val="right"/>
            </w:pPr>
            <w:r>
              <w:t xml:space="preserve">N8 indicator, design</w:t>
            </w:r>
            <w:r>
              <w:t xml:space="preserve"> </w:t>
            </w:r>
            <m:oMath>
              <m:r>
                <m:t>E</m:t>
              </m:r>
              <m:sSub>
                <m:e>
                  <m:r>
                    <m:t>I</m:t>
                  </m:r>
                </m:e>
                <m:sub>
                  <m:r>
                    <m:rPr>
                      <m:sty m:val="p"/>
                      <m:nor/>
                    </m:rPr>
                    <m:t>mid</m:t>
                  </m:r>
                </m:sub>
              </m:sSub>
            </m:oMath>
          </w:p>
        </w:tc>
        <w:tc>
          <w:tcPr>
            <w:tcW w:type="dxa" w:w="1082"/>
            <w:tcBorders>
              <w:top w:val="nil"/>
              <w:left w:val="nil"/>
              <w:bottom w:val="single" w:sz="6" w:space="0" w:color="000000"/>
              <w:right w:val="nil"/>
            </w:tcBorders>
          </w:tcPr>
          <w:p>
            <w:pPr>
              <w:keepNext/>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keepNext/>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keepNext/>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keepNext/>
              <w:pStyle w:val="Compact"/>
              <w:jc w:val="right"/>
            </w:pPr>
            <m:oMath>
              <m:sSub>
                <m:e>
                  <m:r>
                    <m:t>C</m:t>
                  </m:r>
                </m:e>
                <m:sub>
                  <m:r>
                    <m:t>7</m:t>
                  </m:r>
                </m:sub>
              </m:sSub>
            </m:oMath>
            <w:r>
              <w:t xml:space="preserve"> </w:t>
            </w:r>
            <w:r>
              <w:t xml:space="preserve">max/min</w:t>
            </w:r>
          </w:p>
        </w:tc>
      </w:tr>
      <w:tr>
        <w:trPr>
          <w:cantSplit/>
        </w:trPr>
        <w:tc>
          <w:tcPr>
            <w:tcW w:type="dxa" w:w="1546"/>
          </w:tcPr>
          <w:p>
            <w:pPr>
              <w:keepNext/>
              <w:pStyle w:val="Compact"/>
              <w:jc w:val="left"/>
            </w:pPr>
            <m:oMath>
              <m:r>
                <m:t>τ</m:t>
              </m:r>
            </m:oMath>
            <w:r>
              <w:t xml:space="preserve"> </w:t>
            </w:r>
            <w:r>
              <w:t xml:space="preserve">= 3 %</w:t>
            </w:r>
          </w:p>
        </w:tc>
        <w:tc>
          <w:tcPr>
            <w:tcW w:type="dxa" w:w="979"/>
          </w:tcPr>
          <w:p>
            <w:pPr>
              <w:keepNext/>
              <w:pStyle w:val="Compact"/>
              <w:jc w:val="right"/>
            </w:pPr>
            <w:r>
              <w:t xml:space="preserve">1.0–3.0 × 10⁸</w:t>
            </w:r>
          </w:p>
        </w:tc>
        <w:tc>
          <w:tcPr>
            <w:tcW w:type="dxa" w:w="901"/>
          </w:tcPr>
          <w:p>
            <w:pPr>
              <w:keepNext/>
              <w:pStyle w:val="Compact"/>
              <w:jc w:val="right"/>
            </w:pPr>
            <w:r>
              <w:t xml:space="preserve">0.64–0.80</w:t>
            </w:r>
          </w:p>
        </w:tc>
        <w:tc>
          <w:tcPr>
            <w:tcW w:type="dxa" w:w="1030"/>
          </w:tcPr>
          <w:p>
            <w:pPr>
              <w:keepNext/>
              <w:pStyle w:val="Compact"/>
              <w:jc w:val="right"/>
            </w:pPr>
            <w:r>
              <w:t xml:space="preserve">0.30–0.37</w:t>
            </w:r>
          </w:p>
        </w:tc>
        <w:tc>
          <w:tcPr>
            <w:tcW w:type="dxa" w:w="1339"/>
          </w:tcPr>
          <w:p>
            <w:pPr>
              <w:keepNext/>
              <w:pStyle w:val="Compact"/>
              <w:jc w:val="right"/>
            </w:pPr>
            <w:r>
              <w:t xml:space="preserve">0.38–0.58</w:t>
            </w:r>
          </w:p>
        </w:tc>
        <w:tc>
          <w:tcPr>
            <w:tcW w:type="dxa" w:w="1082"/>
          </w:tcPr>
          <w:p>
            <w:pPr>
              <w:keepNext/>
              <w:pStyle w:val="Compact"/>
              <w:jc w:val="right"/>
            </w:pPr>
            <w:r>
              <w:t xml:space="preserve">9.1 × 10⁻⁵–1.4 × 10⁻⁴</w:t>
            </w:r>
          </w:p>
        </w:tc>
        <w:tc>
          <w:tcPr>
            <w:tcW w:type="dxa" w:w="730"/>
          </w:tcPr>
          <w:p>
            <w:pPr>
              <w:keepNext/>
              <w:pStyle w:val="Compact"/>
              <w:jc w:val="right"/>
            </w:pPr>
            <w:r>
              <w:t xml:space="preserve">1.5</w:t>
            </w:r>
          </w:p>
        </w:tc>
        <w:tc>
          <w:tcPr>
            <w:tcW w:type="dxa" w:w="730"/>
          </w:tcPr>
          <w:p>
            <w:pPr>
              <w:keepNext/>
              <w:pStyle w:val="Compact"/>
              <w:jc w:val="right"/>
            </w:pPr>
            <w:r>
              <w:t xml:space="preserve">3.8–4.3 × 10⁻⁴</w:t>
            </w:r>
          </w:p>
        </w:tc>
        <w:tc>
          <w:tcPr>
            <w:tcW w:type="dxa" w:w="730"/>
          </w:tcPr>
          <w:p>
            <w:pPr>
              <w:keepNext/>
              <w:pStyle w:val="Compact"/>
              <w:jc w:val="right"/>
            </w:pPr>
            <w:r>
              <w:t xml:space="preserve">1.1</w:t>
            </w:r>
          </w:p>
        </w:tc>
      </w:tr>
      <w:tr>
        <w:trPr>
          <w:cantSplit/>
        </w:trPr>
        <w:tc>
          <w:tcPr>
            <w:tcW w:type="dxa" w:w="1546"/>
          </w:tcPr>
          <w:p>
            <w:pPr>
              <w:keepNext/>
              <w:pStyle w:val="Compact"/>
              <w:jc w:val="left"/>
            </w:pPr>
            <m:oMath>
              <m:r>
                <m:t>τ</m:t>
              </m:r>
            </m:oMath>
            <w:r>
              <w:t xml:space="preserve"> </w:t>
            </w:r>
            <w:r>
              <w:t xml:space="preserve">= 4 %</w:t>
            </w:r>
          </w:p>
        </w:tc>
        <w:tc>
          <w:tcPr>
            <w:tcW w:type="dxa" w:w="979"/>
          </w:tcPr>
          <w:p>
            <w:pPr>
              <w:keepNext/>
              <w:pStyle w:val="Compact"/>
              <w:jc w:val="right"/>
            </w:pPr>
            <w:r>
              <w:t xml:space="preserve">4.2 × 10⁷–2.0 × 10⁹</w:t>
            </w:r>
          </w:p>
        </w:tc>
        <w:tc>
          <w:tcPr>
            <w:tcW w:type="dxa" w:w="901"/>
          </w:tcPr>
          <w:p>
            <w:pPr>
              <w:keepNext/>
              <w:pStyle w:val="Compact"/>
              <w:jc w:val="right"/>
            </w:pPr>
            <w:r>
              <w:t xml:space="preserve">0.54–0.98</w:t>
            </w:r>
          </w:p>
        </w:tc>
        <w:tc>
          <w:tcPr>
            <w:tcW w:type="dxa" w:w="1030"/>
          </w:tcPr>
          <w:p>
            <w:pPr>
              <w:keepNext/>
              <w:pStyle w:val="Compact"/>
              <w:jc w:val="right"/>
            </w:pPr>
            <w:r>
              <w:t xml:space="preserve">0.22–0.41</w:t>
            </w:r>
          </w:p>
        </w:tc>
        <w:tc>
          <w:tcPr>
            <w:tcW w:type="dxa" w:w="1339"/>
          </w:tcPr>
          <w:p>
            <w:pPr>
              <w:keepNext/>
              <w:pStyle w:val="Compact"/>
              <w:jc w:val="right"/>
            </w:pPr>
            <w:r>
              <w:t xml:space="preserve">0.23–0.77</w:t>
            </w:r>
          </w:p>
        </w:tc>
        <w:tc>
          <w:tcPr>
            <w:tcW w:type="dxa" w:w="1082"/>
          </w:tcPr>
          <w:p>
            <w:pPr>
              <w:keepNext/>
              <w:pStyle w:val="Compact"/>
              <w:jc w:val="right"/>
            </w:pPr>
            <w:r>
              <w:t xml:space="preserve">5.5 × 10⁻⁵–1.8 × 10⁻⁴</w:t>
            </w:r>
          </w:p>
        </w:tc>
        <w:tc>
          <w:tcPr>
            <w:tcW w:type="dxa" w:w="730"/>
          </w:tcPr>
          <w:p>
            <w:pPr>
              <w:keepNext/>
              <w:pStyle w:val="Compact"/>
              <w:jc w:val="right"/>
            </w:pPr>
            <w:r>
              <w:t xml:space="preserve">3.4</w:t>
            </w:r>
          </w:p>
        </w:tc>
        <w:tc>
          <w:tcPr>
            <w:tcW w:type="dxa" w:w="730"/>
          </w:tcPr>
          <w:p>
            <w:pPr>
              <w:keepNext/>
              <w:pStyle w:val="Compact"/>
              <w:jc w:val="right"/>
            </w:pPr>
            <w:r>
              <w:t xml:space="preserve">3.5–4.8 × 10⁻⁴</w:t>
            </w:r>
          </w:p>
        </w:tc>
        <w:tc>
          <w:tcPr>
            <w:tcW w:type="dxa" w:w="730"/>
          </w:tcPr>
          <w:p>
            <w:pPr>
              <w:keepNext/>
              <w:pStyle w:val="Compact"/>
              <w:jc w:val="right"/>
            </w:pPr>
            <w:r>
              <w:t xml:space="preserve">1.4</w:t>
            </w:r>
          </w:p>
        </w:tc>
      </w:tr>
      <w:tr>
        <w:trPr>
          <w:cantSplit/>
        </w:trPr>
        <w:tc>
          <w:tcPr>
            <w:tcW w:type="dxa" w:w="1546"/>
          </w:tcPr>
          <w:p>
            <w:pPr>
              <w:keepNext/>
              <w:pStyle w:val="Compact"/>
              <w:jc w:val="left"/>
            </w:pPr>
            <m:oMath>
              <m:r>
                <m:t>τ</m:t>
              </m:r>
            </m:oMath>
            <w:r>
              <w:t xml:space="preserve"> </w:t>
            </w:r>
            <w:r>
              <w:t xml:space="preserve">= 5.3 %</w:t>
            </w:r>
          </w:p>
        </w:tc>
        <w:tc>
          <w:tcPr>
            <w:tcW w:type="dxa" w:w="979"/>
          </w:tcPr>
          <w:p>
            <w:pPr>
              <w:keepNext/>
              <w:pStyle w:val="Compact"/>
              <w:jc w:val="right"/>
            </w:pPr>
            <w:r>
              <w:t xml:space="preserve">≥ 1.8 × 10⁷</w:t>
            </w:r>
          </w:p>
        </w:tc>
        <w:tc>
          <w:tcPr>
            <w:tcW w:type="dxa" w:w="901"/>
          </w:tcPr>
          <w:p>
            <w:pPr>
              <w:keepNext/>
              <w:pStyle w:val="Compact"/>
              <w:jc w:val="right"/>
            </w:pPr>
            <w:r>
              <w:t xml:space="preserve">0.51–1.15</w:t>
            </w:r>
          </w:p>
        </w:tc>
        <w:tc>
          <w:tcPr>
            <w:tcW w:type="dxa" w:w="1030"/>
          </w:tcPr>
          <w:p>
            <w:pPr>
              <w:keepNext/>
              <w:pStyle w:val="Compact"/>
              <w:jc w:val="right"/>
            </w:pPr>
            <w:r>
              <w:t xml:space="preserve">0.14–0.42</w:t>
            </w:r>
          </w:p>
        </w:tc>
        <w:tc>
          <w:tcPr>
            <w:tcW w:type="dxa" w:w="1339"/>
          </w:tcPr>
          <w:p>
            <w:pPr>
              <w:keepNext/>
              <w:pStyle w:val="Compact"/>
              <w:jc w:val="right"/>
            </w:pPr>
            <w:r>
              <w:t xml:space="preserve">0.12–0.82</w:t>
            </w:r>
          </w:p>
        </w:tc>
        <w:tc>
          <w:tcPr>
            <w:tcW w:type="dxa" w:w="1082"/>
          </w:tcPr>
          <w:p>
            <w:pPr>
              <w:keepNext/>
              <w:pStyle w:val="Compact"/>
              <w:jc w:val="right"/>
            </w:pPr>
            <w:r>
              <w:t xml:space="preserve">3.0 × 10⁻⁵–2.0 × 10⁻⁴</w:t>
            </w:r>
          </w:p>
        </w:tc>
        <w:tc>
          <w:tcPr>
            <w:tcW w:type="dxa" w:w="730"/>
          </w:tcPr>
          <w:p>
            <w:pPr>
              <w:keepNext/>
              <w:pStyle w:val="Compact"/>
              <w:jc w:val="right"/>
            </w:pPr>
            <w:r>
              <w:t xml:space="preserve">6.6</w:t>
            </w:r>
          </w:p>
        </w:tc>
        <w:tc>
          <w:tcPr>
            <w:tcW w:type="dxa" w:w="730"/>
          </w:tcPr>
          <w:p>
            <w:pPr>
              <w:keepNext/>
              <w:pStyle w:val="Compact"/>
              <w:jc w:val="right"/>
            </w:pPr>
            <w:r>
              <w:t xml:space="preserve">3.3–4.9 × 10⁻⁴</w:t>
            </w:r>
          </w:p>
        </w:tc>
        <w:tc>
          <w:tcPr>
            <w:tcW w:type="dxa" w:w="730"/>
          </w:tcPr>
          <w:p>
            <w:pPr>
              <w:keepNext/>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keepLines/>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keepNext/>
              <w:pStyle w:val="Compact"/>
              <w:jc w:val="left"/>
            </w:pPr>
            <w:r>
              <w:t xml:space="preserve">Span</w:t>
            </w:r>
          </w:p>
        </w:tc>
        <w:tc>
          <w:tcPr>
            <w:tcW w:type="dxa" w:w="3936"/>
            <w:tcBorders>
              <w:top w:val="nil"/>
              <w:left w:val="nil"/>
              <w:bottom w:val="single" w:sz="6" w:space="0" w:color="000000"/>
              <w:right w:val="nil"/>
            </w:tcBorders>
          </w:tcPr>
          <w:p>
            <w:pPr>
              <w:keepNext/>
              <w:pStyle w:val="Compact"/>
              <w:jc w:val="right"/>
            </w:pPr>
            <w:r>
              <w:t xml:space="preserve">Vertical frequency (Hz)</w:t>
            </w:r>
          </w:p>
        </w:tc>
      </w:tr>
      <w:tr>
        <w:trPr>
          <w:cantSplit/>
        </w:trPr>
        <w:tc>
          <w:tcPr>
            <w:tcW w:type="dxa" w:w="5133"/>
          </w:tcPr>
          <w:p>
            <w:pPr>
              <w:keepNext/>
              <w:pStyle w:val="Compact"/>
              <w:jc w:val="left"/>
            </w:pPr>
            <w:r>
              <w:t xml:space="preserve">Side span T5–T6 (55 m; T6 is the other inner pier)</w:t>
            </w:r>
          </w:p>
        </w:tc>
        <w:tc>
          <w:tcPr>
            <w:tcW w:type="dxa" w:w="3936"/>
          </w:tcPr>
          <w:p>
            <w:pPr>
              <w:keepNext/>
              <w:pStyle w:val="Compact"/>
              <w:jc w:val="right"/>
            </w:pPr>
            <w:r>
              <w:t xml:space="preserve">3.43</w:t>
            </w:r>
          </w:p>
        </w:tc>
      </w:tr>
      <w:tr>
        <w:trPr>
          <w:cantSplit/>
        </w:trPr>
        <w:tc>
          <w:tcPr>
            <w:tcW w:type="dxa" w:w="5133"/>
          </w:tcPr>
          <w:p>
            <w:pPr>
              <w:keepNext/>
              <w:pStyle w:val="Compact"/>
              <w:jc w:val="left"/>
            </w:pPr>
            <w:r>
              <w:t xml:space="preserve">Main span T6–T7 (90 m)</w:t>
            </w:r>
          </w:p>
        </w:tc>
        <w:tc>
          <w:tcPr>
            <w:tcW w:type="dxa" w:w="3936"/>
          </w:tcPr>
          <w:p>
            <w:pPr>
              <w:keepNext/>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keepLines/>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nor/>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keepNext/>
              <w:pStyle w:val="Compact"/>
              <w:jc w:val="left"/>
            </w:pPr>
            <w:r>
              <w:t xml:space="preserve">Model</w:t>
            </w:r>
          </w:p>
        </w:tc>
        <w:tc>
          <w:tcPr>
            <w:tcW w:type="dxa" w:w="1503"/>
            <w:tcBorders>
              <w:top w:val="nil"/>
              <w:left w:val="nil"/>
              <w:bottom w:val="single" w:sz="6" w:space="0" w:color="000000"/>
              <w:right w:val="nil"/>
            </w:tcBorders>
          </w:tcPr>
          <w:p>
            <w:pPr>
              <w:keepNext/>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keepNext/>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keepNext/>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keepNext/>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keepNext/>
              <w:pStyle w:val="Compact"/>
              <w:jc w:val="right"/>
            </w:pPr>
            <m:oMath>
              <m:r>
                <m:t>R</m:t>
              </m:r>
            </m:oMath>
            <w:r>
              <w:t xml:space="preserve">, N8 at mid side span</w:t>
            </w:r>
          </w:p>
        </w:tc>
        <w:tc>
          <w:tcPr>
            <w:tcW w:type="dxa" w:w="1012"/>
            <w:tcBorders>
              <w:top w:val="nil"/>
              <w:left w:val="nil"/>
              <w:bottom w:val="single" w:sz="6" w:space="0" w:color="000000"/>
              <w:right w:val="nil"/>
            </w:tcBorders>
          </w:tcPr>
          <w:p>
            <w:pPr>
              <w:keepNext/>
              <w:pStyle w:val="Compact"/>
              <w:jc w:val="right"/>
            </w:pPr>
            <m:oMath>
              <m:r>
                <m:t>R</m:t>
              </m:r>
            </m:oMath>
            <w:r>
              <w:t xml:space="preserve">, N7</w:t>
            </w:r>
          </w:p>
        </w:tc>
      </w:tr>
      <w:tr>
        <w:trPr>
          <w:cantSplit/>
        </w:trPr>
        <w:tc>
          <w:tcPr>
            <w:tcW w:type="dxa" w:w="1734"/>
          </w:tcPr>
          <w:p>
            <w:pPr>
              <w:keepNext/>
              <w:pStyle w:val="Compact"/>
              <w:jc w:val="left"/>
            </w:pPr>
            <w:r>
              <w:t xml:space="preserve">Prismatic beam, pinned piers</w:t>
            </w:r>
          </w:p>
        </w:tc>
        <w:tc>
          <w:tcPr>
            <w:tcW w:type="dxa" w:w="1503"/>
          </w:tcPr>
          <w:p>
            <w:pPr>
              <w:keepNext/>
              <w:pStyle w:val="Compact"/>
              <w:jc w:val="right"/>
            </w:pPr>
            <w:r>
              <w:t xml:space="preserve">0.287</w:t>
            </w:r>
          </w:p>
        </w:tc>
        <w:tc>
          <w:tcPr>
            <w:tcW w:type="dxa" w:w="1330"/>
          </w:tcPr>
          <w:p>
            <w:pPr>
              <w:keepNext/>
              <w:pStyle w:val="Compact"/>
              <w:jc w:val="right"/>
            </w:pPr>
            <w:r>
              <w:t xml:space="preserve">0.163</w:t>
            </w:r>
          </w:p>
        </w:tc>
        <w:tc>
          <w:tcPr>
            <w:tcW w:type="dxa" w:w="1204"/>
          </w:tcPr>
          <w:p>
            <w:pPr>
              <w:keepNext/>
              <w:pStyle w:val="Compact"/>
              <w:jc w:val="right"/>
            </w:pPr>
            <w:r>
              <w:t xml:space="preserve">0.755</w:t>
            </w:r>
          </w:p>
        </w:tc>
        <w:tc>
          <w:tcPr>
            <w:tcW w:type="dxa" w:w="1012"/>
          </w:tcPr>
          <w:p>
            <w:pPr>
              <w:keepNext/>
              <w:pStyle w:val="Compact"/>
              <w:jc w:val="right"/>
            </w:pPr>
            <w:r>
              <w:t xml:space="preserve">0.14</w:t>
            </w:r>
          </w:p>
        </w:tc>
        <w:tc>
          <w:tcPr>
            <w:tcW w:type="dxa" w:w="1272"/>
          </w:tcPr>
          <w:p>
            <w:pPr>
              <w:keepNext/>
              <w:pStyle w:val="Compact"/>
              <w:jc w:val="right"/>
            </w:pPr>
            <w:r>
              <w:t xml:space="preserve">0.08</w:t>
            </w:r>
          </w:p>
        </w:tc>
        <w:tc>
          <w:tcPr>
            <w:tcW w:type="dxa" w:w="1012"/>
          </w:tcPr>
          <w:p>
            <w:pPr>
              <w:keepNext/>
              <w:pStyle w:val="Compact"/>
              <w:jc w:val="right"/>
            </w:pPr>
            <w:r>
              <w:t xml:space="preserve">0.70</w:t>
            </w:r>
          </w:p>
        </w:tc>
      </w:tr>
      <w:tr>
        <w:trPr>
          <w:cantSplit/>
        </w:trPr>
        <w:tc>
          <w:tcPr>
            <w:tcW w:type="dxa" w:w="1734"/>
          </w:tcPr>
          <w:p>
            <w:pPr>
              <w:keepNext/>
              <w:pStyle w:val="Compact"/>
              <w:jc w:val="left"/>
            </w:pPr>
            <w:r>
              <w:t xml:space="preserve">Haunched, calibration A</w:t>
            </w:r>
          </w:p>
        </w:tc>
        <w:tc>
          <w:tcPr>
            <w:tcW w:type="dxa" w:w="1503"/>
          </w:tcPr>
          <w:p>
            <w:pPr>
              <w:keepNext/>
              <w:pStyle w:val="Compact"/>
              <w:jc w:val="right"/>
            </w:pPr>
            <w:r>
              <w:t xml:space="preserve">0.181</w:t>
            </w:r>
          </w:p>
        </w:tc>
        <w:tc>
          <w:tcPr>
            <w:tcW w:type="dxa" w:w="1330"/>
          </w:tcPr>
          <w:p>
            <w:pPr>
              <w:keepNext/>
              <w:pStyle w:val="Compact"/>
              <w:jc w:val="right"/>
            </w:pPr>
            <w:r>
              <w:t xml:space="preserve">0.105</w:t>
            </w:r>
          </w:p>
        </w:tc>
        <w:tc>
          <w:tcPr>
            <w:tcW w:type="dxa" w:w="1204"/>
          </w:tcPr>
          <w:p>
            <w:pPr>
              <w:keepNext/>
              <w:pStyle w:val="Compact"/>
              <w:jc w:val="right"/>
            </w:pPr>
            <w:r>
              <w:t xml:space="preserve">0.209</w:t>
            </w:r>
          </w:p>
        </w:tc>
        <w:tc>
          <w:tcPr>
            <w:tcW w:type="dxa" w:w="1012"/>
          </w:tcPr>
          <w:p>
            <w:pPr>
              <w:keepNext/>
              <w:pStyle w:val="Compact"/>
              <w:jc w:val="right"/>
            </w:pPr>
            <w:r>
              <w:t xml:space="preserve">0.18</w:t>
            </w:r>
          </w:p>
        </w:tc>
        <w:tc>
          <w:tcPr>
            <w:tcW w:type="dxa" w:w="1272"/>
          </w:tcPr>
          <w:p>
            <w:pPr>
              <w:keepNext/>
              <w:pStyle w:val="Compact"/>
              <w:jc w:val="right"/>
            </w:pPr>
            <w:r>
              <w:t xml:space="preserve">0.11</w:t>
            </w:r>
          </w:p>
        </w:tc>
        <w:tc>
          <w:tcPr>
            <w:tcW w:type="dxa" w:w="1012"/>
          </w:tcPr>
          <w:p>
            <w:pPr>
              <w:keepNext/>
              <w:pStyle w:val="Compact"/>
              <w:jc w:val="right"/>
            </w:pPr>
            <w:r>
              <w:t xml:space="preserve">0.59</w:t>
            </w:r>
          </w:p>
        </w:tc>
      </w:tr>
      <w:tr>
        <w:trPr>
          <w:cantSplit/>
        </w:trPr>
        <w:tc>
          <w:tcPr>
            <w:tcW w:type="dxa" w:w="1734"/>
          </w:tcPr>
          <w:p>
            <w:pPr>
              <w:keepNext/>
              <w:pStyle w:val="Compact"/>
              <w:jc w:val="left"/>
            </w:pPr>
            <w:r>
              <w:t xml:space="preserve">Haunched, calibration B</w:t>
            </w:r>
          </w:p>
        </w:tc>
        <w:tc>
          <w:tcPr>
            <w:tcW w:type="dxa" w:w="1503"/>
          </w:tcPr>
          <w:p>
            <w:pPr>
              <w:keepNext/>
              <w:pStyle w:val="Compact"/>
              <w:jc w:val="right"/>
            </w:pPr>
            <w:r>
              <w:t xml:space="preserve">0.476ᵃ</w:t>
            </w:r>
          </w:p>
        </w:tc>
        <w:tc>
          <w:tcPr>
            <w:tcW w:type="dxa" w:w="1330"/>
          </w:tcPr>
          <w:p>
            <w:pPr>
              <w:keepNext/>
              <w:pStyle w:val="Compact"/>
              <w:jc w:val="right"/>
            </w:pPr>
            <w:r>
              <w:t xml:space="preserve">0.377</w:t>
            </w:r>
          </w:p>
        </w:tc>
        <w:tc>
          <w:tcPr>
            <w:tcW w:type="dxa" w:w="1204"/>
          </w:tcPr>
          <w:p>
            <w:pPr>
              <w:keepNext/>
              <w:pStyle w:val="Compact"/>
              <w:jc w:val="right"/>
            </w:pPr>
            <w:r>
              <w:t xml:space="preserve">0.234</w:t>
            </w:r>
          </w:p>
        </w:tc>
        <w:tc>
          <w:tcPr>
            <w:tcW w:type="dxa" w:w="1012"/>
          </w:tcPr>
          <w:p>
            <w:pPr>
              <w:keepNext/>
              <w:pStyle w:val="Compact"/>
              <w:jc w:val="right"/>
            </w:pPr>
            <w:r>
              <w:t xml:space="preserve">0.56</w:t>
            </w:r>
          </w:p>
        </w:tc>
        <w:tc>
          <w:tcPr>
            <w:tcW w:type="dxa" w:w="1272"/>
          </w:tcPr>
          <w:p>
            <w:pPr>
              <w:keepNext/>
              <w:pStyle w:val="Compact"/>
              <w:jc w:val="right"/>
            </w:pPr>
            <w:r>
              <w:t xml:space="preserve">0.49</w:t>
            </w:r>
          </w:p>
        </w:tc>
        <w:tc>
          <w:tcPr>
            <w:tcW w:type="dxa" w:w="1012"/>
          </w:tcPr>
          <w:p>
            <w:pPr>
              <w:keepNext/>
              <w:pStyle w:val="Compact"/>
              <w:jc w:val="right"/>
            </w:pPr>
            <w:r>
              <w:t xml:space="preserve">0.77</w:t>
            </w:r>
          </w:p>
        </w:tc>
      </w:tr>
      <w:tr>
        <w:trPr>
          <w:cantSplit/>
        </w:trPr>
        <w:tc>
          <w:tcPr>
            <w:tcW w:type="dxa" w:w="1734"/>
          </w:tcPr>
          <w:p>
            <w:pPr>
              <w:keepNext/>
              <w:pStyle w:val="Compact"/>
              <w:jc w:val="left"/>
            </w:pPr>
            <w:r>
              <w:t xml:space="preserve">Haunched, admissible set (</w:t>
            </w:r>
            <m:oMath>
              <m:r>
                <m:t>τ</m:t>
              </m:r>
            </m:oMath>
            <w:r>
              <w:t xml:space="preserve"> </w:t>
            </w:r>
            <w:r>
              <w:t xml:space="preserve">= 5.3 %)</w:t>
            </w:r>
          </w:p>
        </w:tc>
        <w:tc>
          <w:tcPr>
            <w:tcW w:type="dxa" w:w="1503"/>
          </w:tcPr>
          <w:p>
            <w:pPr>
              <w:keepNext/>
              <w:pStyle w:val="Compact"/>
              <w:jc w:val="right"/>
            </w:pPr>
            <w:r>
              <w:t xml:space="preserve">0.124–0.822ᵇ</w:t>
            </w:r>
          </w:p>
        </w:tc>
        <w:tc>
          <w:tcPr>
            <w:tcW w:type="dxa" w:w="1330"/>
          </w:tcPr>
          <w:p>
            <w:pPr>
              <w:keepNext/>
              <w:pStyle w:val="Compact"/>
              <w:jc w:val="right"/>
            </w:pPr>
            <w:r>
              <w:t xml:space="preserve">–</w:t>
            </w:r>
          </w:p>
        </w:tc>
        <w:tc>
          <w:tcPr>
            <w:tcW w:type="dxa" w:w="1204"/>
          </w:tcPr>
          <w:p>
            <w:pPr>
              <w:keepNext/>
              <w:pStyle w:val="Compact"/>
              <w:jc w:val="right"/>
            </w:pPr>
            <w:r>
              <w:t xml:space="preserve">0.190–0.286</w:t>
            </w:r>
          </w:p>
        </w:tc>
        <w:tc>
          <w:tcPr>
            <w:tcW w:type="dxa" w:w="1012"/>
          </w:tcPr>
          <w:p>
            <w:pPr>
              <w:keepNext/>
              <w:pStyle w:val="Compact"/>
              <w:jc w:val="right"/>
            </w:pPr>
            <w:r>
              <w:t xml:space="preserve">0.13–1.00</w:t>
            </w:r>
          </w:p>
        </w:tc>
        <w:tc>
          <w:tcPr>
            <w:tcW w:type="dxa" w:w="1272"/>
          </w:tcPr>
          <w:p>
            <w:pPr>
              <w:keepNext/>
              <w:pStyle w:val="Compact"/>
              <w:jc w:val="right"/>
            </w:pPr>
            <w:r>
              <w:t xml:space="preserve">–</w:t>
            </w:r>
          </w:p>
        </w:tc>
        <w:tc>
          <w:tcPr>
            <w:tcW w:type="dxa" w:w="1012"/>
          </w:tcPr>
          <w:p>
            <w:pPr>
              <w:keepNext/>
              <w:pStyle w:val="Compact"/>
              <w:jc w:val="right"/>
            </w:pPr>
            <w:r>
              <w:t xml:space="preserve">0.56–1.00</w:t>
            </w:r>
          </w:p>
        </w:tc>
      </w:tr>
      <w:tr>
        <w:trPr>
          <w:cantSplit/>
        </w:trPr>
        <w:tc>
          <w:tcPr>
            <w:tcW w:type="dxa" w:w="1734"/>
          </w:tcPr>
          <w:p>
            <w:pPr>
              <w:keepNext/>
              <w:pStyle w:val="Compact"/>
              <w:jc w:val="left"/>
            </w:pPr>
            <w:r>
              <w:t xml:space="preserve">Haunched, pinned piers</w:t>
            </w:r>
          </w:p>
        </w:tc>
        <w:tc>
          <w:tcPr>
            <w:tcW w:type="dxa" w:w="1503"/>
          </w:tcPr>
          <w:p>
            <w:pPr>
              <w:keepNext/>
              <w:pStyle w:val="Compact"/>
              <w:jc w:val="right"/>
            </w:pPr>
            <w:r>
              <w:t xml:space="preserve">0.030</w:t>
            </w:r>
          </w:p>
        </w:tc>
        <w:tc>
          <w:tcPr>
            <w:tcW w:type="dxa" w:w="1330"/>
          </w:tcPr>
          <w:p>
            <w:pPr>
              <w:keepNext/>
              <w:pStyle w:val="Compact"/>
              <w:jc w:val="right"/>
            </w:pPr>
            <w:r>
              <w:t xml:space="preserve">−0.052</w:t>
            </w:r>
          </w:p>
        </w:tc>
        <w:tc>
          <w:tcPr>
            <w:tcW w:type="dxa" w:w="1204"/>
          </w:tcPr>
          <w:p>
            <w:pPr>
              <w:keepNext/>
              <w:pStyle w:val="Compact"/>
              <w:jc w:val="right"/>
            </w:pPr>
            <w:r>
              <w:t xml:space="preserve">0.248</w:t>
            </w:r>
          </w:p>
        </w:tc>
        <w:tc>
          <w:tcPr>
            <w:tcW w:type="dxa" w:w="1012"/>
          </w:tcPr>
          <w:p>
            <w:pPr>
              <w:keepNext/>
              <w:pStyle w:val="Compact"/>
              <w:jc w:val="right"/>
            </w:pPr>
            <w:r>
              <w:t xml:space="preserve">0.02</w:t>
            </w:r>
          </w:p>
        </w:tc>
        <w:tc>
          <w:tcPr>
            <w:tcW w:type="dxa" w:w="1272"/>
          </w:tcPr>
          <w:p>
            <w:pPr>
              <w:keepNext/>
              <w:pStyle w:val="Compact"/>
              <w:jc w:val="right"/>
            </w:pPr>
            <w:r>
              <w:t xml:space="preserve">−0.04</w:t>
            </w:r>
          </w:p>
        </w:tc>
        <w:tc>
          <w:tcPr>
            <w:tcW w:type="dxa" w:w="1012"/>
          </w:tcPr>
          <w:p>
            <w:pPr>
              <w:keepNext/>
              <w:pStyle w:val="Compact"/>
              <w:jc w:val="right"/>
            </w:pPr>
            <w:r>
              <w:t xml:space="preserve">0.51</w:t>
            </w:r>
          </w:p>
        </w:tc>
      </w:tr>
      <w:tr>
        <w:trPr>
          <w:cantSplit/>
        </w:trPr>
        <w:tc>
          <w:tcPr>
            <w:tcW w:type="dxa" w:w="1734"/>
          </w:tcPr>
          <w:p>
            <w:pPr>
              <w:keepNext/>
              <w:pStyle w:val="Compact"/>
              <w:jc w:val="left"/>
            </w:pPr>
            <w:r>
              <w:t xml:space="preserve">Haunched, fixed piers</w:t>
            </w:r>
          </w:p>
        </w:tc>
        <w:tc>
          <w:tcPr>
            <w:tcW w:type="dxa" w:w="1503"/>
          </w:tcPr>
          <w:p>
            <w:pPr>
              <w:keepNext/>
              <w:pStyle w:val="Compact"/>
              <w:jc w:val="right"/>
            </w:pPr>
            <w:r>
              <w:t xml:space="preserve">0.422</w:t>
            </w:r>
          </w:p>
        </w:tc>
        <w:tc>
          <w:tcPr>
            <w:tcW w:type="dxa" w:w="1330"/>
          </w:tcPr>
          <w:p>
            <w:pPr>
              <w:keepNext/>
              <w:pStyle w:val="Compact"/>
              <w:jc w:val="right"/>
            </w:pPr>
            <w:r>
              <w:t xml:space="preserve">0.354</w:t>
            </w:r>
          </w:p>
        </w:tc>
        <w:tc>
          <w:tcPr>
            <w:tcW w:type="dxa" w:w="1204"/>
          </w:tcPr>
          <w:p>
            <w:pPr>
              <w:keepNext/>
              <w:pStyle w:val="Compact"/>
              <w:jc w:val="right"/>
            </w:pPr>
            <w:r>
              <w:t xml:space="preserve">0.147</w:t>
            </w:r>
          </w:p>
        </w:tc>
        <w:tc>
          <w:tcPr>
            <w:tcW w:type="dxa" w:w="1012"/>
          </w:tcPr>
          <w:p>
            <w:pPr>
              <w:keepNext/>
              <w:pStyle w:val="Compact"/>
              <w:jc w:val="right"/>
            </w:pPr>
            <w:r>
              <w:t xml:space="preserve">1.00</w:t>
            </w:r>
          </w:p>
        </w:tc>
        <w:tc>
          <w:tcPr>
            <w:tcW w:type="dxa" w:w="1272"/>
          </w:tcPr>
          <w:p>
            <w:pPr>
              <w:keepNext/>
              <w:pStyle w:val="Compact"/>
              <w:jc w:val="right"/>
            </w:pPr>
            <w:r>
              <w:t xml:space="preserve">1.00</w:t>
            </w:r>
          </w:p>
        </w:tc>
        <w:tc>
          <w:tcPr>
            <w:tcW w:type="dxa" w:w="1012"/>
          </w:tcPr>
          <w:p>
            <w:pPr>
              <w:keepNext/>
              <w:pStyle w:val="Compact"/>
              <w:jc w:val="right"/>
            </w:pPr>
            <w:r>
              <w:t xml:space="preserve">1.00</w:t>
            </w:r>
          </w:p>
        </w:tc>
      </w:tr>
      <w:tr>
        <w:trPr>
          <w:cantSplit/>
        </w:trPr>
        <w:tc>
          <w:tcPr>
            <w:tcW w:type="dxa" w:w="1734"/>
          </w:tcPr>
          <w:p>
            <w:pPr>
              <w:keepNext/>
              <w:pStyle w:val="Compact"/>
              <w:jc w:val="left"/>
            </w:pPr>
            <m:oMath>
              <m:sSub>
                <m:e>
                  <m:r>
                    <m:t>B</m:t>
                  </m:r>
                </m:e>
                <m:sub>
                  <m:r>
                    <m:t>m</m:t>
                  </m:r>
                </m:sub>
              </m:sSub>
            </m:oMath>
            <w:r>
              <w:t xml:space="preserve"> </w:t>
            </w:r>
            <w:r>
              <w:t xml:space="preserve">at the design stiffness</w:t>
            </w:r>
          </w:p>
        </w:tc>
        <w:tc>
          <w:tcPr>
            <w:tcW w:type="dxa" w:w="1503"/>
          </w:tcPr>
          <w:p>
            <w:pPr>
              <w:keepNext/>
              <w:pStyle w:val="Compact"/>
              <w:jc w:val="right"/>
            </w:pPr>
            <w:r>
              <w:t xml:space="preserve">0.51</w:t>
            </w:r>
          </w:p>
        </w:tc>
        <w:tc>
          <w:tcPr>
            <w:tcW w:type="dxa" w:w="1330"/>
          </w:tcPr>
          <w:p>
            <w:pPr>
              <w:keepNext/>
              <w:pStyle w:val="Compact"/>
              <w:jc w:val="right"/>
            </w:pPr>
            <w:r>
              <w:t xml:space="preserve">–</w:t>
            </w:r>
          </w:p>
        </w:tc>
        <w:tc>
          <w:tcPr>
            <w:tcW w:type="dxa" w:w="1204"/>
          </w:tcPr>
          <w:p>
            <w:pPr>
              <w:keepNext/>
              <w:pStyle w:val="Compact"/>
              <w:jc w:val="right"/>
            </w:pPr>
            <w:r>
              <w:t xml:space="preserve">0.12</w:t>
            </w:r>
          </w:p>
        </w:tc>
        <w:tc>
          <w:tcPr>
            <w:tcW w:type="dxa" w:w="1012"/>
          </w:tcPr>
          <w:p>
            <w:pPr>
              <w:keepNext/>
              <w:pStyle w:val="Compact"/>
              <w:jc w:val="right"/>
            </w:pPr>
            <w:r>
              <w:t xml:space="preserve">–</w:t>
            </w:r>
          </w:p>
        </w:tc>
        <w:tc>
          <w:tcPr>
            <w:tcW w:type="dxa" w:w="1272"/>
          </w:tcPr>
          <w:p>
            <w:pPr>
              <w:keepNext/>
              <w:pStyle w:val="Compact"/>
              <w:jc w:val="right"/>
            </w:pPr>
            <w:r>
              <w:t xml:space="preserve">–</w:t>
            </w:r>
          </w:p>
        </w:tc>
        <w:tc>
          <w:tcPr>
            <w:tcW w:type="dxa" w:w="1012"/>
          </w:tcPr>
          <w:p>
            <w:pPr>
              <w:keepNext/>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keepLines/>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keepNext/>
              <w:pStyle w:val="Compact"/>
              <w:jc w:val="left"/>
            </w:pPr>
            <w:r>
              <w:t xml:space="preserve">Scheme</w:t>
            </w:r>
          </w:p>
        </w:tc>
        <w:tc>
          <w:tcPr>
            <w:tcW w:type="dxa" w:w="3318"/>
            <w:tcBorders>
              <w:top w:val="nil"/>
              <w:left w:val="nil"/>
              <w:bottom w:val="single" w:sz="6" w:space="0" w:color="000000"/>
              <w:right w:val="nil"/>
            </w:tcBorders>
          </w:tcPr>
          <w:p>
            <w:pPr>
              <w:keepNext/>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keepNext/>
              <w:pStyle w:val="Compact"/>
              <w:jc w:val="left"/>
            </w:pPr>
            <w:r>
              <w:t xml:space="preserve">Distance from T8 (m)</w:t>
            </w:r>
          </w:p>
        </w:tc>
      </w:tr>
      <w:tr>
        <w:trPr>
          <w:cantSplit/>
        </w:trPr>
        <w:tc>
          <w:tcPr>
            <w:tcW w:type="dxa" w:w="2433"/>
          </w:tcPr>
          <w:p>
            <w:pPr>
              <w:keepNext/>
              <w:pStyle w:val="Compact"/>
              <w:jc w:val="left"/>
            </w:pPr>
            <w:r>
              <w:t xml:space="preserve">N8, side span (2 rows)</w:t>
            </w:r>
          </w:p>
        </w:tc>
        <w:tc>
          <w:tcPr>
            <w:tcW w:type="dxa" w:w="3318"/>
          </w:tcPr>
          <w:p>
            <w:pPr>
              <w:keepNext/>
              <w:pStyle w:val="Compact"/>
              <w:jc w:val="left"/>
            </w:pPr>
            <w:r>
              <w:t xml:space="preserve">163.45 (10), 167.05 (20), 168.40 (20); 174.40 (10), 178.00 (20), 179.35 (20)</w:t>
            </w:r>
          </w:p>
        </w:tc>
        <w:tc>
          <w:tcPr>
            <w:tcW w:type="dxa" w:w="3318"/>
          </w:tcPr>
          <w:p>
            <w:pPr>
              <w:keepNext/>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nor/>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nor/>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keepLines/>
      </w:pPr>
      <w:r>
        <w:rPr>
          <w:bCs/>
          <w:b/>
        </w:rPr>
        <w:t xml:space="preserve">Figure S16.</w:t>
      </w:r>
      <w:r>
        <w:t xml:space="preserve"> </w:t>
      </w:r>
      <w:r>
        <w:t xml:space="preserve">Deflection records of two simply supported bridges (Giẽ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keepLines/>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nor/>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keepLines/>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nor/>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keepNext/>
              <w:pStyle w:val="Compact"/>
              <w:jc w:val="left"/>
            </w:pPr>
            <w:r>
              <w:t xml:space="preserve">Gauge</w:t>
            </w:r>
          </w:p>
        </w:tc>
        <w:tc>
          <w:tcPr>
            <w:tcW w:type="dxa" w:w="1805"/>
            <w:tcBorders>
              <w:top w:val="nil"/>
              <w:left w:val="nil"/>
              <w:bottom w:val="single" w:sz="6" w:space="0" w:color="000000"/>
              <w:right w:val="nil"/>
            </w:tcBorders>
          </w:tcPr>
          <w:p>
            <w:pPr>
              <w:keepNext/>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keepNext/>
              <w:pStyle w:val="Compact"/>
              <w:jc w:val="right"/>
            </w:pPr>
            <w:r>
              <w:t xml:space="preserve">0.02 mm</w:t>
            </w:r>
          </w:p>
        </w:tc>
        <w:tc>
          <w:tcPr>
            <w:tcW w:type="dxa" w:w="1074"/>
            <w:tcBorders>
              <w:top w:val="nil"/>
              <w:left w:val="nil"/>
              <w:bottom w:val="single" w:sz="6" w:space="0" w:color="000000"/>
              <w:right w:val="nil"/>
            </w:tcBorders>
          </w:tcPr>
          <w:p>
            <w:pPr>
              <w:keepNext/>
              <w:pStyle w:val="Compact"/>
              <w:jc w:val="right"/>
            </w:pPr>
            <w:r>
              <w:t xml:space="preserve">0.05 mm</w:t>
            </w:r>
          </w:p>
        </w:tc>
        <w:tc>
          <w:tcPr>
            <w:tcW w:type="dxa" w:w="1074"/>
            <w:tcBorders>
              <w:top w:val="nil"/>
              <w:left w:val="nil"/>
              <w:bottom w:val="single" w:sz="6" w:space="0" w:color="000000"/>
              <w:right w:val="nil"/>
            </w:tcBorders>
          </w:tcPr>
          <w:p>
            <w:pPr>
              <w:keepNext/>
              <w:pStyle w:val="Compact"/>
              <w:jc w:val="right"/>
            </w:pPr>
            <w:r>
              <w:t xml:space="preserve">0.1 mm</w:t>
            </w:r>
          </w:p>
        </w:tc>
        <w:tc>
          <w:tcPr>
            <w:tcW w:type="dxa" w:w="1074"/>
            <w:tcBorders>
              <w:top w:val="nil"/>
              <w:left w:val="nil"/>
              <w:bottom w:val="single" w:sz="6" w:space="0" w:color="000000"/>
              <w:right w:val="nil"/>
            </w:tcBorders>
          </w:tcPr>
          <w:p>
            <w:pPr>
              <w:keepNext/>
              <w:pStyle w:val="Compact"/>
              <w:jc w:val="right"/>
            </w:pPr>
            <w:r>
              <w:t xml:space="preserve">0.2 mm</w:t>
            </w:r>
          </w:p>
        </w:tc>
        <w:tc>
          <w:tcPr>
            <w:tcW w:type="dxa" w:w="1361"/>
            <w:tcBorders>
              <w:top w:val="nil"/>
              <w:left w:val="nil"/>
              <w:bottom w:val="single" w:sz="6" w:space="0" w:color="000000"/>
              <w:right w:val="nil"/>
            </w:tcBorders>
          </w:tcPr>
          <w:p>
            <w:pPr>
              <w:keepNext/>
              <w:pStyle w:val="Compact"/>
              <w:jc w:val="right"/>
            </w:pPr>
            <w:r>
              <w:t xml:space="preserve">0.5 mm</w:t>
            </w:r>
          </w:p>
        </w:tc>
      </w:tr>
      <w:tr>
        <w:trPr>
          <w:cantSplit/>
        </w:trPr>
        <w:tc>
          <w:tcPr>
            <w:tcW w:type="dxa" w:w="1461"/>
          </w:tcPr>
          <w:p>
            <w:pPr>
              <w:keepNext/>
              <w:pStyle w:val="Compact"/>
              <w:jc w:val="left"/>
            </w:pPr>
            <w:r>
              <w:t xml:space="preserve">N7, mid main span</w:t>
            </w:r>
          </w:p>
        </w:tc>
        <w:tc>
          <w:tcPr>
            <w:tcW w:type="dxa" w:w="1805"/>
          </w:tcPr>
          <w:p>
            <w:pPr>
              <w:keepNext/>
              <w:pStyle w:val="Compact"/>
              <w:jc w:val="right"/>
            </w:pPr>
            <w:r>
              <w:t xml:space="preserve">3.3–4.9 × 10⁻⁴</w:t>
            </w:r>
          </w:p>
        </w:tc>
        <w:tc>
          <w:tcPr>
            <w:tcW w:type="dxa" w:w="1217"/>
          </w:tcPr>
          <w:p>
            <w:pPr>
              <w:keepNext/>
              <w:pStyle w:val="Compact"/>
              <w:jc w:val="right"/>
            </w:pPr>
            <w:r>
              <w:t xml:space="preserve">3.3–5.0 %</w:t>
            </w:r>
          </w:p>
        </w:tc>
        <w:tc>
          <w:tcPr>
            <w:tcW w:type="dxa" w:w="1074"/>
          </w:tcPr>
          <w:p>
            <w:pPr>
              <w:keepNext/>
              <w:pStyle w:val="Compact"/>
              <w:jc w:val="right"/>
            </w:pPr>
            <w:r>
              <w:t xml:space="preserve">8–12 %</w:t>
            </w:r>
          </w:p>
        </w:tc>
        <w:tc>
          <w:tcPr>
            <w:tcW w:type="dxa" w:w="1074"/>
          </w:tcPr>
          <w:p>
            <w:pPr>
              <w:keepNext/>
              <w:pStyle w:val="Compact"/>
              <w:jc w:val="right"/>
            </w:pPr>
            <w:r>
              <w:t xml:space="preserve">16–25 %</w:t>
            </w:r>
          </w:p>
        </w:tc>
        <w:tc>
          <w:tcPr>
            <w:tcW w:type="dxa" w:w="1074"/>
          </w:tcPr>
          <w:p>
            <w:pPr>
              <w:keepNext/>
              <w:pStyle w:val="Compact"/>
              <w:jc w:val="right"/>
            </w:pPr>
            <w:r>
              <w:t xml:space="preserve">33–50 %</w:t>
            </w:r>
          </w:p>
        </w:tc>
        <w:tc>
          <w:tcPr>
            <w:tcW w:type="dxa" w:w="1361"/>
          </w:tcPr>
          <w:p>
            <w:pPr>
              <w:keepNext/>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keepLines/>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keepNext/>
              <w:pStyle w:val="Compact"/>
              <w:jc w:val="left"/>
            </w:pPr>
            <w:r>
              <w:t xml:space="preserve">Term</w:t>
            </w:r>
          </w:p>
        </w:tc>
        <w:tc>
          <w:tcPr>
            <w:tcW w:type="dxa" w:w="2124"/>
            <w:tcBorders>
              <w:top w:val="nil"/>
              <w:left w:val="nil"/>
              <w:bottom w:val="single" w:sz="6" w:space="0" w:color="000000"/>
              <w:right w:val="nil"/>
            </w:tcBorders>
          </w:tcPr>
          <w:p>
            <w:pPr>
              <w:keepNext/>
              <w:pStyle w:val="Compact"/>
              <w:jc w:val="left"/>
            </w:pPr>
            <w:r>
              <w:t xml:space="preserve">Sensitivity</w:t>
            </w:r>
          </w:p>
        </w:tc>
        <w:tc>
          <w:tcPr>
            <w:tcW w:type="dxa" w:w="2451"/>
            <w:tcBorders>
              <w:top w:val="nil"/>
              <w:left w:val="nil"/>
              <w:bottom w:val="single" w:sz="6" w:space="0" w:color="000000"/>
              <w:right w:val="nil"/>
            </w:tcBorders>
          </w:tcPr>
          <w:p>
            <w:pPr>
              <w:keepNext/>
              <w:pStyle w:val="Compact"/>
              <w:jc w:val="left"/>
            </w:pPr>
            <w:r>
              <w:t xml:space="preserve">Cancels in SLM?</w:t>
            </w:r>
          </w:p>
        </w:tc>
        <w:tc>
          <w:tcPr>
            <w:tcW w:type="dxa" w:w="2451"/>
            <w:tcBorders>
              <w:top w:val="nil"/>
              <w:left w:val="nil"/>
              <w:bottom w:val="single" w:sz="6" w:space="0" w:color="000000"/>
              <w:right w:val="nil"/>
            </w:tcBorders>
          </w:tcPr>
          <w:p>
            <w:pPr>
              <w:keepNext/>
              <w:pStyle w:val="Compact"/>
              <w:jc w:val="left"/>
            </w:pPr>
            <w:r>
              <w:t xml:space="preserve">Value in this study</w:t>
            </w:r>
          </w:p>
        </w:tc>
      </w:tr>
      <w:tr>
        <w:trPr>
          <w:cantSplit/>
        </w:trPr>
        <w:tc>
          <w:tcPr>
            <w:tcW w:type="dxa" w:w="2042"/>
          </w:tcPr>
          <w:p>
            <w:pPr>
              <w:keepNext/>
              <w:pStyle w:val="Compact"/>
              <w:jc w:val="left"/>
            </w:pPr>
            <w:r>
              <w:t xml:space="preserve">Flexural rigidity</w:t>
            </w:r>
            <w:r>
              <w:t xml:space="preserve"> </w:t>
            </w:r>
            <m:oMath>
              <m:r>
                <m:t>E</m:t>
              </m:r>
              <m:r>
                <m:t>I</m:t>
              </m:r>
            </m:oMath>
          </w:p>
        </w:tc>
        <w:tc>
          <w:tcPr>
            <w:tcW w:type="dxa" w:w="2124"/>
          </w:tcPr>
          <w:p>
            <w:pPr>
              <w:keepNext/>
              <w:pStyle w:val="Compact"/>
              <w:jc w:val="left"/>
            </w:pPr>
            <w:r>
              <w:t xml:space="preserve">1</w:t>
            </w:r>
          </w:p>
        </w:tc>
        <w:tc>
          <w:tcPr>
            <w:tcW w:type="dxa" w:w="2451"/>
          </w:tcPr>
          <w:p>
            <w:pPr>
              <w:keepNext/>
              <w:pStyle w:val="Compact"/>
              <w:jc w:val="left"/>
            </w:pPr>
            <w:r>
              <w:t xml:space="preserve">yes</w:t>
            </w:r>
          </w:p>
        </w:tc>
        <w:tc>
          <w:tcPr>
            <w:tcW w:type="dxa" w:w="2451"/>
          </w:tcPr>
          <w:p>
            <w:pPr>
              <w:keepNext/>
              <w:pStyle w:val="Compact"/>
              <w:jc w:val="left"/>
            </w:pPr>
            <w:r>
              <w:t xml:space="preserve">BPM only; Mây Bridge N8 constant varies 6.6-fold over the admissible set</w:t>
            </w:r>
          </w:p>
        </w:tc>
      </w:tr>
      <w:tr>
        <w:trPr>
          <w:cantSplit/>
        </w:trPr>
        <w:tc>
          <w:tcPr>
            <w:tcW w:type="dxa" w:w="2042"/>
          </w:tcPr>
          <w:p>
            <w:pPr>
              <w:keepNext/>
              <w:pStyle w:val="Compact"/>
              <w:jc w:val="left"/>
            </w:pPr>
            <w:r>
              <w:t xml:space="preserve">Span length</w:t>
            </w:r>
          </w:p>
        </w:tc>
        <w:tc>
          <w:tcPr>
            <w:tcW w:type="dxa" w:w="2124"/>
          </w:tcPr>
          <w:p>
            <w:pPr>
              <w:keepNext/>
              <w:pStyle w:val="Compact"/>
              <w:jc w:val="left"/>
            </w:pPr>
            <w:r>
              <w:t xml:space="preserve">4 (deflection), 2 (strain)</w:t>
            </w:r>
          </w:p>
        </w:tc>
        <w:tc>
          <w:tcPr>
            <w:tcW w:type="dxa" w:w="2451"/>
          </w:tcPr>
          <w:p>
            <w:pPr>
              <w:keepNext/>
              <w:pStyle w:val="Compact"/>
              <w:jc w:val="left"/>
            </w:pPr>
            <w:r>
              <w:t xml:space="preserve">yes</w:t>
            </w:r>
          </w:p>
        </w:tc>
        <w:tc>
          <w:tcPr>
            <w:tcW w:type="dxa" w:w="2451"/>
          </w:tcPr>
          <w:p>
            <w:pPr>
              <w:keepNext/>
              <w:pStyle w:val="Compact"/>
              <w:jc w:val="left"/>
            </w:pPr>
            <w:r>
              <w:t xml:space="preserve">BPM only</w:t>
            </w:r>
          </w:p>
        </w:tc>
      </w:tr>
      <w:tr>
        <w:trPr>
          <w:cantSplit/>
        </w:trPr>
        <w:tc>
          <w:tcPr>
            <w:tcW w:type="dxa" w:w="2042"/>
          </w:tcPr>
          <w:p>
            <w:pPr>
              <w:keepNext/>
              <w:pStyle w:val="Compact"/>
              <w:jc w:val="left"/>
            </w:pPr>
            <w:r>
              <w:t xml:space="preserve">Gain</w:t>
            </w:r>
          </w:p>
        </w:tc>
        <w:tc>
          <w:tcPr>
            <w:tcW w:type="dxa" w:w="2124"/>
          </w:tcPr>
          <w:p>
            <w:pPr>
              <w:keepNext/>
              <w:pStyle w:val="Compact"/>
              <w:jc w:val="left"/>
            </w:pPr>
            <w:r>
              <w:t xml:space="preserve">1</w:t>
            </w:r>
          </w:p>
        </w:tc>
        <w:tc>
          <w:tcPr>
            <w:tcW w:type="dxa" w:w="2451"/>
          </w:tcPr>
          <w:p>
            <w:pPr>
              <w:keepNext/>
              <w:pStyle w:val="Compact"/>
              <w:jc w:val="left"/>
            </w:pPr>
            <w:r>
              <w:t xml:space="preserve">if not recalibrated between crossings</w:t>
            </w:r>
          </w:p>
        </w:tc>
        <w:tc>
          <w:tcPr>
            <w:tcW w:type="dxa" w:w="2451"/>
          </w:tcPr>
          <w:p>
            <w:pPr>
              <w:keepNext/>
              <w:pStyle w:val="Compact"/>
              <w:jc w:val="left"/>
            </w:pPr>
            <w:r>
              <w:t xml:space="preserve">not evaluated</w:t>
            </w:r>
          </w:p>
        </w:tc>
      </w:tr>
      <w:tr>
        <w:trPr>
          <w:cantSplit/>
        </w:trPr>
        <w:tc>
          <w:tcPr>
            <w:tcW w:type="dxa" w:w="2042"/>
          </w:tcPr>
          <w:p>
            <w:pPr>
              <w:keepNext/>
              <w:pStyle w:val="Compact"/>
              <w:jc w:val="left"/>
            </w:pPr>
            <w:r>
              <w:t xml:space="preserve">Reference weighing</w:t>
            </w:r>
            <w:r>
              <w:t xml:space="preserve"> </w:t>
            </w:r>
            <m:oMath>
              <m:sSub>
                <m:e>
                  <m:r>
                    <m:t>P</m:t>
                  </m:r>
                </m:e>
                <m:sub>
                  <m:r>
                    <m:t>0</m:t>
                  </m:r>
                </m:sub>
              </m:sSub>
            </m:oMath>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laboratory: International Organization of Legal Metrology (OIML) class M1 weights; field: day-1 weights driver-reported</w:t>
            </w:r>
          </w:p>
        </w:tc>
      </w:tr>
      <w:tr>
        <w:trPr>
          <w:cantSplit/>
        </w:trPr>
        <w:tc>
          <w:tcPr>
            <w:tcW w:type="dxa" w:w="2042"/>
          </w:tcPr>
          <w:p>
            <w:pPr>
              <w:keepNext/>
              <w:pStyle w:val="Compact"/>
              <w:jc w:val="left"/>
            </w:pPr>
            <w:r>
              <w:t xml:space="preserve">Residual offset, drift</w:t>
            </w:r>
            <w:r>
              <w:t xml:space="preserve"> </w:t>
            </w:r>
            <m:oMath>
              <m:sSub>
                <m:e>
                  <m:r>
                    <m:t>δ</m:t>
                  </m:r>
                </m:e>
                <m:sub>
                  <m:r>
                    <m:t>0</m:t>
                  </m:r>
                </m:sub>
              </m:sSub>
            </m:oMath>
          </w:p>
        </w:tc>
        <w:tc>
          <w:tcPr>
            <w:tcW w:type="dxa" w:w="2124"/>
          </w:tcPr>
          <w:p>
            <w:pPr>
              <w:keepNext/>
              <w:pStyle w:val="Compact"/>
              <w:jc w:val="left"/>
            </w:pPr>
            <m:oMath>
              <m:sSub>
                <m:e>
                  <m:r>
                    <m:t>L</m:t>
                  </m:r>
                </m:e>
                <m:sub>
                  <m:r>
                    <m:rPr>
                      <m:sty m:val="p"/>
                      <m:nor/>
                    </m:rPr>
                    <m:t>tot</m:t>
                  </m:r>
                </m:sub>
              </m:sSub>
              <m:r>
                <m:rPr>
                  <m:sty m:val="p"/>
                </m:rPr>
                <m:t>/</m:t>
              </m:r>
              <m:r>
                <m:t>J</m:t>
              </m:r>
            </m:oMath>
            <w:r>
              <w:t xml:space="preserve"> </w:t>
            </w:r>
            <w:r>
              <w:t xml:space="preserve">per unit offset</w:t>
            </w:r>
          </w:p>
        </w:tc>
        <w:tc>
          <w:tcPr>
            <w:tcW w:type="dxa" w:w="2451"/>
          </w:tcPr>
          <w:p>
            <w:pPr>
              <w:keepNext/>
              <w:pStyle w:val="Compact"/>
              <w:jc w:val="left"/>
            </w:pPr>
            <w:r>
              <w:t xml:space="preserve">only if common-mode during crossings</w:t>
            </w:r>
          </w:p>
        </w:tc>
        <w:tc>
          <w:tcPr>
            <w:tcW w:type="dxa" w:w="2451"/>
          </w:tcPr>
          <w:p>
            <w:pPr>
              <w:keepNext/>
              <w:pStyle w:val="Compact"/>
              <w:jc w:val="left"/>
            </w:pPr>
            <w:r>
              <w:t xml:space="preserve">Table S17; field per-crossing SD of the gauge average predicted 19.8 % (day 2), 5.3 % (day 1)</w:t>
            </w:r>
          </w:p>
        </w:tc>
      </w:tr>
      <w:tr>
        <w:trPr>
          <w:cantSplit/>
        </w:trPr>
        <w:tc>
          <w:tcPr>
            <w:tcW w:type="dxa" w:w="2042"/>
          </w:tcPr>
          <w:p>
            <w:pPr>
              <w:keepNext/>
              <w:pStyle w:val="Compact"/>
              <w:jc w:val="left"/>
            </w:pPr>
            <w:r>
              <w:t xml:space="preserve">Speed effect</w:t>
            </w:r>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day 2: +6 % per 10 m/s (95 % CI −23 to +35 %), not resolved</w:t>
            </w:r>
          </w:p>
        </w:tc>
      </w:tr>
      <w:tr>
        <w:trPr>
          <w:cantSplit/>
        </w:trPr>
        <w:tc>
          <w:tcPr>
            <w:tcW w:type="dxa" w:w="2042"/>
          </w:tcPr>
          <w:p>
            <w:pPr>
              <w:keepNext/>
              <w:pStyle w:val="Compact"/>
              <w:jc w:val="left"/>
            </w:pPr>
            <w:r>
              <w:t xml:space="preserve">Speed measurement</w:t>
            </w:r>
          </w:p>
        </w:tc>
        <w:tc>
          <w:tcPr>
            <w:tcW w:type="dxa" w:w="2124"/>
          </w:tcPr>
          <w:p>
            <w:pPr>
              <w:keepNext/>
              <w:pStyle w:val="Compact"/>
              <w:jc w:val="left"/>
            </w:pPr>
            <w:r>
              <w:t xml:space="preserve">1</w:t>
            </w:r>
          </w:p>
        </w:tc>
        <w:tc>
          <w:tcPr>
            <w:tcW w:type="dxa" w:w="2451"/>
          </w:tcPr>
          <w:p>
            <w:pPr>
              <w:keepNext/>
              <w:pStyle w:val="Compact"/>
              <w:jc w:val="left"/>
            </w:pPr>
            <w:r>
              <w:t xml:space="preserve">no</w:t>
            </w:r>
          </w:p>
        </w:tc>
        <w:tc>
          <w:tcPr>
            <w:tcW w:type="dxa" w:w="2451"/>
          </w:tcPr>
          <w:p>
            <w:pPr>
              <w:keepNext/>
              <w:pStyle w:val="Compact"/>
              <w:jc w:val="left"/>
            </w:pPr>
            <w:r>
              <w:t xml:space="preserve">1.4 % on average (at most 4.6 %) against the dataset speeds; a second estimator differs by a factor of 1.139 (SD 0.124)</w:t>
            </w:r>
          </w:p>
        </w:tc>
      </w:tr>
      <w:tr>
        <w:trPr>
          <w:cantSplit/>
        </w:trPr>
        <w:tc>
          <w:tcPr>
            <w:tcW w:type="dxa" w:w="2042"/>
          </w:tcPr>
          <w:p>
            <w:pPr>
              <w:keepNext/>
              <w:pStyle w:val="Compact"/>
              <w:jc w:val="left"/>
            </w:pPr>
            <w:r>
              <w:t xml:space="preserve">Dynamics</w:t>
            </w:r>
          </w:p>
        </w:tc>
        <w:tc>
          <w:tcPr>
            <w:tcW w:type="dxa" w:w="2124"/>
          </w:tcPr>
          <w:p>
            <w:pPr>
              <w:keepNext/>
              <w:pStyle w:val="Compact"/>
              <w:jc w:val="left"/>
            </w:pPr>
            <w:r>
              <w:t xml:space="preserve">1</w:t>
            </w:r>
          </w:p>
        </w:tc>
        <w:tc>
          <w:tcPr>
            <w:tcW w:type="dxa" w:w="2451"/>
          </w:tcPr>
          <w:p>
            <w:pPr>
              <w:keepNext/>
              <w:pStyle w:val="Compact"/>
              <w:jc w:val="left"/>
            </w:pPr>
            <w:r>
              <w:t xml:space="preserve">partly</w:t>
            </w:r>
          </w:p>
        </w:tc>
        <w:tc>
          <w:tcPr>
            <w:tcW w:type="dxa" w:w="2451"/>
          </w:tcPr>
          <w:p>
            <w:pPr>
              <w:keepNext/>
              <w:pStyle w:val="Compact"/>
              <w:jc w:val="left"/>
            </w:pPr>
            <w:r>
              <w:t xml:space="preserve">≤ 1 % for</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keepNext/>
              <w:pStyle w:val="Compact"/>
              <w:jc w:val="left"/>
            </w:pPr>
            <w:r>
              <w:t xml:space="preserve">Transverse position</w:t>
            </w:r>
          </w:p>
        </w:tc>
        <w:tc>
          <w:tcPr>
            <w:tcW w:type="dxa" w:w="2124"/>
          </w:tcPr>
          <w:p>
            <w:pPr>
              <w:keepNext/>
              <w:pStyle w:val="Compact"/>
              <w:jc w:val="left"/>
            </w:pPr>
            <w:r>
              <w:t xml:space="preserve">lane-dependent</w:t>
            </w:r>
            <w:r>
              <w:t xml:space="preserve"> </w:t>
            </w:r>
            <m:oMath>
              <m:r>
                <m:t>C</m:t>
              </m:r>
            </m:oMath>
          </w:p>
        </w:tc>
        <w:tc>
          <w:tcPr>
            <w:tcW w:type="dxa" w:w="2451"/>
          </w:tcPr>
          <w:p>
            <w:pPr>
              <w:keepNext/>
              <w:pStyle w:val="Compact"/>
              <w:jc w:val="left"/>
            </w:pPr>
            <w:r>
              <w:t xml:space="preserve">no, unless lane-specific</w:t>
            </w:r>
          </w:p>
        </w:tc>
        <w:tc>
          <w:tcPr>
            <w:tcW w:type="dxa" w:w="2451"/>
          </w:tcPr>
          <w:p>
            <w:pPr>
              <w:keepNext/>
              <w:pStyle w:val="Compact"/>
              <w:jc w:val="left"/>
            </w:pPr>
            <w:r>
              <w:t xml:space="preserve">field lane ratio 0.79; Mây Bridge range 2.05 mm across a section</w:t>
            </w:r>
          </w:p>
        </w:tc>
      </w:tr>
      <w:tr>
        <w:trPr>
          <w:cantSplit/>
        </w:trPr>
        <w:tc>
          <w:tcPr>
            <w:tcW w:type="dxa" w:w="2042"/>
          </w:tcPr>
          <w:p>
            <w:pPr>
              <w:keepNext/>
              <w:pStyle w:val="Compact"/>
              <w:jc w:val="left"/>
            </w:pPr>
            <w:r>
              <w:t xml:space="preserve">Multiple presence</w:t>
            </w:r>
          </w:p>
        </w:tc>
        <w:tc>
          <w:tcPr>
            <w:tcW w:type="dxa" w:w="2124"/>
          </w:tcPr>
          <w:p>
            <w:pPr>
              <w:keepNext/>
              <w:pStyle w:val="Compact"/>
              <w:jc w:val="left"/>
            </w:pPr>
            <w:r>
              <w:t xml:space="preserve">group weight</w:t>
            </w:r>
          </w:p>
        </w:tc>
        <w:tc>
          <w:tcPr>
            <w:tcW w:type="dxa" w:w="2451"/>
          </w:tcPr>
          <w:p>
            <w:pPr>
              <w:keepNext/>
              <w:pStyle w:val="Compact"/>
              <w:jc w:val="left"/>
            </w:pPr>
            <w:r>
              <w:t xml:space="preserve">–</w:t>
            </w:r>
          </w:p>
        </w:tc>
        <w:tc>
          <w:tcPr>
            <w:tcW w:type="dxa" w:w="2451"/>
          </w:tcPr>
          <w:p>
            <w:pPr>
              <w:keepNext/>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nor/>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(MAE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keepLines/>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keepNext/>
              <w:pStyle w:val="Compact"/>
              <w:jc w:val="left"/>
            </w:pPr>
            <w:r>
              <w:t xml:space="preserve">Measured quantity</w:t>
            </w:r>
          </w:p>
        </w:tc>
        <w:tc>
          <w:tcPr>
            <w:tcW w:type="dxa" w:w="2636"/>
            <w:tcBorders>
              <w:top w:val="nil"/>
              <w:left w:val="nil"/>
              <w:bottom w:val="single" w:sz="6" w:space="0" w:color="000000"/>
              <w:right w:val="nil"/>
            </w:tcBorders>
          </w:tcPr>
          <w:p>
            <w:pPr>
              <w:keepNext/>
              <w:pStyle w:val="Compact"/>
              <w:jc w:val="right"/>
            </w:pPr>
            <w:r>
              <w:t xml:space="preserve">Calibration A</w:t>
            </w:r>
          </w:p>
        </w:tc>
        <w:tc>
          <w:tcPr>
            <w:tcW w:type="dxa" w:w="2636"/>
            <w:tcBorders>
              <w:top w:val="nil"/>
              <w:left w:val="nil"/>
              <w:bottom w:val="single" w:sz="6" w:space="0" w:color="000000"/>
              <w:right w:val="nil"/>
            </w:tcBorders>
          </w:tcPr>
          <w:p>
            <w:pPr>
              <w:keepNext/>
              <w:pStyle w:val="Compact"/>
              <w:jc w:val="right"/>
            </w:pPr>
            <w:r>
              <w:t xml:space="preserve">Calibration B</w:t>
            </w:r>
          </w:p>
        </w:tc>
      </w:tr>
      <w:tr>
        <w:trPr>
          <w:cantSplit/>
        </w:trPr>
        <w:tc>
          <w:tcPr>
            <w:tcW w:type="dxa" w:w="3796"/>
          </w:tcPr>
          <w:p>
            <w:pPr>
              <w:keepNext/>
              <w:pStyle w:val="Compact"/>
              <w:jc w:val="left"/>
            </w:pPr>
            <w:r>
              <w:t xml:space="preserve">Integral ratio, N8 at 0.4</w:t>
            </w:r>
            <m:oMath>
              <m:r>
                <m:t>L</m:t>
              </m:r>
            </m:oMath>
            <w:r>
              <w:t xml:space="preserve"> </w:t>
            </w:r>
            <w:r>
              <w:t xml:space="preserve">/ N7 at mid-span</w:t>
            </w:r>
          </w:p>
        </w:tc>
        <w:tc>
          <w:tcPr>
            <w:tcW w:type="dxa" w:w="2636"/>
          </w:tcPr>
          <w:p>
            <w:pPr>
              <w:keepNext/>
              <w:pStyle w:val="Compact"/>
              <w:jc w:val="right"/>
            </w:pPr>
            <w:r>
              <w:t xml:space="preserve">0.121</w:t>
            </w:r>
          </w:p>
        </w:tc>
        <w:tc>
          <w:tcPr>
            <w:tcW w:type="dxa" w:w="2636"/>
          </w:tcPr>
          <w:p>
            <w:pPr>
              <w:keepNext/>
              <w:pStyle w:val="Compact"/>
              <w:jc w:val="right"/>
            </w:pPr>
            <w:r>
              <w:t xml:space="preserve">0.284</w:t>
            </w:r>
          </w:p>
        </w:tc>
      </w:tr>
      <w:tr>
        <w:trPr>
          <w:cantSplit/>
        </w:trPr>
        <w:tc>
          <w:tcPr>
            <w:tcW w:type="dxa" w:w="3796"/>
          </w:tcPr>
          <w:p>
            <w:pPr>
              <w:keepNext/>
              <w:pStyle w:val="Compact"/>
              <w:jc w:val="left"/>
            </w:pPr>
            <w:r>
              <w:t xml:space="preserve">Peak girder rotation over pier T7 (µrad)</w:t>
            </w:r>
          </w:p>
        </w:tc>
        <w:tc>
          <w:tcPr>
            <w:tcW w:type="dxa" w:w="2636"/>
          </w:tcPr>
          <w:p>
            <w:pPr>
              <w:keepNext/>
              <w:pStyle w:val="Compact"/>
              <w:jc w:val="right"/>
            </w:pPr>
            <w:r>
              <w:t xml:space="preserve">−58</w:t>
            </w:r>
          </w:p>
        </w:tc>
        <w:tc>
          <w:tcPr>
            <w:tcW w:type="dxa" w:w="2636"/>
          </w:tcPr>
          <w:p>
            <w:pPr>
              <w:keepNext/>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The closed forms are checked against finite element evaluations in the same scripts (logs in the archive). The derived data behind the figures and tables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2026-10-21T13:35:10Z</dcterms:created>
  <dcterms:modified xsi:type="dcterms:W3CDTF">2026-10-21T13:35:10Z</dcterms:modified>
</cp:coreProperties>
</file>

<file path=docProps/custom.xml><?xml version="1.0" encoding="utf-8"?>
<Properties xmlns="http://schemas.openxmlformats.org/officeDocument/2006/custom-properties" xmlns:vt="http://schemas.openxmlformats.org/officeDocument/2006/docPropsVTypes"/>
</file>