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leaving a gauge blind to the load. This paper gives criteria for choosing, before installation, channels that observe the total load. They build on the influence-area identity: the area under a record equals the load times the channel’s response to a uniform unit load, the integral constant. Closed forms give the blind loci of five channel types (deflection, strain, rotation, shear, reaction) on continuous and haunched girders. Strain gauges are blind wherever the uniform-load moment vanishes, and nearly blind in a band around these points. A cancellation ratio separates cancellation from restraint. Optimal sensors lie at the extremes of the uniform-load response. A closed-form law gives the integral constant as a function of uncertain pier stiffness. A static test on a laboratory two-span beam confirms the identity. On public moving-truck records from a five-span box girder, invariance of the constant could be shown only within margins of 10–27 %, and the narrow range of reference weights did not allow weight discrimination to be tested. Generalised least-squares weights estimated from vehicle-free noise performed worse out of sample than the gauge average, because crossing residuals are much less correlated between gauges than vehicle-free noise. On an in-service three-span box girder, two static readings leave the constant of a side-span deflection gauge uncertain by a factor of 6.6, while the main-span gauge is well determined.</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Appendix B)</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It has been applied to multi-span bridges [19] and extended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this calibration is called the standard-load method (SLM) below. The method has been used in long-term monitoring [24]. On a seven-span slab-on-girder bridge it was accurate to within 5 % for test trucks with well-estimated speeds [25,26]. Later work added strain-area and strain-integral variants [27–29], shear-strain weighing [30], a sparse-sensing influence-area system that chose the number and location of strain gauges on a single-span bridge [31], simplified BWIM in the field [32] and load-cell reactions [33]. Yan et al. proposed a probabilistic, influence-line-free gross-weight scheme based on a transmissibility-like index [34]. The integral of the influence line has also served as a damage feature [35,36], and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Combining several channels by generalised least squares (GLS) is equally standard, and its zero-sum variant, with channel weights that add up to zero, is the familiar differential measurement against a reference.</w:t>
      </w:r>
    </w:p>
    <w:p>
      <w:pPr>
        <w:pStyle w:val="BodyText"/>
      </w:pPr>
      <w:r>
        <w:t xml:space="preserve">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Deng et al. used the area under displacement influence lines of a continuous rigid-frame bridge and, because the net area of a multi-span influence line is small, replaced it by the area of its absolute value [44]. Optimal sensor placement for BWIM has been posed through an augmented Kalman filter [45], deflection-based load identification as a regularised stochastic problem [46,47], and measured deflection influence lines have been inverted for the stiffness of continuous girders [48].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Neither the influence-area identity nor the GLS estimator is new; the contribution lies in the criteria built on them:</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contain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rigidity, the cancellation ratio</w:t>
      </w:r>
      <w:r>
        <w:t xml:space="preserve"> </w:t>
      </w:r>
      <m:oMath>
        <m:r>
          <m:t>R</m:t>
        </m:r>
      </m:oMath>
      <w:r>
        <w:t xml:space="preserve">, which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constant under boundary uncertainty: the constant depends on pier stiffness only through the scaled pier stiffness</w:t>
      </w:r>
      <w:r>
        <w:t xml:space="preserve"> </w:t>
      </w:r>
      <m:oMath>
        <m:r>
          <m:t>κ</m:t>
        </m:r>
        <m:r>
          <m:rPr>
            <m:sty m:val="p"/>
          </m:rPr>
          <m:t>=</m:t>
        </m:r>
        <m:r>
          <m:t>k</m:t>
        </m:r>
        <m:r>
          <m:rPr>
            <m:sty m:val="p"/>
          </m:rPr>
          <m:t>/</m:t>
        </m:r>
        <m:r>
          <m:t>α</m:t>
        </m:r>
      </m:oMath>
      <w:r>
        <w:t xml:space="preserve">, following a linear-fractional (Möbius) law, and the analysis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influence-area-identity"/>
    <w:p>
      <w:pPr>
        <w:pStyle w:val="Heading3"/>
      </w:pPr>
      <w:r>
        <w:t xml:space="preserve">2.1. Influence-area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sSub>
              <m:e>
                <m:r>
                  <m:t>L</m:t>
                </m:r>
              </m:e>
              <m:sub>
                <m:r>
                  <m:t>p</m:t>
                </m:r>
              </m:sub>
            </m:sSub>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d</m:t>
            </m:r>
          </m:e>
          <m:sub>
            <m:r>
              <m:t>i</m:t>
            </m:r>
          </m:sub>
        </m:sSub>
      </m:oMath>
      <w:r>
        <w:t xml:space="preserve"> </w:t>
      </w:r>
      <w:r>
        <w:t xml:space="preserve">term by term gives the record integral</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y</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w:t>
      </w:r>
      <w:r>
        <w:t xml:space="preserve"> </w:t>
      </w:r>
      <m:oMath>
        <m:sSub>
          <m:e>
            <m:r>
              <m:t>C</m:t>
            </m:r>
          </m:e>
          <m:sub>
            <m:r>
              <m:t>m</m:t>
            </m:r>
          </m:sub>
        </m:sSub>
      </m:oMath>
      <w:r>
        <w:t xml:space="preserve"> </w:t>
      </w:r>
      <w:r>
        <w:t xml:space="preserve">is called the integral constant, or simply the constant;</w:t>
      </w:r>
      <w:r>
        <w:t xml:space="preserve"> </w:t>
      </w:r>
      <m:oMath>
        <m:sSub>
          <m:e>
            <m:r>
              <m:t>C</m:t>
            </m:r>
          </m:e>
          <m:sub>
            <m:r>
              <m:t>ε</m:t>
            </m:r>
          </m:sub>
        </m:sSub>
      </m:oMath>
      <w:r>
        <w:t xml:space="preserve">,</w:t>
      </w:r>
      <w:r>
        <w:t xml:space="preserve"> </w:t>
      </w:r>
      <m:oMath>
        <m:sSub>
          <m:e>
            <m:r>
              <m:t>C</m:t>
            </m:r>
          </m:e>
          <m:sub>
            <m:r>
              <m:t>θ</m:t>
            </m:r>
          </m:sub>
        </m:sSub>
      </m:oMath>
      <w:r>
        <w:t xml:space="preserve"> </w:t>
      </w:r>
      <w:r>
        <w:t xml:space="preserve">and</w:t>
      </w:r>
      <w:r>
        <w:t xml:space="preserve"> </w:t>
      </w:r>
      <m:oMath>
        <m:sSub>
          <m:e>
            <m:r>
              <m:t>C</m:t>
            </m:r>
          </m:e>
          <m:sub>
            <m:r>
              <m:t>V</m:t>
            </m:r>
          </m:sub>
        </m:sSub>
      </m:oMath>
      <w:r>
        <w:t xml:space="preserve"> </w:t>
      </w:r>
      <w:r>
        <w:t xml:space="preserve">denote it for strain, rotation and shear channels.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Two single-channel estimators follow from Eq. (2).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The standard-load method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[23].</w:t>
      </w:r>
    </w:p>
    <w:p>
      <w:pPr>
        <w:pStyle w:val="BodyText"/>
      </w:pPr>
      <w:r>
        <w:t xml:space="preserve">Eq. (2) holds under five conditions, each of which the later sections test. The structure must be linear and time-invariant during the crossing (Section 3 and the superposition test of Section 4.2).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4.2).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in dimensionless form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where</w:t>
      </w:r>
      <w:r>
        <w:t xml:space="preserve"> </w:t>
      </w:r>
      <m:oMath>
        <m:r>
          <m:t>μ</m:t>
        </m:r>
      </m:oMath>
      <w:r>
        <w:t xml:space="preserve"> </w:t>
      </w:r>
      <w:r>
        <w:t xml:space="preserve">is the classical interior-moment parameter (Appendix A; [38]). It depends on the span ratio,</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for two spans 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for three spans, and on the rigidity ratio</w:t>
      </w:r>
      <w:r>
        <w:t xml:space="preserve"> </w:t>
      </w:r>
      <m:oMath>
        <m:r>
          <m:t>γ</m:t>
        </m:r>
      </m:oMath>
      <w:r>
        <w:t xml:space="preserve">, which is</w:t>
      </w:r>
      <w:r>
        <w:t xml:space="preserve"> </w:t>
      </w:r>
      <m:oMath>
        <m:r>
          <m:t>E</m:t>
        </m:r>
        <m:sSub>
          <m:e>
            <m:r>
              <m:t>I</m:t>
            </m:r>
          </m:e>
          <m:sub>
            <m:r>
              <m:t>2</m:t>
            </m:r>
          </m:sub>
        </m:sSub>
        <m:r>
          <m:rPr>
            <m:sty m:val="p"/>
          </m:rPr>
          <m:t>/</m:t>
        </m:r>
        <m:r>
          <m:t>E</m:t>
        </m:r>
        <m:sSub>
          <m:e>
            <m:r>
              <m:t>I</m:t>
            </m:r>
          </m:e>
          <m:sub>
            <m:r>
              <m:t>1</m:t>
            </m:r>
          </m:sub>
        </m:sSub>
      </m:oMath>
      <w:r>
        <w:t xml:space="preserve"> </w:t>
      </w:r>
      <w:r>
        <w:t xml:space="preserve">for two spans and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for three spans: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The left-hand side of Eq. (5) is the deflection indicator of Section 2.3, Eq. (10), with</w:t>
      </w:r>
      <w:r>
        <w:t xml:space="preserve"> </w:t>
      </w:r>
      <m:oMath>
        <m:r>
          <m:t>E</m:t>
        </m:r>
        <m:sSub>
          <m:e>
            <m:r>
              <m:t>I</m:t>
            </m:r>
          </m:e>
          <m:sub>
            <m:r>
              <m:rPr>
                <m:sty m:val="p"/>
              </m:rPr>
              <m:t>r</m:t>
            </m:r>
            <m:r>
              <m:rPr>
                <m:sty m:val="p"/>
              </m:rPr>
              <m:t>e</m:t>
            </m:r>
            <m:r>
              <m:rPr>
                <m:sty m:val="p"/>
              </m:rPr>
              <m:t>f</m:t>
            </m:r>
          </m:sub>
        </m:sSub>
        <m:r>
          <m:rPr>
            <m:sty m:val="p"/>
          </m:rPr>
          <m:t>=</m:t>
        </m:r>
        <m:r>
          <m:t>E</m:t>
        </m:r>
        <m:r>
          <m:t>I</m:t>
        </m:r>
      </m:oMath>
      <w:r>
        <w:t xml:space="preserve">.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sensor at mid side span,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where the end rotation under the uniform load vanishes.</w:t>
      </w:r>
    </w:p>
    <w:p>
      <w:pPr>
        <w:pStyle w:val="BodyText"/>
      </w:pPr>
      <w:r>
        <w:t xml:space="preserve">Close to a blind locus a channel is poorly conditioned. A channel is called near-blind when its indicator (Section 2.3) is below 0.2 in magnitude, and the set of such positions or span ratios is the near-blind band. For a mid side-span deflection gauge on three spans the band covers</w:t>
      </w:r>
      <w:r>
        <w:t xml:space="preserve"> </w:t>
      </w:r>
      <m:oMath>
        <m:r>
          <m:t>1.621</m:t>
        </m:r>
        <m:r>
          <m:rPr>
            <m:sty m:val="p"/>
          </m:rPr>
          <m:t>&lt;</m:t>
        </m:r>
        <m:r>
          <m:t>β</m:t>
        </m:r>
        <m:r>
          <m:rPr>
            <m:sty m:val="p"/>
          </m:rPr>
          <m:t>&lt;</m:t>
        </m:r>
        <m:r>
          <m:t>1.775</m:t>
        </m:r>
      </m:oMath>
      <w:r>
        <w:t xml:space="preserve">; Table 1 gives the other bands. Fig. 1 defines the notation, Fig. 2 maps the observability, and Table A.1 gives the optimal side-span positions. All closed forms agree with finite element (FE) evaluations of Eq. (2) (Appendix B).</w:t>
      </w:r>
    </w:p>
    <w:p>
      <w:pPr>
        <w:pStyle w:val="BodyText"/>
      </w:pPr>
      <w:r>
        <w:t xml:space="preserve">The strain channel follows from the same end moments; for</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its blind point is</w:t>
      </w:r>
      <w:r>
        <w:t xml:space="preserve"> </w:t>
      </w:r>
      <m:oMath>
        <m:sSub>
          <m:e>
            <m:r>
              <m:t>ξ</m:t>
            </m:r>
          </m:e>
          <m:sub>
            <m:r>
              <m:t>0</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In the instrumented span of two equal spans the strain blind point is</w:t>
      </w:r>
      <w:r>
        <w:t xml:space="preserve"> </w:t>
      </w:r>
      <m:oMath>
        <m:sSub>
          <m:e>
            <m:r>
              <m:t>ξ</m:t>
            </m:r>
          </m:e>
          <m:sub>
            <m:r>
              <m:t>0</m:t>
            </m:r>
          </m:sub>
        </m:sSub>
        <m:r>
          <m:rPr>
            <m:sty m:val="p"/>
          </m:rPr>
          <m:t>=</m:t>
        </m:r>
        <m:r>
          <m:t>0.75</m:t>
        </m:r>
      </m:oMath>
      <w:r>
        <w:t xml:space="preserve">. Strain blind points exist in every span that has a sagging zone (</w:t>
      </w:r>
      <m:oMath>
        <m:r>
          <m:t>μ</m:t>
        </m:r>
        <m:r>
          <m:rPr>
            <m:sty m:val="p"/>
          </m:rPr>
          <m:t>&lt;</m:t>
        </m:r>
        <m:r>
          <m:t>4</m:t>
        </m:r>
      </m:oMath>
      <w:r>
        <w:t xml:space="preserve">), so every continuous girder has them, whatever its span ratios. Table 1 gives the blind point in the main span.</w:t>
      </w:r>
    </w:p>
    <w:p>
      <w:pPr>
        <w:pStyle w:val="BodyText"/>
      </w:pPr>
      <w:r>
        <w:t xml:space="preserve">Each strain blind point is surrounded by a near-blind band,</w:t>
      </w:r>
      <w:r>
        <w:t xml:space="preserve"> </w:t>
      </w:r>
      <m:oMath>
        <m:d>
          <m:dPr>
            <m:begChr m:val="|"/>
            <m:endChr m:val="|"/>
            <m:sepChr m:val=""/>
            <m:grow/>
          </m:dPr>
          <m:e>
            <m:sSub>
              <m:e>
                <m:r>
                  <m:t>N</m:t>
                </m:r>
              </m:e>
              <m:sub>
                <m:r>
                  <m:t>M</m:t>
                </m:r>
              </m:sub>
            </m:sSub>
          </m:e>
        </m:d>
        <m:r>
          <m:rPr>
            <m:sty m:val="p"/>
          </m:rPr>
          <m:t>&lt;</m:t>
        </m:r>
        <m:r>
          <m:t>0.2</m:t>
        </m:r>
      </m:oMath>
      <w:r>
        <w:t xml:space="preserve">. For two equal spans the band lies 0.19–0.32 of the span from the interior support. A gauge at the support section itself is well conditioned, with</w:t>
      </w:r>
      <w:r>
        <w:t xml:space="preserve"> </w:t>
      </w:r>
      <m:oMath>
        <m:d>
          <m:dPr>
            <m:begChr m:val="|"/>
            <m:endChr m:val="|"/>
            <m:sepChr m:val=""/>
            <m:grow/>
          </m:dPr>
          <m:e>
            <m:sSub>
              <m:e>
                <m:r>
                  <m:t>N</m:t>
                </m:r>
              </m:e>
              <m:sub>
                <m:r>
                  <m:t>M</m:t>
                </m:r>
              </m:sub>
            </m:sSub>
          </m:e>
        </m:d>
        <m:r>
          <m:rPr>
            <m:sty m:val="p"/>
          </m:rPr>
          <m:t>=</m:t>
        </m:r>
        <m:r>
          <m:t>μ</m:t>
        </m:r>
      </m:oMath>
      <w:r>
        <w:t xml:space="preserve">. A gauge set back from the pier to clear the diaphragm, or placed at a quarter point, can fall into the band. Table 1 collects the blind loci of all channels, and Fig. 3 shows the indicators along two prismatic girders.</w:t>
      </w:r>
    </w:p>
    <w:p>
      <w:pPr>
        <w:pStyle w:val="BodyText"/>
      </w:pPr>
      <w:r>
        <w:rPr>
          <w:bCs/>
          <w:b/>
        </w:rPr>
        <w:t xml:space="preserve">Table 1.</w:t>
      </w:r>
      <w:r>
        <w:t xml:space="preserve"> </w:t>
      </w:r>
      <w:r>
        <w:t xml:space="preserve">Blind loci of response channels, that is, positions or span ratios at which the integral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 Near-blind band: indicator below 0.2 in magnitude.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One identity in Table 1 is useful in practice.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F</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Normalised indicators make this sensitivity comparable between channels. For a deflection channel the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 With this normalisation</w:t>
      </w:r>
      <w:r>
        <w:t xml:space="preserve"> </w:t>
      </w:r>
      <m:oMath>
        <m:sSub>
          <m:e>
            <m:r>
              <m:t>N</m:t>
            </m:r>
          </m:e>
          <m:sub>
            <m:r>
              <m:t>w</m:t>
            </m:r>
          </m:sub>
        </m:sSub>
      </m:oMath>
      <w:r>
        <w:t xml:space="preserve"> </w:t>
      </w:r>
      <w:r>
        <w:t xml:space="preserve">equals 2.5 at mid-span of a simply supported span.</w:t>
      </w:r>
      <w:r>
        <w:t xml:space="preserve"> </w:t>
      </w:r>
      <m:oMath>
        <m:sSub>
          <m:e>
            <m:r>
              <m:t>N</m:t>
            </m:r>
          </m:e>
          <m:sub>
            <m:r>
              <m:t>M</m:t>
            </m:r>
          </m:sub>
        </m:sSub>
      </m:oMath>
      <w:r>
        <w:t xml:space="preserve"> </w:t>
      </w:r>
      <w:r>
        <w:t xml:space="preserve">of Eq. (9), and the rotation and shear indicators of Appendix B, equal 1 for the same simply supported reference.</w:t>
      </w:r>
    </w:p>
    <w:p>
      <w:pPr>
        <w:pStyle w:val="BodyText"/>
      </w:pPr>
      <w:r>
        <w:t xml:space="preserve">Because the two reference values (2.5 and 1) differ, a common threshold of 0.2 means different things for the two channels: relative to the simply supported mid-span value, it is 8 % for deflection and 20 % for strain. Both thresholds are design conventions and are used as stated throughout.</w:t>
      </w:r>
    </w:p>
    <w:p>
      <w:pPr>
        <w:pStyle w:val="BodyText"/>
      </w:pPr>
      <w:r>
        <w:t xml:space="preserve">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rigidity: it is the uniform-load moment relative to the simple-span moment</w:t>
      </w:r>
      <w:r>
        <w:t xml:space="preserve"> </w:t>
      </w:r>
      <m:oMath>
        <m:sSub>
          <m:e>
            <m:r>
              <m:t>q</m:t>
            </m:r>
          </m:e>
          <m:sub>
            <m:r>
              <m:t>0</m:t>
            </m:r>
          </m:sub>
        </m:sSub>
        <m:sSup>
          <m:e>
            <m:r>
              <m:t>L</m:t>
            </m:r>
          </m:e>
          <m:sup>
            <m:r>
              <m:t>2</m:t>
            </m:r>
          </m:sup>
        </m:sSup>
        <m:r>
          <m:rPr>
            <m:sty m:val="p"/>
          </m:rPr>
          <m:t>/</m:t>
        </m:r>
        <m:r>
          <m:t>8</m:t>
        </m:r>
      </m:oMath>
      <w:r>
        <w:t xml:space="preserve">, so its threshold keeps one meaning for any</w:t>
      </w:r>
      <w:r>
        <w:t xml:space="preserve"> </w:t>
      </w:r>
      <m:oMath>
        <m:r>
          <m:t>E</m:t>
        </m:r>
        <m:r>
          <m:t>I</m:t>
        </m:r>
        <m:d>
          <m:dPr>
            <m:begChr m:val="("/>
            <m:endChr m:val=")"/>
            <m:sepChr m:val=""/>
            <m:grow/>
          </m:dPr>
          <m:e>
            <m:r>
              <m:t>x</m:t>
            </m:r>
          </m:e>
        </m:d>
      </m:oMath>
      <w:r>
        <w:t xml:space="preserve">. The section enters a strain channel only through the gain</w:t>
      </w:r>
      <w:r>
        <w:t xml:space="preserve"> </w:t>
      </w:r>
      <m:oMath>
        <m:r>
          <m:t>c</m:t>
        </m:r>
        <m:r>
          <m:rPr>
            <m:sty m:val="p"/>
          </m:rPr>
          <m:t>/</m:t>
        </m:r>
        <m:r>
          <m:t>E</m:t>
        </m:r>
        <m:r>
          <m:t>I</m:t>
        </m:r>
      </m:oMath>
      <w:r>
        <w:t xml:space="preserve"> </w:t>
      </w:r>
      <w:r>
        <w:t xml:space="preserve">of Eq. (3).</w:t>
      </w:r>
    </w:p>
    <w:p>
      <w:pPr>
        <w:pStyle w:val="BodyText"/>
      </w:pPr>
      <w:r>
        <w:t xml:space="preserve">A second measure that needs no reference rigidity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and 0 at a blind configuration. A small indicator with</w:t>
      </w:r>
      <w:r>
        <w:t xml:space="preserve"> </w:t>
      </w:r>
      <m:oMath>
        <m:r>
          <m:t>R</m:t>
        </m:r>
      </m:oMath>
      <w:r>
        <w:t xml:space="preserve"> </w:t>
      </w:r>
      <w:r>
        <w:t xml:space="preserve">near 1 therefore indicates restraint, not cancellation. The strain influence line is more local than the deflection influence line, so it cancels less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Neither indicator carries the absolute signal level, on which the offset error depends. Suppose that a residual offset</w:t>
      </w:r>
      <w:r>
        <w:t xml:space="preserve"> </w:t>
      </w:r>
      <m:oMath>
        <m:sSub>
          <m:e>
            <m:r>
              <m:t>δ</m:t>
            </m:r>
          </m:e>
          <m:sub>
            <m:r>
              <m:t>0</m:t>
            </m:r>
          </m:sub>
        </m:sSub>
      </m:oMath>
      <w:r>
        <w:t xml:space="preserve">, in the units of the channel, remains after the record has been re-zeroed before and after the crossing. It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and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a deflection or a strain, 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Let</w:t>
      </w:r>
      <w:r>
        <w:t xml:space="preserve"> </w:t>
      </w:r>
      <m:oMath>
        <m:r>
          <m:t>Σ</m:t>
        </m:r>
      </m:oMath>
      <w:r>
        <w:t xml:space="preserve"> </w:t>
      </w:r>
      <w:r>
        <w:t xml:space="preserve">be the covariance matrix of the vector</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with channel weights</w:t>
      </w:r>
      <w:r>
        <w:t xml:space="preserve"> </w:t>
      </w:r>
      <m:oMath>
        <m:r>
          <m:t>a</m:t>
        </m:r>
      </m:oMath>
      <w:r>
        <w:t xml:space="preserve">, is unbiased for every axle configuration if and only if</w:t>
      </w:r>
      <w:r>
        <w:t xml:space="preserve"> </w:t>
      </w:r>
      <m:oMath>
        <m:sSup>
          <m:e>
            <m:r>
              <m:t>a</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w:t>
      </w:r>
    </w:p>
    <w:p>
      <w:pPr>
        <w:pStyle w:val="BodyText"/>
      </w:pPr>
      <w:r>
        <w:t xml:space="preserve">Could a non-uniform weighting function</w:t>
      </w:r>
      <w:r>
        <w:t xml:space="preserve"> </w:t>
      </w:r>
      <m:oMath>
        <m:r>
          <m:t>g</m:t>
        </m:r>
        <m:d>
          <m:dPr>
            <m:begChr m:val="("/>
            <m:endChr m:val=")"/>
            <m:sepChr m:val=""/>
            <m:grow/>
          </m:dPr>
          <m:e>
            <m:r>
              <m:t>x</m:t>
            </m:r>
          </m:e>
        </m:d>
      </m:oMath>
      <w:r>
        <w:t xml:space="preserve"> </w:t>
      </w:r>
      <w:r>
        <w:t xml:space="preserve">along a single record do better than the plain integral? Appendix B shows that it cannot: only a uniform</w:t>
      </w:r>
      <w:r>
        <w:t xml:space="preserve"> </w:t>
      </w:r>
      <m:oMath>
        <m:r>
          <m:t>g</m:t>
        </m:r>
      </m:oMath>
      <w:r>
        <w:t xml:space="preserve"> </w:t>
      </w:r>
      <w:r>
        <w:t xml:space="preserve">keeps the estimate independent of the axle configuration for every structure, and SLM relies on this invariance. Appendix B also links SLM to transmissibility-based weighing [34]: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makes</w:t>
      </w:r>
      <w:r>
        <w:t xml:space="preserve"> </w:t>
      </w:r>
      <m:oMath>
        <m:acc>
          <m:accPr>
            <m:chr m:val="̂"/>
          </m:accPr>
          <m:e>
            <m:r>
              <m:t>P</m:t>
            </m:r>
          </m:e>
        </m:acc>
      </m:oMath>
      <w:r>
        <w:t xml:space="preserve"> </w:t>
      </w:r>
      <w:r>
        <w:t xml:space="preserve">insensitive to any disturbance shared by the channels: a constant offset, a drift, or motion of the reference frame. This estimator is called the zero-sum estimator below. With equal noise and offset statistics in all channels, its variance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w:t>
      </w:r>
    </w:p>
    <w:p>
      <w:pPr>
        <w:pStyle w:val="BodyText"/>
      </w:pPr>
      <w:r>
        <w:t xml:space="preserve">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Strain and deflection channels need separate zero-sum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The feasible constants form a box, bounded by the smallest and largest</w:t>
      </w:r>
      <w:r>
        <w:t xml:space="preserve"> </w:t>
      </w:r>
      <m:oMath>
        <m:r>
          <m:t>C</m:t>
        </m:r>
        <m:d>
          <m:dPr>
            <m:begChr m:val="("/>
            <m:endChr m:val=")"/>
            <m:sepChr m:val=""/>
            <m:grow/>
          </m:dPr>
          <m:e>
            <m:r>
              <m:t>x</m:t>
            </m:r>
          </m:e>
        </m:d>
      </m:oMath>
      <w:r>
        <w:t xml:space="preserve"> </w:t>
      </w:r>
      <w:r>
        <w:t xml:space="preserve">along the girder, and a convex function on a box attains its maximum at a vertex. Optimal sensors therefore lie at the maximum and the minimum of</w:t>
      </w:r>
      <w:r>
        <w:t xml:space="preserve"> </w:t>
      </w:r>
      <m:oMath>
        <m:r>
          <m:t>C</m:t>
        </m:r>
        <m:d>
          <m:dPr>
            <m:begChr m:val="("/>
            <m:endChr m:val=")"/>
            <m:sepChr m:val=""/>
            <m:grow/>
          </m:dPr>
          <m:e>
            <m:r>
              <m:t>x</m:t>
            </m:r>
          </m:e>
        </m:d>
      </m:oMath>
      <w:r>
        <w:t xml:space="preserve">. For deflection,</w:t>
      </w:r>
      <w:r>
        <w:t xml:space="preserve"> </w:t>
      </w:r>
      <m:oMath>
        <m:r>
          <m:t>C</m:t>
        </m:r>
        <m:d>
          <m:dPr>
            <m:begChr m:val="("/>
            <m:endChr m:val=")"/>
            <m:sepChr m:val=""/>
            <m:grow/>
          </m:dPr>
          <m:e>
            <m:r>
              <m:t>x</m:t>
            </m:r>
          </m:e>
        </m:d>
      </m:oMath>
      <w:r>
        <w:t xml:space="preserve"> </w:t>
      </w:r>
      <w:r>
        <w:t xml:space="preserve">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so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w:t>
      </w:r>
    </w:p>
    <w:p>
      <w:pPr>
        <w:pStyle w:val="BodyText"/>
      </w:pPr>
      <w:r>
        <w:t xml:space="preserve">Which extreme 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found no design better than this vertex design, and a Monte Carlo study confirmed that the estimators are unbiased and that Eqs. (13) and (14) hold to within 0.6 % (Supplementary Material). Fig. 4 shows the gain over the best single sensor.</w:t>
      </w:r>
    </w:p>
    <w:p>
      <w:pPr>
        <w:pStyle w:val="BodyText"/>
      </w:pPr>
      <w:r>
        <w:t xml:space="preserve">These results hold for the assumed noise model, and Section 4.3 shows that real records can violate it. The zero-sum estimator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The ratio of two static readings does not depend on</w:t>
      </w:r>
      <w:r>
        <w:t xml:space="preserve"> </w:t>
      </w:r>
      <m:oMath>
        <m:r>
          <m:t>α</m:t>
        </m:r>
      </m:oMath>
      <w:r>
        <w:t xml:space="preserve">, so only this ratio carries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w:t>
      </w:r>
    </w:p>
    <w:p>
      <w:pPr>
        <w:pStyle w:val="BodyText"/>
      </w:pPr>
      <w:r>
        <w:t xml:space="preserve">For a mirror-symmetric girder with equal piers, the uniform load excites only the antisymmetric pattern of pier rotations,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makes the constant a linear-fractional (Möbius) function of</w:t>
      </w:r>
      <w:r>
        <w:t xml:space="preserve"> </w:t>
      </w:r>
      <m:oMath>
        <m:r>
          <m:t>κ</m:t>
        </m:r>
      </m:oMath>
      <w:r>
        <w:t xml:space="preserve"> </w:t>
      </w:r>
      <w:r>
        <w:t xml:space="preserve">and is called the Möbius law below.</w:t>
      </w:r>
    </w:p>
    <w:p>
      <w:pPr>
        <w:pStyle w:val="BodyText"/>
      </w:pPr>
      <w:r>
        <w:t xml:space="preserve">Two measures follow from Eq. (15).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of the constant that pier fixity can produce at a gauge.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this change.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(FE check in Appendix C). For</w:t>
      </w:r>
      <w:r>
        <w:t xml:space="preserve"> </w:t>
      </w:r>
      <m:oMath>
        <m:r>
          <m:t>β</m:t>
        </m:r>
        <m:r>
          <m:rPr>
            <m:sty m:val="p"/>
          </m:rPr>
          <m:t>=</m:t>
        </m:r>
        <m:r>
          <m:t>1.636</m:t>
        </m:r>
      </m:oMath>
      <w:r>
        <w:t xml:space="preserve">, the span ratio of the bridge studied in Section 5, the side-span indicator at</w:t>
      </w:r>
      <w:r>
        <w:t xml:space="preserve"> </w:t>
      </w:r>
      <m:oMath>
        <m:r>
          <m:t>ξ</m:t>
        </m:r>
        <m:r>
          <m:rPr>
            <m:sty m:val="p"/>
          </m:rPr>
          <m:t>=</m:t>
        </m:r>
        <m:r>
          <m:t>0.4</m:t>
        </m:r>
      </m:oMath>
      <w:r>
        <w:t xml:space="preserve"> </w:t>
      </w:r>
      <w:r>
        <w:t xml:space="preserve">rises from 0.287 with pinned piers to 1.037 with fixed piers. The mid main-span indicator moves the other way, from 0.755 to 0.500. Rotational restraint thus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record integral and the two single-channel estimators, BPM and SLM,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were suspended at 250 mm steps along the beam.</w:t>
      </w:r>
    </w:p>
    <w:p>
      <w:pPr>
        <w:pStyle w:val="BodyText"/>
      </w:pPr>
      <w:r>
        <w:t xml:space="preserve">Three configurations were tested: a single 40.64 N reference load, two loads 250 mm apart, and three loads. For the three-load group, the order of the loads along the beam was not recorded. The order used here is the one that fits the record best, with a root-mean-square residual of 0.030 mm against 0.55 mm for the reverse order. Because the data fixed this order, the three-load result is not a fully independent test. The specimen, the influence line and the data are in the Supplementary Material.</w:t>
      </w:r>
    </w:p>
    <w:p>
      <w:pPr>
        <w:pStyle w:val="BodyText"/>
      </w:pPr>
      <w:r>
        <w:t xml:space="preserve">The analytical influence line matched the single-load record within 0.0126 mm, 0.44 % of the peak.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Two ratios explain the deviations in Table 2. First, the measured reference integral is 1.0049 times its exact analytical value, and the ratio of the BPM to the SLM estimate equals this factor in both configurations. SLM absorbs the calibration error of the reference record, whereas BPM does not.</w:t>
      </w:r>
    </w:p>
    <w:p>
      <w:pPr>
        <w:pStyle w:val="BodyText"/>
      </w:pPr>
      <w:r>
        <w:t xml:space="preserve">Second, the ratio of the measured to the analytical integral, both from the trapezoidal rule, grows with the number of loads: 1.010, 1.016 and 1.017 for one, two and three loads. The SLM deviations of 0.61 % and 0.70 % match the growth of this ratio relative to its one-load value of 1.010. The data cannot tell whether support seating or errors in the stated masses cause it.</w:t>
      </w:r>
    </w:p>
    <w:p>
      <w:pPr>
        <w:pStyle w:val="BodyText"/>
      </w:pPr>
      <w:r>
        <w:t xml:space="preserve">Because the configurations differ in both total load and spacing, the test supports the invariance of Eq. (2) only indirectly. The predicted blind configuration (spans of 2500 mm and 3644 mm) was not tested.</w:t>
      </w:r>
    </w:p>
    <w:bookmarkEnd w:id="29"/>
    <w:bookmarkStart w:id="34"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the main results with 95 % confidence intervals (CIs) and compares single- and multi-channel estimators out of sample. The per-channel tables, the equivalence tests, the noise correlations and the full estimator table are in Supplementary Tables S2–S6, and the speed regressions in Supplementary Fig. S2.</w:t>
      </w:r>
    </w:p>
    <w:bookmarkStart w:id="30" w:name="data-and-reference-weights"/>
    <w:p>
      <w:pPr>
        <w:pStyle w:val="Heading3"/>
      </w:pPr>
      <w:r>
        <w:t xml:space="preserve">4.1. Data and reference weights</w:t>
      </w:r>
    </w:p>
    <w:p>
      <w:pPr>
        <w:pStyle w:val="FirstParagraph"/>
      </w:pPr>
      <w:r>
        <w:t xml:space="preserve">The Nothing-on-Road BWIM (NOR-BWIM) dataset [49] (CC0 licence) contains strain records of the Virginia Smart Road Bridge, documented in [41–43,50]. The bridge is a post-tensioned concrete box girder continuous over five spans of 86.5 + 3 × 144 + 86.5 m = 605 m. Strain transducers on the soffit of the top slab lie near mid-span of span 2, 158.5 m from the first abutment, in longitudinal stations about 2 m apart under the wheel path.</w:t>
      </w:r>
    </w:p>
    <w:p>
      <w:pPr>
        <w:pStyle w:val="BodyText"/>
      </w:pPr>
      <w:r>
        <w:t xml:space="preserve">Day 1 has 12 channels, labelled with the prefix</w:t>
      </w:r>
      <w:r>
        <w:t xml:space="preserve"> </w:t>
      </w:r>
      <w:r>
        <w:t xml:space="preserve">“</w:t>
      </w:r>
      <w:r>
        <w:t xml:space="preserve">ch</w:t>
      </w:r>
      <w:r>
        <w:t xml:space="preserve">”</w:t>
      </w:r>
      <w:r>
        <w:t xml:space="preserve">. They fall into three groups: four wheel-path gauges with clear axle spikes (ch4, ch5, ch11, ch12), a partner gauge at each of these four stations, and four further gauges without axle spikes (ch1, ch2, ch8, ch9). Day 2 has four channels in one longitudinal line under the wheel path, labelled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and their gross weights were reported by the drivers [50]. On day 2, a 3-axle truck of 26.8 t and a 5-axle truck of 25.9 t were weighed on a static scale [50]. They ran in the instrumented lane (lane A), on the return trip in the other lane (lane B), and in two runs with the two trucks one behind the other.</w:t>
      </w:r>
    </w:p>
    <w:p>
      <w:pPr>
        <w:pStyle w:val="BodyText"/>
      </w:pPr>
      <w:r>
        <w:t xml:space="preserve">Errors below are given as a percentage of the gross vehicle weight (GVW). Because the weights vary by only a few per cent within each day, a predictor that always returns the mean calibration weight already has a mean absolute error (MAE) of 2.0 % on day 2 and 2.2 % on day 1. The field data therefore test the scatter and invariance of the integral constant, not the ability to discriminate weights.</w:t>
      </w:r>
    </w:p>
    <w:p>
      <w:pPr>
        <w:pStyle w:val="BodyText"/>
      </w:pPr>
      <w:r>
        <w:t xml:space="preserve">Each record was re-zeroed with a linear baseline fitted to vehicle-free segments before and after the crossing, integrated over the whole time the truck was on the bridge, and converted to</w:t>
      </w:r>
      <w:r>
        <w:t xml:space="preserve"> </w:t>
      </w:r>
      <m:oMath>
        <m:r>
          <m:rPr>
            <m:sty m:val="p"/>
          </m:rPr>
          <m:t>∫</m:t>
        </m:r>
        <m:r>
          <m:t>ε</m:t>
        </m:r>
        <m:r>
          <m:t> </m:t>
        </m:r>
        <m:r>
          <m:rPr>
            <m:sty m:val="p"/>
          </m:rPr>
          <m:t>d</m:t>
        </m:r>
        <m:r>
          <m:t>x</m:t>
        </m:r>
      </m:oMath>
      <w:r>
        <w:t xml:space="preserve"> </w:t>
      </w:r>
      <w:r>
        <w:t xml:space="preserve">with the speed measured from the axle spikes. The noise of the integral was measured from vehicle-free windows of crossing length. Processing details and the excluded runs are in the Supplementary Material; Fig. 5 shows three crossings.</w:t>
      </w:r>
    </w:p>
    <w:bookmarkEnd w:id="30"/>
    <w:bookmarkStart w:id="31" w:name="invariance-lanes-and-gauges"/>
    <w:p>
      <w:pPr>
        <w:pStyle w:val="Heading3"/>
      </w:pPr>
      <w:r>
        <w:t xml:space="preserve">4.2. Invariance, lanes and gauges</w:t>
      </w:r>
    </w:p>
    <w:p>
      <w:pPr>
        <w:pStyle w:val="FirstParagraph"/>
      </w:pPr>
      <w:r>
        <w:t xml:space="preserve">The constant is stable within the noise for most gauges, but invariance between trucks can be shown only within margins of 10–27 %. On day 1, the χ² test does not reject consistency with the measured noise for eight of the twelve gauges, but only one gauge, ch11, shows that both trucks give the same constant within ±10 % (Fig. 6a).</w:t>
      </w:r>
    </w:p>
    <w:p>
      <w:pPr>
        <w:pStyle w:val="BodyText"/>
      </w:pPr>
      <w:r>
        <w:t xml:space="preserve">The four gauges without axle spikes fail the invariance test: their constant is 22–26 % lower for the second truck, and the 95 % CIs of the ratio exclude 1. On day 1, however, speed and truck are almost perfectly confounded (correlation 0.98), so the difference may reflect a different wheel path, local deck action or speed.</w:t>
      </w:r>
    </w:p>
    <w:p>
      <w:pPr>
        <w:pStyle w:val="BodyText"/>
      </w:pPr>
      <w:r>
        <w:t xml:space="preserve">On day 2, the ratio of the gauge-average constants of the 5-axle and the 3-axle truck is 0.98 (95 % CI 0.70–1.37; Fig. 6b). The result is consistent with Eq. (2), but with eight runs it cannot exclude differences of up to about 27 %. It is therefore a coarse check of linearity and processing, not a sharp test of the identity. No speed effect was resolved, but the confidence interval of the slope is too wide to call the constant speed-independent (Supplementary Fig. S2).</w:t>
      </w:r>
    </w:p>
    <w:p>
      <w:pPr>
        <w:pStyle w:val="BodyText"/>
      </w:pPr>
      <w:r>
        <w:t xml:space="preserve">Each lane needs its own constant. For the gauge average, return trips in lane B gave constants 0.79 times those of lane A (95 % CI 0.59–1.00), as also found on another continuous girder [40].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On day 1 the constant of ch11 is 3.9 times that of ch8, although the two gauges are within 6 m of each other and a one-dimensional beam model predicts nearly equal constants. The ratio of the st36 and st40 constants also changes with the lane, by about 2.5 standard errors, so gauge-factor spread is an unlikely cause of the gauge-to-gauge differences; the deck-soffit gauges respond to slab bending and shear lag as well as to girder bending. The constant must therefore come from a weighed reference vehicle or a three-dimensional model, and a beam-model BPM would fail.</w:t>
      </w:r>
    </w:p>
    <w:p>
      <w:pPr>
        <w:pStyle w:val="BodyText"/>
      </w:pPr>
      <w:r>
        <w:t xml:space="preserve">A beam model of the girder nevertheless reproduces the global shape of the strain histories (</w:t>
      </w:r>
      <m:oMath>
        <m:sSup>
          <m:e>
            <m:r>
              <m:t>r</m:t>
            </m:r>
          </m:e>
          <m:sup>
            <m:r>
              <m:t>2</m:t>
            </m:r>
          </m:sup>
        </m:sSup>
      </m:oMath>
      <w:r>
        <w:t xml:space="preserve"> </w:t>
      </w:r>
      <w:r>
        <w:t xml:space="preserve">= 0.79–0.94) and explains two features. The gauges are not blind: the zeros of the uniform-load moment diagram in span 2 lie about 35 m from them. The whole 605 m crossing must be integrated, because span 2 contributes about 170 % of the net integral and the adjacent spans −26 % and −66 %.</w:t>
      </w:r>
    </w:p>
    <w:bookmarkEnd w:id="31"/>
    <w:bookmarkStart w:id="32" w:name="Xc45e6b1ff604f78f59be1da14e8ddb20272b12c"/>
    <w:p>
      <w:pPr>
        <w:pStyle w:val="Heading3"/>
      </w:pPr>
      <w:r>
        <w:t xml:space="preserve">4.3. Single- and multi-channel estimators out of sample</w:t>
      </w:r>
    </w:p>
    <w:p>
      <w:pPr>
        <w:pStyle w:val="FirstParagraph"/>
      </w:pPr>
      <w:r>
        <w:t xml:space="preserve">Combining gauges did not help on these records. Four kinds of estimator were compared by leave-one-run-out cross-validation: single gauges, the gauge average, GLS (Eq. (13)) and the zero-sum estimator (Eq. (14)). In each fold the constants were calibrated without the test run, and</w:t>
      </w:r>
      <w:r>
        <w:t xml:space="preserve"> </w:t>
      </w:r>
      <m:oMath>
        <m:r>
          <m:t>Σ</m:t>
        </m:r>
      </m:oMath>
      <w:r>
        <w:t xml:space="preserve"> </w:t>
      </w:r>
      <w:r>
        <w:t xml:space="preserve">was estimated from vehicle-free windows only (Table 3, Fig. 7).</w:t>
      </w:r>
    </w:p>
    <w:p>
      <w:pPr>
        <w:pStyle w:val="BodyText"/>
      </w:pPr>
      <w:r>
        <w:rPr>
          <w:bCs/>
          <w:b/>
        </w:rPr>
        <w:t xml:space="preserve">Table 3.</w:t>
      </w:r>
      <w:r>
        <w:t xml:space="preserve"> </w:t>
      </w:r>
      <w:r>
        <w:t xml:space="preserve">Mean absolute error of the gross weight (% of GVW), leave-one-run-out, with 95 % bootstrap CIs over the test runs (n = 8 on day 2, n = 7 on day 1). Leave-one-truck-out results and the four wheel-path gauges of day 1: Supplementary Table S6.</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Estimator</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Best single gauge (chosen after the fact)</w:t>
            </w:r>
          </w:p>
        </w:tc>
        <w:tc>
          <w:tcPr>
            <w:tcW w:type="dxa" w:w="2636"/>
          </w:tcPr>
          <w:p>
            <w:pPr>
              <w:pStyle w:val="Compact"/>
              <w:jc w:val="left"/>
            </w:pPr>
            <w:r>
              <w:t xml:space="preserve">8.4 (2.9–15.3)</w:t>
            </w:r>
          </w:p>
        </w:tc>
        <w:tc>
          <w:tcPr>
            <w:tcW w:type="dxa" w:w="2636"/>
          </w:tcPr>
          <w:p>
            <w:pPr>
              <w:pStyle w:val="Compact"/>
              <w:jc w:val="left"/>
            </w:pPr>
            <w:r>
              <w:t xml:space="preserve">4.8 (1.8–7.9)</w:t>
            </w:r>
          </w:p>
        </w:tc>
      </w:tr>
      <w:tr>
        <w:tc>
          <w:tcPr>
            <w:tcW w:type="dxa" w:w="3796"/>
          </w:tcPr>
          <w:p>
            <w:pPr>
              <w:pStyle w:val="Compact"/>
              <w:jc w:val="left"/>
            </w:pPr>
            <w:r>
              <w:t xml:space="preserve">Worst single gauge</w:t>
            </w:r>
          </w:p>
        </w:tc>
        <w:tc>
          <w:tcPr>
            <w:tcW w:type="dxa" w:w="2636"/>
          </w:tcPr>
          <w:p>
            <w:pPr>
              <w:pStyle w:val="Compact"/>
              <w:jc w:val="left"/>
            </w:pPr>
            <w:r>
              <w:t xml:space="preserve">27.9 (12.9–44.5)</w:t>
            </w:r>
          </w:p>
        </w:tc>
        <w:tc>
          <w:tcPr>
            <w:tcW w:type="dxa" w:w="2636"/>
          </w:tcPr>
          <w:p>
            <w:pPr>
              <w:pStyle w:val="Compact"/>
              <w:jc w:val="left"/>
            </w:pPr>
            <w:r>
              <w:t xml:space="preserve">17.6 (11.0–23.4)</w:t>
            </w:r>
          </w:p>
        </w:tc>
      </w:tr>
      <w:tr>
        <w:tc>
          <w:tcPr>
            <w:tcW w:type="dxa" w:w="3796"/>
          </w:tcPr>
          <w:p>
            <w:pPr>
              <w:pStyle w:val="Compact"/>
              <w:jc w:val="left"/>
            </w:pPr>
            <w:r>
              <w:t xml:space="preserve">Gauge average</w:t>
            </w:r>
          </w:p>
        </w:tc>
        <w:tc>
          <w:tcPr>
            <w:tcW w:type="dxa" w:w="2636"/>
          </w:tcPr>
          <w:p>
            <w:pPr>
              <w:pStyle w:val="Compact"/>
              <w:jc w:val="left"/>
            </w:pPr>
            <w:r>
              <w:t xml:space="preserve">11.9 (6.0–18.6)</w:t>
            </w:r>
          </w:p>
        </w:tc>
        <w:tc>
          <w:tcPr>
            <w:tcW w:type="dxa" w:w="2636"/>
          </w:tcPr>
          <w:p>
            <w:pPr>
              <w:pStyle w:val="Compact"/>
              <w:jc w:val="left"/>
            </w:pPr>
            <w:r>
              <w:t xml:space="preserve">5.3 (2.5–7.8)</w:t>
            </w:r>
          </w:p>
        </w:tc>
      </w:tr>
      <w:tr>
        <w:tc>
          <w:tcPr>
            <w:tcW w:type="dxa" w:w="3796"/>
          </w:tcPr>
          <w:p>
            <w:pPr>
              <w:pStyle w:val="Compact"/>
              <w:jc w:val="left"/>
            </w:pPr>
            <w:r>
              <w:t xml:space="preserve">GLS, diagonal</w:t>
            </w:r>
            <w:r>
              <w:t xml:space="preserve"> </w:t>
            </w:r>
            <m:oMath>
              <m:r>
                <m:t>Σ</m:t>
              </m:r>
            </m:oMath>
          </w:p>
        </w:tc>
        <w:tc>
          <w:tcPr>
            <w:tcW w:type="dxa" w:w="2636"/>
          </w:tcPr>
          <w:p>
            <w:pPr>
              <w:pStyle w:val="Compact"/>
              <w:jc w:val="left"/>
            </w:pPr>
            <w:r>
              <w:t xml:space="preserve">11.4 (6.0–18.0)</w:t>
            </w:r>
          </w:p>
        </w:tc>
        <w:tc>
          <w:tcPr>
            <w:tcW w:type="dxa" w:w="2636"/>
          </w:tcPr>
          <w:p>
            <w:pPr>
              <w:pStyle w:val="Compact"/>
              <w:jc w:val="left"/>
            </w:pPr>
            <w:r>
              <w:t xml:space="preserve">5.3 (2.5–8.0)</w:t>
            </w:r>
          </w:p>
        </w:tc>
      </w:tr>
      <w:tr>
        <w:tc>
          <w:tcPr>
            <w:tcW w:type="dxa" w:w="3796"/>
          </w:tcPr>
          <w:p>
            <w:pPr>
              <w:pStyle w:val="Compact"/>
              <w:jc w:val="left"/>
            </w:pPr>
            <w:r>
              <w:t xml:space="preserve">GLS, measured</w:t>
            </w:r>
            <w:r>
              <w:t xml:space="preserve"> </w:t>
            </w:r>
            <m:oMath>
              <m:r>
                <m:t>Σ</m:t>
              </m:r>
            </m:oMath>
          </w:p>
        </w:tc>
        <w:tc>
          <w:tcPr>
            <w:tcW w:type="dxa" w:w="2636"/>
          </w:tcPr>
          <w:p>
            <w:pPr>
              <w:pStyle w:val="Compact"/>
              <w:jc w:val="left"/>
            </w:pPr>
            <w:r>
              <w:t xml:space="preserve">20.4 (12.3–28.8)</w:t>
            </w:r>
          </w:p>
        </w:tc>
        <w:tc>
          <w:tcPr>
            <w:tcW w:type="dxa" w:w="2636"/>
          </w:tcPr>
          <w:p>
            <w:pPr>
              <w:pStyle w:val="Compact"/>
              <w:jc w:val="left"/>
            </w:pPr>
            <w:r>
              <w:t xml:space="preserve">5.8 (3.5–8.1)</w:t>
            </w:r>
          </w:p>
        </w:tc>
      </w:tr>
      <w:tr>
        <w:tc>
          <w:tcPr>
            <w:tcW w:type="dxa" w:w="3796"/>
          </w:tcPr>
          <w:p>
            <w:pPr>
              <w:pStyle w:val="Compact"/>
              <w:jc w:val="left"/>
            </w:pPr>
            <w:r>
              <w:t xml:space="preserve">Zero-sum, measured</w:t>
            </w:r>
            <w:r>
              <w:t xml:space="preserve"> </w:t>
            </w:r>
            <m:oMath>
              <m:r>
                <m:t>Σ</m:t>
              </m:r>
            </m:oMath>
          </w:p>
        </w:tc>
        <w:tc>
          <w:tcPr>
            <w:tcW w:type="dxa" w:w="2636"/>
          </w:tcPr>
          <w:p>
            <w:pPr>
              <w:pStyle w:val="Compact"/>
              <w:jc w:val="left"/>
            </w:pPr>
            <w:r>
              <w:t xml:space="preserve">20.3 (12.4–28.6)</w:t>
            </w:r>
          </w:p>
        </w:tc>
        <w:tc>
          <w:tcPr>
            <w:tcW w:type="dxa" w:w="2636"/>
          </w:tcPr>
          <w:p>
            <w:pPr>
              <w:pStyle w:val="Compact"/>
              <w:jc w:val="left"/>
            </w:pPr>
            <w:r>
              <w:t xml:space="preserve">6.0 (2.9–9.3)</w:t>
            </w:r>
          </w:p>
        </w:tc>
      </w:tr>
      <w:tr>
        <w:tc>
          <w:tcPr>
            <w:tcW w:type="dxa" w:w="3796"/>
          </w:tcPr>
          <w:p>
            <w:pPr>
              <w:pStyle w:val="Compact"/>
              <w:jc w:val="left"/>
            </w:pPr>
            <w:r>
              <w:t xml:space="preserve">Zero-sum,</w:t>
            </w:r>
            <w:r>
              <w:t xml:space="preserve"> </w:t>
            </w:r>
            <m:oMath>
              <m:r>
                <m:t>Σ</m:t>
              </m:r>
            </m:oMath>
            <w:r>
              <w:t xml:space="preserve"> </w:t>
            </w:r>
            <w:r>
              <w:t xml:space="preserve">= identity matrix</w:t>
            </w:r>
          </w:p>
        </w:tc>
        <w:tc>
          <w:tcPr>
            <w:tcW w:type="dxa" w:w="2636"/>
          </w:tcPr>
          <w:p>
            <w:pPr>
              <w:pStyle w:val="Compact"/>
              <w:jc w:val="left"/>
            </w:pPr>
            <w:r>
              <w:t xml:space="preserve">12.3 (6.1–20.2)</w:t>
            </w:r>
          </w:p>
        </w:tc>
        <w:tc>
          <w:tcPr>
            <w:tcW w:type="dxa" w:w="2636"/>
          </w:tcPr>
          <w:p>
            <w:pPr>
              <w:pStyle w:val="Compact"/>
              <w:jc w:val="left"/>
            </w:pPr>
            <w:r>
              <w:t xml:space="preserve">13.0 (7.1–19.0)</w:t>
            </w:r>
          </w:p>
        </w:tc>
      </w:tr>
      <w:tr>
        <w:tc>
          <w:tcPr>
            <w:tcW w:type="dxa" w:w="3796"/>
          </w:tcPr>
          <w:p>
            <w:pPr>
              <w:pStyle w:val="Compact"/>
              <w:jc w:val="left"/>
            </w:pPr>
            <w:r>
              <w:t xml:space="preserve">Mean weight of the calibration runs</w:t>
            </w:r>
          </w:p>
        </w:tc>
        <w:tc>
          <w:tcPr>
            <w:tcW w:type="dxa" w:w="2636"/>
          </w:tcPr>
          <w:p>
            <w:pPr>
              <w:pStyle w:val="Compact"/>
              <w:jc w:val="left"/>
            </w:pPr>
            <w:r>
              <w:t xml:space="preserve">2.0 (1.9–2.0)</w:t>
            </w:r>
          </w:p>
        </w:tc>
        <w:tc>
          <w:tcPr>
            <w:tcW w:type="dxa" w:w="2636"/>
          </w:tcPr>
          <w:p>
            <w:pPr>
              <w:pStyle w:val="Compact"/>
              <w:jc w:val="left"/>
            </w:pPr>
            <w:r>
              <w:t xml:space="preserve">2.2 (1.1–3.5)</w:t>
            </w:r>
          </w:p>
        </w:tc>
      </w:tr>
    </w:tbl>
    <w:p>
      <w:pPr>
        <w:pStyle w:val="BodyText"/>
      </w:pPr>
      <w:r>
        <w:t xml:space="preserve">On day 2, GLS with the measured covariance was worse than the gauge average: 20.4 % against 11.9 % MAE. The paired difference is +8.5 percentage points (95 % CI +2.3 to +15.1), so GLS and the zero-sum estimator are both significantly worse than the average. On day 1 the estimators cannot be told apart, and on both days every estimator is worse than the mean-weight predictor.</w:t>
      </w:r>
    </w:p>
    <w:p>
      <w:pPr>
        <w:pStyle w:val="BodyText"/>
      </w:pPr>
      <w:r>
        <w:t xml:space="preserve">The failure on day 2 is itself a finding. The vehicle-free noise of the four channels is strongly common-mode, but the crossing residuals are much less correlated between gauges: 0.63 against 0.90 for vehicle-free noise at the same window length. The vehicle-free covariance therefore predicted GLS to beat the average, whereas the covariance of the crossing residuals predicts the observed reverse order (Supplementary Table S5).</w:t>
      </w:r>
    </w:p>
    <w:p>
      <w:pPr>
        <w:pStyle w:val="BodyText"/>
      </w:pPr>
      <w:r>
        <w:t xml:space="preserve">Each crossing thus carries a gauge-specific component, plausibly from the wheel path and local slab action, and GLS amplifies it by giving st40 and st36 large weights of opposite sign. Estimating</w:t>
      </w:r>
      <w:r>
        <w:t xml:space="preserve"> </w:t>
      </w:r>
      <m:oMath>
        <m:r>
          <m:t>Σ</m:t>
        </m:r>
      </m:oMath>
      <w:r>
        <w:t xml:space="preserve"> </w:t>
      </w:r>
      <w:r>
        <w:t xml:space="preserve">from the crossing residuals instead over-fits with only eight runs (Supplementary Material). As anticipated in Section 2.4, the zero-sum estimator helps only when the disturbance is common-mode during the crossings themselves.</w:t>
      </w:r>
    </w:p>
    <w:bookmarkEnd w:id="32"/>
    <w:bookmarkStart w:id="33" w:name="what-the-field-records-show"/>
    <w:p>
      <w:pPr>
        <w:pStyle w:val="Heading3"/>
      </w:pPr>
      <w:r>
        <w:t xml:space="preserve">4.4. What the field records show</w:t>
      </w:r>
    </w:p>
    <w:p>
      <w:pPr>
        <w:pStyle w:val="FirstParagraph"/>
      </w:pPr>
      <w:r>
        <w:t xml:space="preserve">The records support linearity, superposition and per-gauge invariance within the 10–27 % that the noise allows, and they show that each lane, and each deck gauge, needs its own constant. They cannot show weight discrimination, because the reference weights hardly vary. They show no benefit from GLS or zero-sum combinations, because the common-mode assumption behind Eq. (14) holds for vehicle-free noise but not for crossing residuals.</w:t>
      </w:r>
    </w:p>
    <w:p>
      <w:pPr>
        <w:pStyle w:val="BodyText"/>
      </w:pPr>
      <w:r>
        <w:t xml:space="preserve">The tests rest on four trucks, two axle counts and seven or eight runs per day. The gauge calibration factors and exact positions are not published, so absolute constants cannot be checked. The GVW accuracy that the dataset authors reported for their influence-line system on this bridge [41–43] was not compared [NEED VALUE: GVW accuracy reported in [41–43] for the same runs, if the authors wish to add it].</w:t>
      </w:r>
    </w:p>
    <w:bookmarkEnd w:id="33"/>
    <w:bookmarkEnd w:id="34"/>
    <w:bookmarkStart w:id="38"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data determine the observability of each installed gauge, which channel and position would be robust, and which measurement would decide between the models that fit the data.</w:t>
      </w:r>
    </w:p>
    <w:bookmarkStart w:id="35" w:name="bridge-data-and-model"/>
    <w:p>
      <w:pPr>
        <w:pStyle w:val="Heading3"/>
      </w:pPr>
      <w:r>
        <w:t xml:space="preserve">5.1. Bridge, data and model</w:t>
      </w:r>
    </w:p>
    <w:p>
      <w:pPr>
        <w:pStyle w:val="FirstParagraph"/>
      </w:pPr>
      <w:r>
        <w:t xml:space="preserve">The Cầu Mây Bridge carries provincial road ĐT389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the design section properties are in the Supplementary Material. The inner piers, including pier T7, are monolithic with the girder, and the end supports T5 and T8 carry pot bearings.</w:t>
      </w:r>
    </w:p>
    <w:p>
      <w:pPr>
        <w:pStyle w:val="BodyText"/>
      </w:pPr>
      <w:r>
        <w:t xml:space="preserve">Two deflection gauge sections were read: N8 in the side span between pier T7 and end support T8, at 0.4L (22 m) from T8, and N7 at mid main span. In the June 2020 acceptance test, four trucks stood in the side span (gauge N8) and six in the main span (gauge N7). The trucks were 3-axle, nominally 5 + 10 + 10 t, with a weighed mean of 25.06 t. Dial gauges read the peak deflection under centric and eccentric transverse positions [NEED VALUE: instrument type and fixed reference datum of the dial gauges, temperature correction, load-hold time and zero-reading procedure]. Each gauge section has six readings (three measuring points across the section, on the axis and at both edges, under centric and eccentric truck arrangements); their mean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t>
      </w:r>
      <w:r>
        <w:t xml:space="preserve">fitted to the two design sections, and a rotational spring</w:t>
      </w:r>
      <w:r>
        <w:t xml:space="preserve"> </w:t>
      </w:r>
      <m:oMath>
        <m:r>
          <m:t>k</m:t>
        </m:r>
      </m:oMath>
      <w:r>
        <w:t xml:space="preserve"> </w:t>
      </w:r>
      <w:r>
        <w:t xml:space="preserve">at each inner pier. The depth law and the pier dimensions are not documented, so other depth lengths and exponents and a rigid pier zone were tested as model-form variants (Supplementary Material).</w:t>
      </w:r>
    </w:p>
    <w:p>
      <w:pPr>
        <w:pStyle w:val="BodyText"/>
      </w:pPr>
      <w:r>
        <w:t xml:space="preserve">Two reference calibrations are used. Calibration A is the design model, with</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to the two readings, with</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its misfits are −2.8 % and +2.9 %. In terms of the scaled pier stiffness, calibration A lies at</w:t>
      </w:r>
      <w:r>
        <w:t xml:space="preserve"> </w:t>
      </w:r>
      <m:oMath>
        <m:r>
          <m:t>κ</m:t>
        </m:r>
        <m:r>
          <m:rPr>
            <m:sty m:val="p"/>
          </m:rPr>
          <m:t>=</m:t>
        </m:r>
        <m:r>
          <m:t>2.75</m:t>
        </m:r>
        <m:r>
          <m:rPr>
            <m:sty m:val="p"/>
          </m:rPr>
          <m:t>×</m:t>
        </m:r>
        <m:sSup>
          <m:e>
            <m:r>
              <m:t>10</m:t>
            </m:r>
          </m:e>
          <m:sup>
            <m:r>
              <m:t>7</m:t>
            </m:r>
          </m:sup>
        </m:sSup>
      </m:oMath>
      <w:r>
        <w:t xml:space="preserve"> </w:t>
      </w:r>
      <w:r>
        <w:t xml:space="preserve">kN m/rad and calibration B at</w:t>
      </w:r>
      <w:r>
        <w:t xml:space="preserve"> </w:t>
      </w:r>
      <m:oMath>
        <m:r>
          <m:t>κ</m:t>
        </m:r>
        <m:r>
          <m:rPr>
            <m:sty m:val="p"/>
          </m:rPr>
          <m:t>=</m:t>
        </m:r>
        <m:r>
          <m:t>1.68</m:t>
        </m:r>
        <m:r>
          <m:rPr>
            <m:sty m:val="p"/>
          </m:rPr>
          <m:t>×</m:t>
        </m:r>
        <m:sSup>
          <m:e>
            <m:r>
              <m:t>10</m:t>
            </m:r>
          </m:e>
          <m:sup>
            <m:r>
              <m:t>8</m:t>
            </m:r>
          </m:sup>
        </m:sSup>
      </m:oMath>
      <w:r>
        <w:t xml:space="preserve"> </w:t>
      </w:r>
      <w:r>
        <w:t xml:space="preserve">kN m/rad. Fig. 8 shows the indicators along the girder for the prismatic model and both calibrations.</w:t>
      </w:r>
    </w:p>
    <w:bookmarkEnd w:id="35"/>
    <w:bookmarkStart w:id="36"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the constant of the main-span gauge N7 is well determined. Two facts explain this: a model-form misfit that no pier stiffness removes, and the Möbius law of Eq. (15).</w:t>
      </w:r>
    </w:p>
    <w:p>
      <w:pPr>
        <w:pStyle w:val="BodyText"/>
      </w:pPr>
      <w:r>
        <w:t xml:space="preserve">No pier stiffness lets the beam model fit both static readings exactly. The test quantity is</w:t>
      </w:r>
      <w:r>
        <w:t xml:space="preserve"> </w:t>
      </w:r>
      <m:oMath>
        <m:sSub>
          <m:e>
            <m:r>
              <m:t>r</m:t>
            </m:r>
          </m:e>
          <m:sub>
            <m:r>
              <m:t>87</m:t>
            </m:r>
          </m:sub>
        </m:sSub>
      </m:oMath>
      <w:r>
        <w:t xml:space="preserve">, the measured-to-model ratio at N8 divided by that at N7;</w:t>
      </w:r>
      <w:r>
        <w:t xml:space="preserve"> </w:t>
      </w:r>
      <m:oMath>
        <m:sSub>
          <m:e>
            <m:r>
              <m:t>r</m:t>
            </m:r>
          </m:e>
          <m:sub>
            <m:r>
              <m:t>87</m:t>
            </m:r>
          </m:sub>
        </m:sSub>
        <m:r>
          <m:rPr>
            <m:sty m:val="p"/>
          </m:rPr>
          <m:t>=</m:t>
        </m:r>
        <m:r>
          <m:t>1</m:t>
        </m:r>
      </m:oMath>
      <w:r>
        <w:t xml:space="preserve"> </w:t>
      </w:r>
      <w:r>
        <w:t xml:space="preserve">would mean that one model fits both gauges. It never reaches 1 (Fig. 9a). Its minimum, 1.058, lies at calibration B.</w:t>
      </w:r>
    </w:p>
    <w:p>
      <w:pPr>
        <w:pStyle w:val="BodyText"/>
      </w:pPr>
      <w:r>
        <w:t xml:space="preserve">The model-form variants move this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gauge section have a standard deviation of 1.9–2.0 % about their mean. This scatter comes from the transverse positions and is not a measure of repeatability, because the readings are not replicates. Combined in quadrature with a model-form standard uncertainty of 1.75 %, it gives a standard uncertainty of 2.64 % per reading, and</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conclusion depends on the tolerance.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Material).</w:t>
      </w:r>
    </w:p>
    <w:p>
      <w:pPr>
        <w:pStyle w:val="BodyText"/>
      </w:pPr>
      <w:r>
        <w:t xml:space="preserve">Over the admissible set, the absolute constant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deflection indicators show the same contrast: with the design rigidity as reference, N8 spans 0.124–0.822 and N7 only 0.190–0.286 (Table 4).</w:t>
      </w:r>
    </w:p>
    <w:p>
      <w:pPr>
        <w:pStyle w:val="BodyText"/>
      </w:pPr>
      <w:r>
        <w:rPr>
          <w:bCs/>
          <w:b/>
        </w:rPr>
        <w:t xml:space="preserve">Table 4.</w:t>
      </w:r>
      <w:r>
        <w:t xml:space="preserve"> </w:t>
      </w:r>
      <w:r>
        <w:t xml:space="preserve">Deflection indicator</w:t>
      </w:r>
      <w:r>
        <w:t xml:space="preserve"> </w:t>
      </w:r>
      <m:oMath>
        <m:sSub>
          <m:e>
            <m:r>
              <m:t>N</m:t>
            </m:r>
          </m:e>
          <m:sub>
            <m:r>
              <m:t>w</m:t>
            </m:r>
          </m:sub>
        </m:sSub>
      </m:oMath>
      <w:r>
        <w:t xml:space="preserve"> </w:t>
      </w:r>
      <w:r>
        <w:t xml:space="preserve">of the Cầu Mây gauges, Eq. (10), with</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pinned-pier and fixed-pier rows give the extreme values over all model-form 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07"/>
        <w:gridCol w:w="2030"/>
        <w:gridCol w:w="1714"/>
        <w:gridCol w:w="2617"/>
      </w:tblGrid>
      <w:tr>
        <w:trPr>
          <w:tblHeader w:val="true"/>
        </w:trPr>
        <w:tc>
          <w:tcPr>
            <w:tcW w:type="dxa" w:w="2707"/>
            <w:tcBorders>
              <w:top w:val="nil"/>
              <w:left w:val="nil"/>
              <w:bottom w:val="single" w:sz="6" w:space="0" w:color="000000"/>
              <w:right w:val="nil"/>
            </w:tcBorders>
          </w:tcPr>
          <w:p>
            <w:pPr>
              <w:pStyle w:val="Compact"/>
              <w:jc w:val="left"/>
            </w:pPr>
            <w:r>
              <w:t xml:space="preserve">Model</w:t>
            </w:r>
          </w:p>
        </w:tc>
        <w:tc>
          <w:tcPr>
            <w:tcW w:type="dxa" w:w="2030"/>
            <w:tcBorders>
              <w:top w:val="nil"/>
              <w:left w:val="nil"/>
              <w:bottom w:val="single" w:sz="6" w:space="0" w:color="000000"/>
              <w:right w:val="nil"/>
            </w:tcBorders>
          </w:tcPr>
          <w:p>
            <w:pPr>
              <w:pStyle w:val="Compact"/>
              <w:jc w:val="left"/>
            </w:pPr>
            <w:r>
              <w:t xml:space="preserve">N8, 0.4L (installed)</w:t>
            </w:r>
          </w:p>
        </w:tc>
        <w:tc>
          <w:tcPr>
            <w:tcW w:type="dxa" w:w="1714"/>
            <w:tcBorders>
              <w:top w:val="nil"/>
              <w:left w:val="nil"/>
              <w:bottom w:val="single" w:sz="6" w:space="0" w:color="000000"/>
              <w:right w:val="nil"/>
            </w:tcBorders>
          </w:tcPr>
          <w:p>
            <w:pPr>
              <w:pStyle w:val="Compact"/>
              <w:jc w:val="left"/>
            </w:pPr>
            <w:r>
              <w:t xml:space="preserve">N8 at mid side span</w:t>
            </w:r>
          </w:p>
        </w:tc>
        <w:tc>
          <w:tcPr>
            <w:tcW w:type="dxa" w:w="2617"/>
            <w:tcBorders>
              <w:top w:val="nil"/>
              <w:left w:val="nil"/>
              <w:bottom w:val="single" w:sz="6" w:space="0" w:color="000000"/>
              <w:right w:val="nil"/>
            </w:tcBorders>
          </w:tcPr>
          <w:p>
            <w:pPr>
              <w:pStyle w:val="Compact"/>
              <w:jc w:val="left"/>
            </w:pPr>
            <w:r>
              <w:t xml:space="preserve">N7, mid main span (installed)</w:t>
            </w:r>
          </w:p>
        </w:tc>
      </w:tr>
      <w:tr>
        <w:tc>
          <w:tcPr>
            <w:tcW w:type="dxa" w:w="2707"/>
          </w:tcPr>
          <w:p>
            <w:pPr>
              <w:pStyle w:val="Compact"/>
              <w:jc w:val="left"/>
            </w:pPr>
            <w:r>
              <w:t xml:space="preserve">Prismatic beam, pinned piers</w:t>
            </w:r>
          </w:p>
        </w:tc>
        <w:tc>
          <w:tcPr>
            <w:tcW w:type="dxa" w:w="2030"/>
          </w:tcPr>
          <w:p>
            <w:pPr>
              <w:pStyle w:val="Compact"/>
              <w:jc w:val="left"/>
            </w:pPr>
            <w:r>
              <w:t xml:space="preserve">0.287</w:t>
            </w:r>
          </w:p>
        </w:tc>
        <w:tc>
          <w:tcPr>
            <w:tcW w:type="dxa" w:w="1714"/>
          </w:tcPr>
          <w:p>
            <w:pPr>
              <w:pStyle w:val="Compact"/>
              <w:jc w:val="left"/>
            </w:pPr>
            <w:r>
              <w:t xml:space="preserve">0.163</w:t>
            </w:r>
          </w:p>
        </w:tc>
        <w:tc>
          <w:tcPr>
            <w:tcW w:type="dxa" w:w="2617"/>
          </w:tcPr>
          <w:p>
            <w:pPr>
              <w:pStyle w:val="Compact"/>
              <w:jc w:val="left"/>
            </w:pPr>
            <w:r>
              <w:t xml:space="preserve">0.755</w:t>
            </w:r>
          </w:p>
        </w:tc>
      </w:tr>
      <w:tr>
        <w:tc>
          <w:tcPr>
            <w:tcW w:type="dxa" w:w="2707"/>
          </w:tcPr>
          <w:p>
            <w:pPr>
              <w:pStyle w:val="Compact"/>
              <w:jc w:val="left"/>
            </w:pPr>
            <w:r>
              <w:t xml:space="preserve">Haunched, calibration A</w:t>
            </w:r>
          </w:p>
        </w:tc>
        <w:tc>
          <w:tcPr>
            <w:tcW w:type="dxa" w:w="2030"/>
          </w:tcPr>
          <w:p>
            <w:pPr>
              <w:pStyle w:val="Compact"/>
              <w:jc w:val="left"/>
            </w:pPr>
            <w:r>
              <w:t xml:space="preserve">0.181</w:t>
            </w:r>
          </w:p>
        </w:tc>
        <w:tc>
          <w:tcPr>
            <w:tcW w:type="dxa" w:w="1714"/>
          </w:tcPr>
          <w:p>
            <w:pPr>
              <w:pStyle w:val="Compact"/>
              <w:jc w:val="left"/>
            </w:pPr>
            <w:r>
              <w:t xml:space="preserve">0.105</w:t>
            </w:r>
          </w:p>
        </w:tc>
        <w:tc>
          <w:tcPr>
            <w:tcW w:type="dxa" w:w="2617"/>
          </w:tcPr>
          <w:p>
            <w:pPr>
              <w:pStyle w:val="Compact"/>
              <w:jc w:val="left"/>
            </w:pPr>
            <w:r>
              <w:t xml:space="preserve">0.209</w:t>
            </w:r>
          </w:p>
        </w:tc>
      </w:tr>
      <w:tr>
        <w:tc>
          <w:tcPr>
            <w:tcW w:type="dxa" w:w="2707"/>
          </w:tcPr>
          <w:p>
            <w:pPr>
              <w:pStyle w:val="Compact"/>
              <w:jc w:val="left"/>
            </w:pPr>
            <w:r>
              <w:t xml:space="preserve">Haunched, calibration B</w:t>
            </w:r>
          </w:p>
        </w:tc>
        <w:tc>
          <w:tcPr>
            <w:tcW w:type="dxa" w:w="2030"/>
          </w:tcPr>
          <w:p>
            <w:pPr>
              <w:pStyle w:val="Compact"/>
              <w:jc w:val="left"/>
            </w:pPr>
            <w:r>
              <w:t xml:space="preserve">0.476ᵃ</w:t>
            </w:r>
          </w:p>
        </w:tc>
        <w:tc>
          <w:tcPr>
            <w:tcW w:type="dxa" w:w="1714"/>
          </w:tcPr>
          <w:p>
            <w:pPr>
              <w:pStyle w:val="Compact"/>
              <w:jc w:val="left"/>
            </w:pPr>
            <w:r>
              <w:t xml:space="preserve">0.377</w:t>
            </w:r>
          </w:p>
        </w:tc>
        <w:tc>
          <w:tcPr>
            <w:tcW w:type="dxa" w:w="2617"/>
          </w:tcPr>
          <w:p>
            <w:pPr>
              <w:pStyle w:val="Compact"/>
              <w:jc w:val="left"/>
            </w:pPr>
            <w:r>
              <w:t xml:space="preserve">0.234</w:t>
            </w:r>
          </w:p>
        </w:tc>
      </w:tr>
      <w:tr>
        <w:tc>
          <w:tcPr>
            <w:tcW w:type="dxa" w:w="2707"/>
          </w:tcPr>
          <w:p>
            <w:pPr>
              <w:pStyle w:val="Compact"/>
              <w:jc w:val="left"/>
            </w:pPr>
            <w:r>
              <w:t xml:space="preserve">Haunched, admissible set (</w:t>
            </w:r>
            <m:oMath>
              <m:r>
                <m:t>τ</m:t>
              </m:r>
            </m:oMath>
            <w:r>
              <w:t xml:space="preserve"> </w:t>
            </w:r>
            <w:r>
              <w:t xml:space="preserve">= 5.3 %)</w:t>
            </w:r>
          </w:p>
        </w:tc>
        <w:tc>
          <w:tcPr>
            <w:tcW w:type="dxa" w:w="2030"/>
          </w:tcPr>
          <w:p>
            <w:pPr>
              <w:pStyle w:val="Compact"/>
              <w:jc w:val="left"/>
            </w:pPr>
            <w:r>
              <w:t xml:space="preserve">0.124–0.822ᵇ</w:t>
            </w:r>
          </w:p>
        </w:tc>
        <w:tc>
          <w:tcPr>
            <w:tcW w:type="dxa" w:w="1714"/>
          </w:tcPr>
          <w:p>
            <w:pPr>
              <w:pStyle w:val="Compact"/>
              <w:jc w:val="left"/>
            </w:pPr>
            <w:r>
              <w:t xml:space="preserve">–</w:t>
            </w:r>
          </w:p>
        </w:tc>
        <w:tc>
          <w:tcPr>
            <w:tcW w:type="dxa" w:w="2617"/>
          </w:tcPr>
          <w:p>
            <w:pPr>
              <w:pStyle w:val="Compact"/>
              <w:jc w:val="left"/>
            </w:pPr>
            <w:r>
              <w:t xml:space="preserve">0.190–0.286</w:t>
            </w:r>
          </w:p>
        </w:tc>
      </w:tr>
      <w:tr>
        <w:tc>
          <w:tcPr>
            <w:tcW w:type="dxa" w:w="2707"/>
          </w:tcPr>
          <w:p>
            <w:pPr>
              <w:pStyle w:val="Compact"/>
              <w:jc w:val="left"/>
            </w:pPr>
            <w:r>
              <w:t xml:space="preserve">Haunched, pinned piers</w:t>
            </w:r>
          </w:p>
        </w:tc>
        <w:tc>
          <w:tcPr>
            <w:tcW w:type="dxa" w:w="2030"/>
          </w:tcPr>
          <w:p>
            <w:pPr>
              <w:pStyle w:val="Compact"/>
              <w:jc w:val="left"/>
            </w:pPr>
            <w:r>
              <w:t xml:space="preserve">0.023</w:t>
            </w:r>
          </w:p>
        </w:tc>
        <w:tc>
          <w:tcPr>
            <w:tcW w:type="dxa" w:w="1714"/>
          </w:tcPr>
          <w:p>
            <w:pPr>
              <w:pStyle w:val="Compact"/>
              <w:jc w:val="left"/>
            </w:pPr>
            <w:r>
              <w:t xml:space="preserve">−0.066</w:t>
            </w:r>
          </w:p>
        </w:tc>
        <w:tc>
          <w:tcPr>
            <w:tcW w:type="dxa" w:w="2617"/>
          </w:tcPr>
          <w:p>
            <w:pPr>
              <w:pStyle w:val="Compact"/>
              <w:jc w:val="left"/>
            </w:pPr>
            <w:r>
              <w:t xml:space="preserve">0.263</w:t>
            </w:r>
          </w:p>
        </w:tc>
      </w:tr>
      <w:tr>
        <w:tc>
          <w:tcPr>
            <w:tcW w:type="dxa" w:w="2707"/>
          </w:tcPr>
          <w:p>
            <w:pPr>
              <w:pStyle w:val="Compact"/>
              <w:jc w:val="left"/>
            </w:pPr>
            <w:r>
              <w:t xml:space="preserve">Haunched, fixed piers</w:t>
            </w:r>
          </w:p>
        </w:tc>
        <w:tc>
          <w:tcPr>
            <w:tcW w:type="dxa" w:w="2030"/>
          </w:tcPr>
          <w:p>
            <w:pPr>
              <w:pStyle w:val="Compact"/>
              <w:jc w:val="left"/>
            </w:pPr>
            <w:r>
              <w:t xml:space="preserve">0.446</w:t>
            </w:r>
          </w:p>
        </w:tc>
        <w:tc>
          <w:tcPr>
            <w:tcW w:type="dxa" w:w="1714"/>
          </w:tcPr>
          <w:p>
            <w:pPr>
              <w:pStyle w:val="Compact"/>
              <w:jc w:val="left"/>
            </w:pPr>
            <w:r>
              <w:t xml:space="preserve">0.375</w:t>
            </w:r>
          </w:p>
        </w:tc>
        <w:tc>
          <w:tcPr>
            <w:tcW w:type="dxa" w:w="2617"/>
          </w:tcPr>
          <w:p>
            <w:pPr>
              <w:pStyle w:val="Compact"/>
              <w:jc w:val="left"/>
            </w:pPr>
            <w:r>
              <w:t xml:space="preserve">0.145</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p>
      <w:pPr>
        <w:pStyle w:val="BodyText"/>
      </w:pPr>
      <w:r>
        <w:t xml:space="preserve">The Möbius law of Eq. (15) explains the asymmetry.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 the boundary sensitivity</w:t>
      </w:r>
      <w:r>
        <w:t xml:space="preserve"> </w:t>
      </w:r>
      <m:oMath>
        <m:sSub>
          <m:e>
            <m:r>
              <m:t>B</m:t>
            </m:r>
          </m:e>
          <m:sub>
            <m:r>
              <m:t>m</m:t>
            </m:r>
          </m:sub>
        </m:sSub>
      </m:oMath>
      <w:r>
        <w:t xml:space="preserve"> </w:t>
      </w:r>
      <w:r>
        <w:t xml:space="preserve">is much larger at N8 than at N7 (Table 5).</w:t>
      </w:r>
    </w:p>
    <w:p>
      <w:pPr>
        <w:pStyle w:val="BodyText"/>
      </w:pPr>
      <w:r>
        <w:t xml:space="preserve">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5.</w:t>
      </w:r>
      <w:r>
        <w:t xml:space="preserve"> </w:t>
      </w:r>
      <w:r>
        <w:t xml:space="preserve">Cancellation ratio</w:t>
      </w:r>
      <w:r>
        <w:t xml:space="preserve"> </w:t>
      </w:r>
      <m:oMath>
        <m:r>
          <m:t>R</m:t>
        </m:r>
      </m:oMath>
      <w:r>
        <w:t xml:space="preserve">, Eq. (11), and boundary sensitivity</w:t>
      </w:r>
      <w:r>
        <w:t xml:space="preserve"> </w:t>
      </w:r>
      <m:oMath>
        <m:sSub>
          <m:e>
            <m:r>
              <m:t>B</m:t>
            </m:r>
          </m:e>
          <m:sub>
            <m:r>
              <m:t>m</m:t>
            </m:r>
          </m:sub>
        </m:sSub>
      </m:oMath>
      <w:r>
        <w:t xml:space="preserve"> </w:t>
      </w:r>
      <w:r>
        <w:t xml:space="preserve">of the Cầu Mây gauges.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53"/>
        <w:gridCol w:w="1911"/>
        <w:gridCol w:w="1743"/>
        <w:gridCol w:w="2661"/>
      </w:tblGrid>
      <w:tr>
        <w:trPr>
          <w:tblHeader w:val="true"/>
        </w:trPr>
        <w:tc>
          <w:tcPr>
            <w:tcW w:type="dxa" w:w="2753"/>
            <w:tcBorders>
              <w:top w:val="nil"/>
              <w:left w:val="nil"/>
              <w:bottom w:val="single" w:sz="6" w:space="0" w:color="000000"/>
              <w:right w:val="nil"/>
            </w:tcBorders>
          </w:tcPr>
          <w:p>
            <w:pPr>
              <w:pStyle w:val="Compact"/>
              <w:jc w:val="left"/>
            </w:pPr>
            <w:r>
              <w:t xml:space="preserve">Quantity</w:t>
            </w:r>
          </w:p>
        </w:tc>
        <w:tc>
          <w:tcPr>
            <w:tcW w:type="dxa" w:w="1911"/>
            <w:tcBorders>
              <w:top w:val="nil"/>
              <w:left w:val="nil"/>
              <w:bottom w:val="single" w:sz="6" w:space="0" w:color="000000"/>
              <w:right w:val="nil"/>
            </w:tcBorders>
          </w:tcPr>
          <w:p>
            <w:pPr>
              <w:pStyle w:val="Compact"/>
              <w:jc w:val="left"/>
            </w:pPr>
            <w:r>
              <w:t xml:space="preserve">N8, 0.4L (installed)</w:t>
            </w:r>
          </w:p>
        </w:tc>
        <w:tc>
          <w:tcPr>
            <w:tcW w:type="dxa" w:w="1743"/>
            <w:tcBorders>
              <w:top w:val="nil"/>
              <w:left w:val="nil"/>
              <w:bottom w:val="single" w:sz="6" w:space="0" w:color="000000"/>
              <w:right w:val="nil"/>
            </w:tcBorders>
          </w:tcPr>
          <w:p>
            <w:pPr>
              <w:pStyle w:val="Compact"/>
              <w:jc w:val="left"/>
            </w:pPr>
            <w:r>
              <w:t xml:space="preserve">N8 at mid side span</w:t>
            </w:r>
          </w:p>
        </w:tc>
        <w:tc>
          <w:tcPr>
            <w:tcW w:type="dxa" w:w="2661"/>
            <w:tcBorders>
              <w:top w:val="nil"/>
              <w:left w:val="nil"/>
              <w:bottom w:val="single" w:sz="6" w:space="0" w:color="000000"/>
              <w:right w:val="nil"/>
            </w:tcBorders>
          </w:tcPr>
          <w:p>
            <w:pPr>
              <w:pStyle w:val="Compact"/>
              <w:jc w:val="left"/>
            </w:pPr>
            <w:r>
              <w:t xml:space="preserve">N7, mid main span (installed)</w:t>
            </w:r>
          </w:p>
        </w:tc>
      </w:tr>
      <w:tr>
        <w:tc>
          <w:tcPr>
            <w:tcW w:type="dxa" w:w="2753"/>
          </w:tcPr>
          <w:p>
            <w:pPr>
              <w:pStyle w:val="Compact"/>
              <w:jc w:val="left"/>
            </w:pPr>
            <m:oMath>
              <m:r>
                <m:t>R</m:t>
              </m:r>
            </m:oMath>
            <w:r>
              <w:t xml:space="preserve">, prismatic beam, pinned piers</w:t>
            </w:r>
          </w:p>
        </w:tc>
        <w:tc>
          <w:tcPr>
            <w:tcW w:type="dxa" w:w="1911"/>
          </w:tcPr>
          <w:p>
            <w:pPr>
              <w:pStyle w:val="Compact"/>
              <w:jc w:val="left"/>
            </w:pPr>
            <w:r>
              <w:t xml:space="preserve">0.14</w:t>
            </w:r>
          </w:p>
        </w:tc>
        <w:tc>
          <w:tcPr>
            <w:tcW w:type="dxa" w:w="1743"/>
          </w:tcPr>
          <w:p>
            <w:pPr>
              <w:pStyle w:val="Compact"/>
              <w:jc w:val="left"/>
            </w:pPr>
            <w:r>
              <w:t xml:space="preserve">0.08</w:t>
            </w:r>
          </w:p>
        </w:tc>
        <w:tc>
          <w:tcPr>
            <w:tcW w:type="dxa" w:w="2661"/>
          </w:tcPr>
          <w:p>
            <w:pPr>
              <w:pStyle w:val="Compact"/>
              <w:jc w:val="left"/>
            </w:pPr>
            <w:r>
              <w:t xml:space="preserve">0.70</w:t>
            </w:r>
          </w:p>
        </w:tc>
      </w:tr>
      <w:tr>
        <w:tc>
          <w:tcPr>
            <w:tcW w:type="dxa" w:w="2753"/>
          </w:tcPr>
          <w:p>
            <w:pPr>
              <w:pStyle w:val="Compact"/>
              <w:jc w:val="left"/>
            </w:pPr>
            <m:oMath>
              <m:r>
                <m:t>R</m:t>
              </m:r>
            </m:oMath>
            <w:r>
              <w:t xml:space="preserve">, calibration A</w:t>
            </w:r>
          </w:p>
        </w:tc>
        <w:tc>
          <w:tcPr>
            <w:tcW w:type="dxa" w:w="1911"/>
          </w:tcPr>
          <w:p>
            <w:pPr>
              <w:pStyle w:val="Compact"/>
              <w:jc w:val="left"/>
            </w:pPr>
            <w:r>
              <w:t xml:space="preserve">0.18</w:t>
            </w:r>
          </w:p>
        </w:tc>
        <w:tc>
          <w:tcPr>
            <w:tcW w:type="dxa" w:w="1743"/>
          </w:tcPr>
          <w:p>
            <w:pPr>
              <w:pStyle w:val="Compact"/>
              <w:jc w:val="left"/>
            </w:pPr>
            <w:r>
              <w:t xml:space="preserve">0.11</w:t>
            </w:r>
          </w:p>
        </w:tc>
        <w:tc>
          <w:tcPr>
            <w:tcW w:type="dxa" w:w="2661"/>
          </w:tcPr>
          <w:p>
            <w:pPr>
              <w:pStyle w:val="Compact"/>
              <w:jc w:val="left"/>
            </w:pPr>
            <w:r>
              <w:t xml:space="preserve">0.59</w:t>
            </w:r>
          </w:p>
        </w:tc>
      </w:tr>
      <w:tr>
        <w:tc>
          <w:tcPr>
            <w:tcW w:type="dxa" w:w="2753"/>
          </w:tcPr>
          <w:p>
            <w:pPr>
              <w:pStyle w:val="Compact"/>
              <w:jc w:val="left"/>
            </w:pPr>
            <m:oMath>
              <m:r>
                <m:t>R</m:t>
              </m:r>
            </m:oMath>
            <w:r>
              <w:t xml:space="preserve">, calibration B</w:t>
            </w:r>
          </w:p>
        </w:tc>
        <w:tc>
          <w:tcPr>
            <w:tcW w:type="dxa" w:w="1911"/>
          </w:tcPr>
          <w:p>
            <w:pPr>
              <w:pStyle w:val="Compact"/>
              <w:jc w:val="left"/>
            </w:pPr>
            <w:r>
              <w:t xml:space="preserve">0.56</w:t>
            </w:r>
          </w:p>
        </w:tc>
        <w:tc>
          <w:tcPr>
            <w:tcW w:type="dxa" w:w="1743"/>
          </w:tcPr>
          <w:p>
            <w:pPr>
              <w:pStyle w:val="Compact"/>
              <w:jc w:val="left"/>
            </w:pPr>
            <w:r>
              <w:t xml:space="preserve">0.49</w:t>
            </w:r>
          </w:p>
        </w:tc>
        <w:tc>
          <w:tcPr>
            <w:tcW w:type="dxa" w:w="2661"/>
          </w:tcPr>
          <w:p>
            <w:pPr>
              <w:pStyle w:val="Compact"/>
              <w:jc w:val="left"/>
            </w:pPr>
            <w:r>
              <w:t xml:space="preserve">0.77</w:t>
            </w:r>
          </w:p>
        </w:tc>
      </w:tr>
      <w:tr>
        <w:tc>
          <w:tcPr>
            <w:tcW w:type="dxa" w:w="2753"/>
          </w:tcPr>
          <w:p>
            <w:pPr>
              <w:pStyle w:val="Compact"/>
              <w:jc w:val="left"/>
            </w:pPr>
            <m:oMath>
              <m:r>
                <m:t>R</m:t>
              </m:r>
            </m:oMath>
            <w:r>
              <w:t xml:space="preserve">, admissible set</w:t>
            </w:r>
          </w:p>
        </w:tc>
        <w:tc>
          <w:tcPr>
            <w:tcW w:type="dxa" w:w="1911"/>
          </w:tcPr>
          <w:p>
            <w:pPr>
              <w:pStyle w:val="Compact"/>
              <w:jc w:val="left"/>
            </w:pPr>
            <w:r>
              <w:t xml:space="preserve">0.13–1.00</w:t>
            </w:r>
          </w:p>
        </w:tc>
        <w:tc>
          <w:tcPr>
            <w:tcW w:type="dxa" w:w="1743"/>
          </w:tcPr>
          <w:p>
            <w:pPr>
              <w:pStyle w:val="Compact"/>
              <w:jc w:val="left"/>
            </w:pPr>
            <w:r>
              <w:t xml:space="preserve">–</w:t>
            </w:r>
          </w:p>
        </w:tc>
        <w:tc>
          <w:tcPr>
            <w:tcW w:type="dxa" w:w="2661"/>
          </w:tcPr>
          <w:p>
            <w:pPr>
              <w:pStyle w:val="Compact"/>
              <w:jc w:val="left"/>
            </w:pPr>
            <w:r>
              <w:t xml:space="preserve">0.56–1.00</w:t>
            </w:r>
          </w:p>
        </w:tc>
      </w:tr>
      <w:tr>
        <w:tc>
          <w:tcPr>
            <w:tcW w:type="dxa" w:w="2753"/>
          </w:tcPr>
          <w:p>
            <w:pPr>
              <w:pStyle w:val="Compact"/>
              <w:jc w:val="left"/>
            </w:pPr>
            <m:oMath>
              <m:sSub>
                <m:e>
                  <m:r>
                    <m:t>B</m:t>
                  </m:r>
                </m:e>
                <m:sub>
                  <m:r>
                    <m:t>m</m:t>
                  </m:r>
                </m:sub>
              </m:sSub>
            </m:oMath>
          </w:p>
        </w:tc>
        <w:tc>
          <w:tcPr>
            <w:tcW w:type="dxa" w:w="1911"/>
          </w:tcPr>
          <w:p>
            <w:pPr>
              <w:pStyle w:val="Compact"/>
              <w:jc w:val="left"/>
            </w:pPr>
            <w:r>
              <w:t xml:space="preserve">0.51</w:t>
            </w:r>
          </w:p>
        </w:tc>
        <w:tc>
          <w:tcPr>
            <w:tcW w:type="dxa" w:w="1743"/>
          </w:tcPr>
          <w:p>
            <w:pPr>
              <w:pStyle w:val="Compact"/>
              <w:jc w:val="left"/>
            </w:pPr>
            <w:r>
              <w:t xml:space="preserve">–</w:t>
            </w:r>
          </w:p>
        </w:tc>
        <w:tc>
          <w:tcPr>
            <w:tcW w:type="dxa" w:w="2661"/>
          </w:tcPr>
          <w:p>
            <w:pPr>
              <w:pStyle w:val="Compact"/>
              <w:jc w:val="left"/>
            </w:pPr>
            <w:r>
              <w:t xml:space="preserve">0.12</w:t>
            </w:r>
          </w:p>
        </w:tc>
      </w:tr>
    </w:tbl>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belonged to the third vertical mode. This interpretation is conditional and is analysed in the Supplementary Material.</w:t>
      </w:r>
    </w:p>
    <w:bookmarkEnd w:id="36"/>
    <w:bookmarkStart w:id="37"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Over the range of pier stiffness the side-span zero lies 26.0–33.3 m from the abutment, so a strain gauge at mid side span would be practically blind under calibration A (</w:t>
      </w:r>
      <m:oMath>
        <m:sSub>
          <m:e>
            <m:r>
              <m:t>N</m:t>
            </m:r>
          </m:e>
          <m:sub>
            <m:r>
              <m:t>M</m:t>
            </m:r>
          </m:sub>
        </m:sSub>
        <m:r>
          <m:rPr>
            <m:sty m:val="p"/>
          </m:rPr>
          <m:t>=</m:t>
        </m:r>
        <m:r>
          <m:t>0.048</m:t>
        </m:r>
      </m:oMath>
      <w:r>
        <w:t xml:space="preserve">) and would change sign with pinned piers. The centre of the main span lies in the strain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 the absolute constant</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which includes the section gain.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at those locations is about one fifth of that at mid-span (Fig. 8c). The two rankings therefore disagree (Figs. 8b and 8c), and which one governs depends on whether the noise is set by the strain resolution or by the offset.</w:t>
      </w:r>
    </w:p>
    <w:p>
      <w:pPr>
        <w:pStyle w:val="BodyText"/>
      </w:pPr>
      <w:r>
        <w:t xml:space="preserve">Load cells under the end bearings give an end-reaction indicator</w:t>
      </w:r>
      <w:r>
        <w:t xml:space="preserve"> </w:t>
      </w:r>
      <m:oMath>
        <m:sSub>
          <m:e>
            <m:r>
              <m:t>N</m:t>
            </m:r>
          </m:e>
          <m:sub>
            <m:r>
              <m:t>F</m:t>
            </m:r>
          </m:sub>
        </m:sSub>
        <m:r>
          <m:rPr>
            <m:sty m:val="p"/>
          </m:rPr>
          <m:t>=</m:t>
        </m:r>
        <m:sSub>
          <m:e>
            <m:r>
              <m:t>ξ</m:t>
            </m:r>
          </m:e>
          <m:sub>
            <m:r>
              <m:t>0</m:t>
            </m:r>
          </m:sub>
        </m:sSub>
      </m:oMath>
      <w:r>
        <w:t xml:space="preserve"> </w:t>
      </w:r>
      <w:r>
        <w:t xml:space="preserve">= 0.47–0.61. They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and under calibration A, the standard deviation of the load falls from 24.8 % with N7 alone to 10.6 % with the pair; for the 200 m record used in Section 6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under the side-span convoy it would read about 167 µrad. Its benefit is measured by the Cramér–Rao bound on the standard deviation of</w:t>
      </w:r>
      <w:r>
        <w:t xml:space="preserve"> </w:t>
      </w:r>
      <m:oMath>
        <m:r>
          <m:rPr>
            <m:sty m:val="p"/>
          </m:rPr>
          <m:t>ln</m:t>
        </m:r>
        <m:sSub>
          <m:e>
            <m:r>
              <m:t>C</m:t>
            </m:r>
          </m:e>
          <m:sub>
            <m:r>
              <m:t>8</m:t>
            </m:r>
          </m:sub>
        </m:sSub>
      </m:oMath>
      <w:r>
        <w:t xml:space="preserve">. The bound is evaluated at the scaled pier stiffness of calibration A,</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 the two readings at that</w:t>
      </w:r>
      <w:r>
        <w:t xml:space="preserve"> </w:t>
      </w:r>
      <m:oMath>
        <m:r>
          <m:t>κ</m:t>
        </m:r>
      </m:oMath>
      <w:r>
        <w:t xml:space="preserve"> </w:t>
      </w:r>
      <w:r>
        <w:t xml:space="preserve">(</w:t>
      </w:r>
      <m:oMath>
        <m:sSup>
          <m:e>
            <m:r>
              <m:t>α</m:t>
            </m:r>
          </m:e>
          <m:sup>
            <m:r>
              <m:rPr>
                <m:sty m:val="p"/>
              </m:rPr>
              <m:t>*</m:t>
            </m:r>
          </m:sup>
        </m:sSup>
        <m:r>
          <m:rPr>
            <m:sty m:val="p"/>
          </m:rPr>
          <m:t>=</m:t>
        </m:r>
        <m:r>
          <m:t>1.07</m:t>
        </m:r>
      </m:oMath>
      <w:r>
        <w:t xml:space="preserve">; the curve</w:t>
      </w:r>
      <w:r>
        <w:t xml:space="preserve"> </w:t>
      </w:r>
      <m:oMath>
        <m:sSup>
          <m:e>
            <m:r>
              <m:t>α</m:t>
            </m:r>
          </m:e>
          <m:sup>
            <m:r>
              <m:rPr>
                <m:sty m:val="p"/>
              </m:rPr>
              <m:t>*</m:t>
            </m:r>
          </m:sup>
        </m:sSup>
        <m:d>
          <m:dPr>
            <m:begChr m:val="("/>
            <m:endChr m:val=")"/>
            <m:sepChr m:val=""/>
            <m:grow/>
          </m:dPr>
          <m:e>
            <m:r>
              <m:t>κ</m:t>
            </m:r>
          </m:e>
        </m:d>
      </m:oMath>
      <w:r>
        <w:t xml:space="preserve"> </w:t>
      </w:r>
      <w:r>
        <w:t xml:space="preserve">of best static fit is shown in Fig. 9b). Each static reading has the standard uncertainty of 2.64 % derived in Section 5.2, and the rotation an assumed 3 %.</w:t>
      </w:r>
    </w:p>
    <w:p>
      <w:pPr>
        <w:pStyle w:val="BodyText"/>
      </w:pPr>
      <w:r>
        <w:t xml:space="preserve">At calibration A the two deflections alone give a bound of 0.87. Adding the tiltmeter reduces it to 0.18;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and with the tiltmeter the bound is 0.04. A rotation reading at the end bearing T8 adds little, because its sensitivity duplicates that of N8.</w:t>
      </w:r>
    </w:p>
    <w:p>
      <w:pPr>
        <w:pStyle w:val="BodyText"/>
      </w:pPr>
      <w:r>
        <w:t xml:space="preserve">A moving-load test with weighed trucks has been designed for this bridge, and Table 6 gives the predicted values that would decide between the reference calibrations. These are predictions, not results. The ratio of integrals at the side-span and main-span deflection gauges is independent of truck weight and absolute rigidity, and it differs by a factor of 2.3 between calibrations A and B.</w:t>
      </w:r>
    </w:p>
    <w:p>
      <w:pPr>
        <w:pStyle w:val="BodyText"/>
      </w:pPr>
      <w:r>
        <w:rPr>
          <w:bCs/>
          <w:b/>
        </w:rPr>
        <w:t xml:space="preserve">Table 6.</w:t>
      </w:r>
      <w:r>
        <w:t xml:space="preserve"> </w:t>
      </w:r>
      <w:r>
        <w:t xml:space="preserve">Predicted discriminating measurements at Cầu Mây for a 25 t 3-axle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is not identifiable from static acceptance data, whereas a main-span gauge is. One tiltmeter or one integral ratio would discriminate between the reference calibrations.</w:t>
      </w:r>
    </w:p>
    <w:bookmarkEnd w:id="37"/>
    <w:bookmarkEnd w:id="38"/>
    <w:bookmarkStart w:id="39"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w:t>
      </w:r>
    </w:p>
    <w:p>
      <w:pPr>
        <w:pStyle w:val="BodyText"/>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[51]. This bound omits vehicle–bridge interaction and road roughness.</w:t>
      </w:r>
    </w:p>
    <w:p>
      <w:pPr>
        <w:pStyle w:val="BodyText"/>
      </w:pPr>
      <w:r>
        <w:t xml:space="preserve">Table 7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7 are typical of displacement transducers. Absolute deflection on a 90 m span over water would usually come from a non-contact technique, whose residual offset after re-zeroing has to be established on site, since environmental effects act over the same window [52,53].</w:t>
      </w:r>
    </w:p>
    <w:p>
      <w:pPr>
        <w:pStyle w:val="BodyText"/>
      </w:pPr>
      <w:r>
        <w:t xml:space="preserve">The authors’ deflection records from two simply supported bridges (Supplementary Material) showed post-minus-pre level differences of up to 0.23 mm. Linear re-zeroing removes such differences, so this value bounds the drift before re-zeroing, not</w:t>
      </w:r>
      <w:r>
        <w:t xml:space="preserve"> </w:t>
      </w:r>
      <m:oMath>
        <m:sSub>
          <m:e>
            <m:r>
              <m:t>δ</m:t>
            </m:r>
          </m:e>
          <m:sub>
            <m:r>
              <m:t>0</m:t>
            </m:r>
          </m:sub>
        </m:sSub>
      </m:oMath>
      <w:r>
        <w:t xml:space="preserve">.</w:t>
      </w:r>
    </w:p>
    <w:p>
      <w:pPr>
        <w:pStyle w:val="BodyText"/>
      </w:pPr>
      <w:r>
        <w:rPr>
          <w:bCs/>
          <w:b/>
        </w:rPr>
        <w:t xml:space="preserve">Table 7.</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36"/>
        <w:gridCol w:w="1431"/>
        <w:gridCol w:w="1280"/>
        <w:gridCol w:w="1129"/>
        <w:gridCol w:w="1129"/>
        <w:gridCol w:w="1129"/>
        <w:gridCol w:w="1431"/>
      </w:tblGrid>
      <w:tr>
        <w:trPr>
          <w:tblHeader w:val="true"/>
        </w:trPr>
        <w:tc>
          <w:tcPr>
            <w:tcW w:type="dxa" w:w="1536"/>
            <w:tcBorders>
              <w:top w:val="nil"/>
              <w:left w:val="nil"/>
              <w:bottom w:val="single" w:sz="6" w:space="0" w:color="000000"/>
              <w:right w:val="nil"/>
            </w:tcBorders>
          </w:tcPr>
          <w:p>
            <w:pPr>
              <w:pStyle w:val="Compact"/>
              <w:jc w:val="left"/>
            </w:pPr>
            <w:r>
              <w:t xml:space="preserve">Gauge</w:t>
            </w:r>
          </w:p>
        </w:tc>
        <w:tc>
          <w:tcPr>
            <w:tcW w:type="dxa" w:w="1431"/>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80"/>
            <w:tcBorders>
              <w:top w:val="nil"/>
              <w:left w:val="nil"/>
              <w:bottom w:val="single" w:sz="6" w:space="0" w:color="000000"/>
              <w:right w:val="nil"/>
            </w:tcBorders>
          </w:tcPr>
          <w:p>
            <w:pPr>
              <w:pStyle w:val="Compact"/>
              <w:jc w:val="left"/>
            </w:pPr>
            <w:r>
              <w:t xml:space="preserve">0.02 mm</w:t>
            </w:r>
          </w:p>
        </w:tc>
        <w:tc>
          <w:tcPr>
            <w:tcW w:type="dxa" w:w="1129"/>
            <w:tcBorders>
              <w:top w:val="nil"/>
              <w:left w:val="nil"/>
              <w:bottom w:val="single" w:sz="6" w:space="0" w:color="000000"/>
              <w:right w:val="nil"/>
            </w:tcBorders>
          </w:tcPr>
          <w:p>
            <w:pPr>
              <w:pStyle w:val="Compact"/>
              <w:jc w:val="left"/>
            </w:pPr>
            <w:r>
              <w:t xml:space="preserve">0.05 mm</w:t>
            </w:r>
          </w:p>
        </w:tc>
        <w:tc>
          <w:tcPr>
            <w:tcW w:type="dxa" w:w="1129"/>
            <w:tcBorders>
              <w:top w:val="nil"/>
              <w:left w:val="nil"/>
              <w:bottom w:val="single" w:sz="6" w:space="0" w:color="000000"/>
              <w:right w:val="nil"/>
            </w:tcBorders>
          </w:tcPr>
          <w:p>
            <w:pPr>
              <w:pStyle w:val="Compact"/>
              <w:jc w:val="left"/>
            </w:pPr>
            <w:r>
              <w:t xml:space="preserve">0.1 mm</w:t>
            </w:r>
          </w:p>
        </w:tc>
        <w:tc>
          <w:tcPr>
            <w:tcW w:type="dxa" w:w="1129"/>
            <w:tcBorders>
              <w:top w:val="nil"/>
              <w:left w:val="nil"/>
              <w:bottom w:val="single" w:sz="6" w:space="0" w:color="000000"/>
              <w:right w:val="nil"/>
            </w:tcBorders>
          </w:tcPr>
          <w:p>
            <w:pPr>
              <w:pStyle w:val="Compact"/>
              <w:jc w:val="left"/>
            </w:pPr>
            <w:r>
              <w:t xml:space="preserve">0.2 mm</w:t>
            </w:r>
          </w:p>
        </w:tc>
        <w:tc>
          <w:tcPr>
            <w:tcW w:type="dxa" w:w="1431"/>
            <w:tcBorders>
              <w:top w:val="nil"/>
              <w:left w:val="nil"/>
              <w:bottom w:val="single" w:sz="6" w:space="0" w:color="000000"/>
              <w:right w:val="nil"/>
            </w:tcBorders>
          </w:tcPr>
          <w:p>
            <w:pPr>
              <w:pStyle w:val="Compact"/>
              <w:jc w:val="left"/>
            </w:pPr>
            <w:r>
              <w:t xml:space="preserve">0.5 mm</w:t>
            </w:r>
          </w:p>
        </w:tc>
      </w:tr>
      <w:tr>
        <w:tc>
          <w:tcPr>
            <w:tcW w:type="dxa" w:w="1536"/>
          </w:tcPr>
          <w:p>
            <w:pPr>
              <w:pStyle w:val="Compact"/>
              <w:jc w:val="left"/>
            </w:pPr>
            <w:r>
              <w:t xml:space="preserve">N7, mid main span</w:t>
            </w:r>
          </w:p>
        </w:tc>
        <w:tc>
          <w:tcPr>
            <w:tcW w:type="dxa" w:w="1431"/>
          </w:tcPr>
          <w:p>
            <w:pPr>
              <w:pStyle w:val="Compact"/>
              <w:jc w:val="left"/>
            </w:pPr>
            <w:r>
              <w:t xml:space="preserve">3.3–5.0 × 10⁻⁴</w:t>
            </w:r>
          </w:p>
        </w:tc>
        <w:tc>
          <w:tcPr>
            <w:tcW w:type="dxa" w:w="1280"/>
          </w:tcPr>
          <w:p>
            <w:pPr>
              <w:pStyle w:val="Compact"/>
              <w:jc w:val="left"/>
            </w:pPr>
            <w:r>
              <w:t xml:space="preserve">3.3–5.0 %</w:t>
            </w:r>
          </w:p>
        </w:tc>
        <w:tc>
          <w:tcPr>
            <w:tcW w:type="dxa" w:w="1129"/>
          </w:tcPr>
          <w:p>
            <w:pPr>
              <w:pStyle w:val="Compact"/>
              <w:jc w:val="left"/>
            </w:pPr>
            <w:r>
              <w:t xml:space="preserve">8–12 %</w:t>
            </w:r>
          </w:p>
        </w:tc>
        <w:tc>
          <w:tcPr>
            <w:tcW w:type="dxa" w:w="1129"/>
          </w:tcPr>
          <w:p>
            <w:pPr>
              <w:pStyle w:val="Compact"/>
              <w:jc w:val="left"/>
            </w:pPr>
            <w:r>
              <w:t xml:space="preserve">16–25 %</w:t>
            </w:r>
          </w:p>
        </w:tc>
        <w:tc>
          <w:tcPr>
            <w:tcW w:type="dxa" w:w="1129"/>
          </w:tcPr>
          <w:p>
            <w:pPr>
              <w:pStyle w:val="Compact"/>
              <w:jc w:val="left"/>
            </w:pPr>
            <w:r>
              <w:t xml:space="preserve">33–50 %</w:t>
            </w:r>
          </w:p>
        </w:tc>
        <w:tc>
          <w:tcPr>
            <w:tcW w:type="dxa" w:w="1431"/>
          </w:tcPr>
          <w:p>
            <w:pPr>
              <w:pStyle w:val="Compact"/>
              <w:jc w:val="left"/>
            </w:pPr>
            <w:r>
              <w:t xml:space="preserve">82–124 %</w:t>
            </w:r>
          </w:p>
        </w:tc>
      </w:tr>
      <w:tr>
        <w:tc>
          <w:tcPr>
            <w:tcW w:type="dxa" w:w="1536"/>
          </w:tcPr>
          <w:p>
            <w:pPr>
              <w:pStyle w:val="Compact"/>
              <w:jc w:val="left"/>
            </w:pPr>
            <w:r>
              <w:t xml:space="preserve">N8, 0.4L</w:t>
            </w:r>
          </w:p>
        </w:tc>
        <w:tc>
          <w:tcPr>
            <w:tcW w:type="dxa" w:w="1431"/>
          </w:tcPr>
          <w:p>
            <w:pPr>
              <w:pStyle w:val="Compact"/>
              <w:jc w:val="left"/>
            </w:pPr>
            <w:r>
              <w:t xml:space="preserve">0.30–2.0 × 10⁻⁴</w:t>
            </w:r>
          </w:p>
        </w:tc>
        <w:tc>
          <w:tcPr>
            <w:tcW w:type="dxa" w:w="1280"/>
          </w:tcPr>
          <w:p>
            <w:pPr>
              <w:pStyle w:val="Compact"/>
              <w:jc w:val="left"/>
            </w:pPr>
            <w:r>
              <w:t xml:space="preserve">8–54 %</w:t>
            </w:r>
          </w:p>
        </w:tc>
        <w:tc>
          <w:tcPr>
            <w:tcW w:type="dxa" w:w="1129"/>
          </w:tcPr>
          <w:p>
            <w:pPr>
              <w:pStyle w:val="Compact"/>
              <w:jc w:val="left"/>
            </w:pPr>
            <w:r>
              <w:t xml:space="preserve">21–136 %</w:t>
            </w:r>
          </w:p>
        </w:tc>
        <w:tc>
          <w:tcPr>
            <w:tcW w:type="dxa" w:w="1129"/>
          </w:tcPr>
          <w:p>
            <w:pPr>
              <w:pStyle w:val="Compact"/>
              <w:jc w:val="left"/>
            </w:pPr>
            <w:r>
              <w:t xml:space="preserve">41–271 %</w:t>
            </w:r>
          </w:p>
        </w:tc>
        <w:tc>
          <w:tcPr>
            <w:tcW w:type="dxa" w:w="1129"/>
          </w:tcPr>
          <w:p>
            <w:pPr>
              <w:pStyle w:val="Compact"/>
              <w:jc w:val="left"/>
            </w:pPr>
            <w:r>
              <w:t xml:space="preserve">82–543 %</w:t>
            </w:r>
          </w:p>
        </w:tc>
        <w:tc>
          <w:tcPr>
            <w:tcW w:type="dxa" w:w="1431"/>
          </w:tcPr>
          <w:p>
            <w:pPr>
              <w:pStyle w:val="Compact"/>
              <w:jc w:val="left"/>
            </w:pPr>
            <w:r>
              <w:t xml:space="preserve">206–1356 %</w:t>
            </w:r>
          </w:p>
        </w:tc>
      </w:tr>
    </w:tbl>
    <w:p>
      <w:pPr>
        <w:pStyle w:val="BodyText"/>
      </w:pPr>
      <w:r>
        <w:t xml:space="preserve">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With present absolute-deflection technology, single-point integral weighing on a long-span girder is therefore marginal even at the best location. The zero-sum pair addresses this term only to the extent that the offset is common-mode during crossings (Section 4.3).</w:t>
      </w:r>
    </w:p>
    <w:p>
      <w:pPr>
        <w:pStyle w:val="BodyText"/>
      </w:pPr>
      <w:r>
        <w:t xml:space="preserve">Transverse position and multiple presence add further terms; Table 8 collects all terms. On the five-span girder the far-lane constant was 0.79 of the near-lane value. At Cầu Mây the readings across one section differ by up to 2.05 mm in the eccentric N7 case, about 13 % of the mean reading.</w:t>
      </w:r>
    </w:p>
    <w:p>
      <w:pPr>
        <w:pStyle w:val="BodyText"/>
      </w:pPr>
      <w:r>
        <w:t xml:space="preserve">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8.</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accuracy class [NEED VALUE];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7;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t xml:space="preserve">The method is therefore proposed for preliminary overload screening, with the decision threshold set with a margin below the legal limit and the design live loads [54,55]. Setting that threshold needs field calibration with trucks of clearly different weights, which this study did not have.</w:t>
      </w:r>
    </w:p>
    <w:bookmarkEnd w:id="39"/>
    <w:bookmarkStart w:id="40"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0"/>
    <w:bookmarkStart w:id="41"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rigidity,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On public field records, however, GLS weights built from vehicle-free noise were worse out of sample than the gauge average (20.4 % against 11.9 % mean absolute error), because crossing residuals were much less correlated between gauges than vehicle-free noise at the same window length (0.63 against 0.90).</w:t>
      </w:r>
    </w:p>
    <w:p>
      <w:pPr>
        <w:numPr>
          <w:ilvl w:val="0"/>
          <w:numId w:val="1003"/>
        </w:numPr>
        <w:pStyle w:val="BodyText"/>
      </w:pPr>
      <w:r>
        <w:t xml:space="preserve">On those records, the constants were consistent with axle-configuration invariance (5-axle/3-axle ratio 0.98, 95 % CI 0.70–1.37) and with superposition, but the tests could not resolve differences smaller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scaled pier stiffness only from below at a 5.3 % tolerance, leaving the constant of the side-span deflection gauge uncertain by a factor of 6.6, whereas the main-span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1"/>
    <w:bookmarkStart w:id="42"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stiffness,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2"/>
    <w:bookmarkStart w:id="43" w:name="X0ebc401f1b08b90996efef4e255e7d7d96e4ee0"/>
    <w:p>
      <w:pPr>
        <w:pStyle w:val="Heading2"/>
      </w:pPr>
      <w:r>
        <w:t xml:space="preserve">Appendix B. General channels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h</m:t>
        </m:r>
        <m:d>
          <m:dPr>
            <m:begChr m:val="("/>
            <m:endChr m:val=")"/>
            <m:sepChr m:val=""/>
            <m:grow/>
          </m:dPr>
          <m:e>
            <m:sSub>
              <m:e>
                <m:r>
                  <m:t>s</m:t>
                </m:r>
              </m:e>
              <m:sub>
                <m:r>
                  <m:t>i</m:t>
                </m:r>
              </m:sub>
            </m:sSub>
          </m:e>
        </m:d>
      </m:oMath>
      <w:r>
        <w:t xml:space="preserve"> </w:t>
      </w:r>
      <w:r>
        <w:t xml:space="preserve">with</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h</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An estimate built on the absolute value of the record [44] is not linear in the axle loads, so it loses this invariance whenever contributions of opposite sign overlap. When the influence line is known, other invariant weighting functions exist; for two equal spans their white-noise variance is 1.5–6.6 times smaller, but a 20 % stiffness error in the adjacent span then produces configuration-dependent errors of −1.1 % to +2.0 % (Supplementary Material).</w:t>
      </w:r>
    </w:p>
    <w:bookmarkEnd w:id="43"/>
    <w:bookmarkStart w:id="44"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w:t>
      </w:r>
    </w:p>
    <w:p>
      <w:pPr>
        <w:pStyle w:val="BodyText"/>
      </w:pPr>
      <w:r>
        <w:t xml:space="preserve">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4"/>
    <w:bookmarkStart w:id="45"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5"/>
    <w:bookmarkStart w:id="46"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[49].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(static deflection readings, truck positions, weighed truck masses and reported frequencies), which are available at [NEED VALUE: repository name and DOI].</w:t>
      </w:r>
    </w:p>
    <w:bookmarkEnd w:id="46"/>
    <w:bookmarkStart w:id="47" w:name="conflicts-of-interest"/>
    <w:p>
      <w:pPr>
        <w:pStyle w:val="Heading2"/>
      </w:pPr>
      <w:r>
        <w:t xml:space="preserve">Conflicts of Interest</w:t>
      </w:r>
    </w:p>
    <w:p>
      <w:pPr>
        <w:pStyle w:val="FirstParagraph"/>
      </w:pPr>
      <w:r>
        <w:t xml:space="preserve">The Cầu Mây load test analysed in Section 5 was performed by an author of this paper as part of inspection work carried out by Công ty TNHH Tư vấn Đại học Xây dựng (HUCE consultancy) [NEED VALUE: name(s) of authors involved and nature of relationship]. The authors declare that there is no other conflict of interest regarding the publication of this article.</w:t>
      </w:r>
    </w:p>
    <w:bookmarkEnd w:id="47"/>
    <w:bookmarkStart w:id="48"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[NEED VALUE: name the employer under whose employment the work was performed, and the source of the article processing charge, if any.]</w:t>
      </w:r>
    </w:p>
    <w:bookmarkEnd w:id="48"/>
    <w:bookmarkStart w:id="49"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49"/>
    <w:bookmarkStart w:id="50"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0"/>
    <w:bookmarkStart w:id="51"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[NEED VALUE: whether to acknowledge Hai Duong PMU and the testing consultant for access to the acceptance-test report.]</w:t>
      </w:r>
    </w:p>
    <w:bookmarkEnd w:id="51"/>
    <w:bookmarkStart w:id="52" w:name="supplementary-material"/>
    <w:p>
      <w:pPr>
        <w:pStyle w:val="Heading2"/>
      </w:pPr>
      <w:r>
        <w:t xml:space="preserve">Supplementary Material</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specimen and influence line (Fig. S15), the quadrature study and the full data (Table S1); (iv) the field-record tables: per-channel constants and scatter with χ² tests (Table S2), truck-to-truck ratios with equivalence tests (Table S3), correlations of vehicle-free noise and crossing residuals (Table S4), the per-crossing standard deviations predicted by both covariance models (Table S5) and the full table of estimator errors (Table S6); the processing details and excluded runs, the speed regressions, lane-B and two-truck results, and all estimator results including leave-one-truck-out, in-sample and GLS with the covariance estimated from crossing residuals (Figs. S1–S2); (v) the beam model of the five-span girder, including the strain constant of the gauges relative to the largest on the girder, and the synthetic records of the dataset authors (Figs. S3–S4); (vi) strain blind-locus maps (Figs. S5–S6); (vii) the multi-channel placement study (brute-force search over all cases), Monte Carlo verification and structure-aware weighting functions (Figs. S7–S9); (viii) the asymmetric three-span closed forms; (ix) the Cầu Mây design section properties and concrete modulus, the model-form variants (depth lengths, exponents, rigid pier zone), the frequency interpretation, admissible sets against tolerance (3 %, 4 % and 5.3 %, with and without a prior on</w:t>
      </w:r>
      <w:r>
        <w:t xml:space="preserve"> </w:t>
      </w:r>
      <m:oMath>
        <m:r>
          <m:t>α</m:t>
        </m:r>
      </m:oMath>
      <w:r>
        <w:t xml:space="preserve">; Table S7), the misfit ratio</w:t>
      </w:r>
      <w:r>
        <w:t xml:space="preserve"> </w:t>
      </w:r>
      <m:oMath>
        <m:sSub>
          <m:e>
            <m:r>
              <m:t>r</m:t>
            </m:r>
          </m:e>
          <m:sub>
            <m:r>
              <m:t>87</m:t>
            </m:r>
          </m:sub>
        </m:sSub>
      </m:oMath>
      <w:r>
        <w:t xml:space="preserve"> </w:t>
      </w:r>
      <w:r>
        <w:t xml:space="preserve">over</w:t>
      </w:r>
      <w:r>
        <w:t xml:space="preserve"> </w:t>
      </w:r>
      <m:oMath>
        <m:r>
          <m:t>κ</m:t>
        </m:r>
      </m:oMath>
      <w:r>
        <w:t xml:space="preserve"> </w:t>
      </w:r>
      <w:r>
        <w:t xml:space="preserve">and the closed-form Möbius law (Figs. S10–S12); (x) the moving-force analysis behind the dynamic bound; (xi) the deflection records of two simply supported bridges, which illustrate baseline handling and low-pass filtering (Figs. S13–S14).</w:t>
      </w:r>
    </w:p>
    <w:bookmarkEnd w:id="52"/>
    <w:bookmarkStart w:id="53"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L. Deng, P. Liu, T. Huang, S. Kaewunruen, A novel moving load identification method for continuous rigid-frame bridges using a field-based displacement influence line, Appl. Sci. 15 (11) (2025) 6028. https://doi.org/10.3390/app15116028</w:t>
      </w:r>
    </w:p>
    <w:p>
      <w:pPr>
        <w:pStyle w:val="BodyText"/>
      </w:pPr>
      <w:r>
        <w:t xml:space="preserve">[45] C. Zhou, C. Demartino, Y. Narazaki, Y. Xu, E. Chatzi, B.F. Spencer, Optimal sensor placement for bridge weigh-in-motion using an augmented Kalman filter, Mech. Syst. Signal Process. 241 (2025) 113522. https://doi.org/10.1016/j.ymssp.2025.113522</w:t>
      </w:r>
    </w:p>
    <w:p>
      <w:pPr>
        <w:pStyle w:val="BodyText"/>
      </w:pPr>
      <w:r>
        <w:t xml:space="preserve">[46] J. Zhang, Y. Liu, X. Fan, An AR(1)-Tikhonov-SVD-GCV framework for stochastic moving load identification driven by bridge multi-point deflection data, Structures 88 (2026) 111844. https://doi.org/10.1016/j.istruc.2026.111844</w:t>
      </w:r>
    </w:p>
    <w:p>
      <w:pPr>
        <w:pStyle w:val="BodyText"/>
      </w:pPr>
      <w:r>
        <w:t xml:space="preserve">[47] Z. Shen, W. Peng, X. Zhang, et al., A lightweight weigh-in-motion system based on vehicle-induced bridge deflection and impact dynamic responses, Int. J. Struct. Stab. Dyn. (2026), online. https://doi.org/10.1142/s0219455427503664</w:t>
      </w:r>
    </w:p>
    <w:p>
      <w:pPr>
        <w:pStyle w:val="BodyText"/>
      </w:pPr>
      <w:r>
        <w:t xml:space="preserve">[48]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[49] A. Moghadam, R. Sarlo, Nothing-on-Road Bridge-Weigh-In-Motion (NOR-BWIM) Dataset, version 1, University Libraries, Virginia Tech, figshare, 2024. https://doi.org/10.7294/26880898.v1</w:t>
      </w:r>
    </w:p>
    <w:p>
      <w:pPr>
        <w:pStyle w:val="BodyText"/>
      </w:pPr>
      <w:r>
        <w:t xml:space="preserve">[50]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[51] L. Frýba, Vibration of Solids and Structures under Moving Loads, 3rd ed., Thomas Telford, London, 1999.</w:t>
      </w:r>
    </w:p>
    <w:p>
      <w:pPr>
        <w:pStyle w:val="BodyText"/>
      </w:pPr>
      <w:r>
        <w:t xml:space="preserve">[52] H. Sohn, Effects of environmental and operational variability on structural health monitoring, Philos. Trans. R. Soc. A 365 (1851) (2007) 539–560. https://doi.org/10.1098/rsta.2006.1935</w:t>
      </w:r>
    </w:p>
    <w:p>
      <w:pPr>
        <w:pStyle w:val="BodyText"/>
      </w:pPr>
      <w:r>
        <w:t xml:space="preserve">[53] E.J. Cross, K.Y. Koo, J.M.W. Brownjohn, K. Worden, Long-term monitoring and data analysis of the Tamar Bridge, Mech. Syst. Signal Process. 35 (1–2) (2013) 16–34. https://doi.org/10.1016/j.ymssp.2012.08.026</w:t>
      </w:r>
    </w:p>
    <w:p>
      <w:pPr>
        <w:pStyle w:val="BodyText"/>
      </w:pPr>
      <w:r>
        <w:t xml:space="preserve">[54] EN 1991-2:2003, Eurocode 1: Actions on Structures – Part 2: Traffic Loads on Bridges, CEN, Brussels, 2003.</w:t>
      </w:r>
    </w:p>
    <w:p>
      <w:pPr>
        <w:pStyle w:val="BodyText"/>
      </w:pPr>
      <w:r>
        <w:t xml:space="preserve">[55] AASHTO, LRFD Bridge Design Specifications, 10th ed., American Association of State Highway and Transportation Officials, Washington, DC, 2024.</w:t>
      </w:r>
    </w:p>
    <w:bookmarkEnd w:id="53"/>
    <w:bookmarkStart w:id="81" w:name="figures"/>
    <w:p>
      <w:pPr>
        <w:pStyle w:val="Heading2"/>
      </w:pPr>
      <w:r>
        <w:t xml:space="preserve">Figures</w:t>
      </w:r>
    </w:p>
    <w:p>
      <w:pPr>
        <w:pStyle w:val="FirstParagraph"/>
      </w:pPr>
      <w:r>
        <w:drawing>
          <wp:inline>
            <wp:extent cx="5753100" cy="2584601"/>
            <wp:effectExtent b="0" l="0" r="0" t="0"/>
            <wp:docPr descr="" title="" id="55" name="Picture"/>
            <a:graphic>
              <a:graphicData uri="http://schemas.openxmlformats.org/drawingml/2006/picture">
                <pic:pic>
                  <pic:nvPicPr>
                    <pic:cNvPr descr="/home/user/SHM-Paper1-1D/manuscript/v4/figures/Fig1_beams.png" id="56" name="Picture"/>
                    <pic:cNvPicPr>
                      <a:picLocks noChangeArrowheads="1" noChangeAspect="1"/>
                    </pic:cNvPicPr>
                  </pic:nvPicPr>
                  <pic:blipFill>
                    <a:blip r:embed="rId54"/>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8" name="Picture"/>
            <a:graphic>
              <a:graphicData uri="http://schemas.openxmlformats.org/drawingml/2006/picture">
                <pic:pic>
                  <pic:nvPicPr>
                    <pic:cNvPr descr="/home/user/SHM-Paper1-1D/manuscript/v4/figures/Fig2_obs_map_3span.png" id="59" name="Picture"/>
                    <pic:cNvPicPr>
                      <a:picLocks noChangeArrowheads="1" noChangeAspect="1"/>
                    </pic:cNvPicPr>
                  </pic:nvPicPr>
                  <pic:blipFill>
                    <a:blip r:embed="rId57"/>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61" name="Picture"/>
            <a:graphic>
              <a:graphicData uri="http://schemas.openxmlformats.org/drawingml/2006/picture">
                <pic:pic>
                  <pic:nvPicPr>
                    <pic:cNvPr descr="/home/user/SHM-Paper1-1D/manuscript/v4/figures/Fig3_channels_prismatic.png" id="62" name="Picture"/>
                    <pic:cNvPicPr>
                      <a:picLocks noChangeArrowheads="1" noChangeAspect="1"/>
                    </pic:cNvPicPr>
                  </pic:nvPicPr>
                  <pic:blipFill>
                    <a:blip r:embed="rId60"/>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4" name="Picture"/>
            <a:graphic>
              <a:graphicData uri="http://schemas.openxmlformats.org/drawingml/2006/picture">
                <pic:pic>
                  <pic:nvPicPr>
                    <pic:cNvPr descr="/home/user/SHM-Paper1-1D/manuscript/v4/figures/Fig4_multichannel_gain.png" id="65" name="Picture"/>
                    <pic:cNvPicPr>
                      <a:picLocks noChangeArrowheads="1" noChangeAspect="1"/>
                    </pic:cNvPicPr>
                  </pic:nvPicPr>
                  <pic:blipFill>
                    <a:blip r:embed="rId63"/>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(labelled offset-immune in the panel)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7" name="Picture"/>
            <a:graphic>
              <a:graphicData uri="http://schemas.openxmlformats.org/drawingml/2006/picture">
                <pic:pic>
                  <pic:nvPicPr>
                    <pic:cNvPr descr="/home/user/SHM-Paper1-1D/manuscript/v4/figures/Fig5_norbwim_crossings.png" id="68" name="Picture"/>
                    <pic:cNvPicPr>
                      <a:picLocks noChangeArrowheads="1" noChangeAspect="1"/>
                    </pic:cNvPicPr>
                  </pic:nvPicPr>
                  <pic:blipFill>
                    <a:blip r:embed="rId66"/>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70" name="Picture"/>
            <a:graphic>
              <a:graphicData uri="http://schemas.openxmlformats.org/drawingml/2006/picture">
                <pic:pic>
                  <pic:nvPicPr>
                    <pic:cNvPr descr="/home/user/SHM-Paper1-1D/manuscript/v4/figures/Fig6_norbwim_invariance.png" id="71" name="Picture"/>
                    <pic:cNvPicPr>
                      <a:picLocks noChangeArrowheads="1" noChangeAspect="1"/>
                    </pic:cNvPicPr>
                  </pic:nvPicPr>
                  <pic:blipFill>
                    <a:blip r:embed="rId69"/>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gauge average of the four wheel-path gauges;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3" name="Picture"/>
            <a:graphic>
              <a:graphicData uri="http://schemas.openxmlformats.org/drawingml/2006/picture">
                <pic:pic>
                  <pic:nvPicPr>
                    <pic:cNvPr descr="/home/user/SHM-Paper1-1D/manuscript/v4/figures/Fig7_norbwim_estimators.png" id="74" name="Picture"/>
                    <pic:cNvPicPr>
                      <a:picLocks noChangeArrowheads="1" noChangeAspect="1"/>
                    </pic:cNvPicPr>
                  </pic:nvPicPr>
                  <pic:blipFill>
                    <a:blip r:embed="rId7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zero-sum and mean-weight (mean-GVW) predictors, with 95 % bootstrap confidence intervals: in sample (IN), leave-one-run-out (LOO) and leave-one-truck-out (LOTO). (a) Day 2, 4 gauges; (b) day 1, 4 wheel-path gauges; (c) day 1, 12 gauges. GLS-diag: diagonal covariance; immune-eq: zero-sum estimator with equal noise (</w:t>
      </w:r>
      <m:oMath>
        <m:r>
          <m:t>Σ</m:t>
        </m:r>
      </m:oMath>
      <w:r>
        <w:t xml:space="preserve"> </w:t>
      </w:r>
      <w:r>
        <w:t xml:space="preserve">= identity matrix); GLS-resid: covariance from crossing residuals.</w:t>
      </w:r>
    </w:p>
    <w:p>
      <w:pPr>
        <w:pStyle w:val="BodyText"/>
      </w:pPr>
      <w:r>
        <w:drawing>
          <wp:inline>
            <wp:extent cx="5753100" cy="6036736"/>
            <wp:effectExtent b="0" l="0" r="0" t="0"/>
            <wp:docPr descr="" title="" id="76" name="Picture"/>
            <a:graphic>
              <a:graphicData uri="http://schemas.openxmlformats.org/drawingml/2006/picture">
                <pic:pic>
                  <pic:nvPicPr>
                    <pic:cNvPr descr="/home/user/SHM-Paper1-1D/manuscript/v4/figures/Fig8_caumay_channels.png" id="77" name="Picture"/>
                    <pic:cNvPicPr>
                      <a:picLocks noChangeArrowheads="1" noChangeAspect="1"/>
                    </pic:cNvPicPr>
                  </pic:nvPicPr>
                  <pic:blipFill>
                    <a:blip r:embed="rId7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9" name="Picture"/>
            <a:graphic>
              <a:graphicData uri="http://schemas.openxmlformats.org/drawingml/2006/picture">
                <pic:pic>
                  <pic:nvPicPr>
                    <pic:cNvPr descr="/home/user/SHM-Paper1-1D/manuscript/v4/figures/Fig9_caumay_identifiability.png" id="80" name="Picture"/>
                    <pic:cNvPicPr>
                      <a:picLocks noChangeArrowheads="1" noChangeAspect="1"/>
                    </pic:cNvPicPr>
                  </pic:nvPicPr>
                  <pic:blipFill>
                    <a:blip r:embed="rId7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which is equivalent to both misfits lying within</w:t>
      </w:r>
      <w:r>
        <w:t xml:space="preserve"> </w:t>
      </w:r>
      <m:oMath>
        <m:r>
          <m:t>τ</m:t>
        </m:r>
      </m:oMath>
      <w:r>
        <w:t xml:space="preserve"> </w:t>
      </w:r>
      <w:r>
        <w:t xml:space="preserve">at the best-fit</w:t>
      </w:r>
      <w:r>
        <w:t xml:space="preserve"> </w:t>
      </w:r>
      <m:oMath>
        <m:r>
          <m:t>α</m:t>
        </m:r>
      </m:oMath>
      <w:r>
        <w:t xml:space="preserve">;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81"/>
    <w:bookmarkEnd w:id="8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78" Type="http://schemas.openxmlformats.org/officeDocument/2006/relationships/image" Target="media/rId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2026-10-18T16:15:00Z</dcterms:created>
  <dcterms:modified xsi:type="dcterms:W3CDTF">2026-10-18T16:15:00Z</dcterms:modified>
</cp:coreProperties>
</file>

<file path=docProps/custom.xml><?xml version="1.0" encoding="utf-8"?>
<Properties xmlns="http://schemas.openxmlformats.org/officeDocument/2006/custom-properties" xmlns:vt="http://schemas.openxmlformats.org/officeDocument/2006/docPropsVTypes"/>
</file>