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Blind spots and sensor placement for influence-area weigh-in-motion on continuous girders</w:t>
      </w:r>
    </w:p>
    <w:p>
      <w:pPr>
        <w:pStyle w:val="Titleblock"/>
      </w:pPr>
      <w:r>
        <w:t xml:space="preserve">Quoc-Bao Nguyen</w:t>
      </w:r>
      <w:r>
        <w:rPr>
          <w:vertAlign w:val="superscript"/>
        </w:rPr>
        <w:t xml:space="preserve">a</w:t>
      </w:r>
      <w:r>
        <w:t xml:space="preserve">, Thai-Son Vu</w:t>
      </w:r>
      <w:r>
        <w:rPr>
          <w:vertAlign w:val="superscript"/>
        </w:rPr>
        <w:t xml:space="preserve">a,*</w:t>
      </w:r>
    </w:p>
    <w:p>
      <w:pPr>
        <w:pStyle w:val="Titleblock"/>
      </w:pPr>
      <w:r>
        <w:rPr>
          <w:vertAlign w:val="superscript"/>
        </w:rPr>
        <w:t xml:space="preserve">a</w:t>
      </w:r>
      <w:r>
        <w:t xml:space="preserve"> </w:t>
      </w:r>
      <w:r>
        <w:t xml:space="preserve">Faculty of Bridge and Road Engineering, Hanoi University of Civil Engineering, 55 Giai Phong, Bach Mai ward, 11618 Ha Noi, Viet Nam</w:t>
      </w:r>
    </w:p>
    <w:p>
      <w:pPr>
        <w:pStyle w:val="Titleblock"/>
      </w:pPr>
      <w:r>
        <w:t xml:space="preserve">* Corresponding author: Thai-Son Vu. E-mail: sonvt2@huce.edu.vn</w:t>
      </w:r>
    </w:p>
    <w:p>
      <w:pPr>
        <w:pStyle w:val="Titleblock"/>
      </w:pPr>
      <w:r>
        <w:t xml:space="preserve">E-mail addresses: baonq@huce.edu.vn (Q.-B. Nguyen) and sonvt2@huce.edu.vn (T.-S. Vu)</w:t>
      </w:r>
    </w:p>
    <w:bookmarkStart w:id="20" w:name="abstract"/>
    <w:p>
      <w:pPr>
        <w:pStyle w:val="Heading2"/>
      </w:pPr>
      <w:r>
        <w:t xml:space="preserve">Abstract</w:t>
      </w:r>
    </w:p>
    <w:p>
      <w:pPr>
        <w:pStyle w:val="FirstParagraph"/>
      </w:pPr>
      <w:r>
        <w:t xml:space="preserve">Influence-area bridge weigh-in-motion divides the area under a response record by an integral constant. On continuous girders this constant can vanish, because influence lines change sign, and a gauge where it vanishes cannot weigh. The paper gives three main results. First, closed forms locate these blind points for five channel types: strain gauges measuring global bending are blind at every zero of the uniform-load moment and nearly blind 0.19–0.32 of the span from the interior support on two equal spans, whereas deflection gauges are blind only for particular span ratios. Second, for position-independent noise, the best sensor locations are the extremes of the uniform-load response; on one day of public records, weighting gauges by vehicle-free noise covariance raised the error 8.5 percentage points above the gauge average. Third, for symmetric girders with equal piers the constant is linear-fractional in pier stiffness; on an in-service box girder, two static readings leave the side-span deflection constant of the base model uncertain by a factor of 6.6 against 1.5 at mid main span (2.4 against 1.1 with girder rigidity bounded to 0.9–1.3 times the design value). On this girder, a single deflection gauge belongs at mid main span.</w:t>
      </w:r>
    </w:p>
    <w:p>
      <w:pPr>
        <w:pStyle w:val="BodyText"/>
      </w:pPr>
      <w:r>
        <w:rPr>
          <w:bCs/>
          <w:b/>
        </w:rPr>
        <w:t xml:space="preserve">Keywords:</w:t>
      </w:r>
      <w:r>
        <w:t xml:space="preserve"> </w:t>
      </w:r>
      <w:r>
        <w:t xml:space="preserve">Structural health monitoring; Sensor placement; Observability; Continuous girder; Bridge weigh-in-motion; Identifiability</w:t>
      </w:r>
    </w:p>
    <w:bookmarkEnd w:id="20"/>
    <w:bookmarkStart w:id="21" w:name="introduction"/>
    <w:p>
      <w:pPr>
        <w:pStyle w:val="Heading2"/>
      </w:pPr>
      <w:r>
        <w:t xml:space="preserve">1. Introduction</w:t>
      </w:r>
    </w:p>
    <w:p>
      <w:pPr>
        <w:pStyle w:val="FirstParagraph"/>
      </w:pPr>
      <w:r>
        <w:t xml:space="preserve">Heavy vehicles above the design envelope shorten the life of highway bridges and, in extreme cases, contribute to collapse (Fan et al., 2015). Knowing the loads that a bridge actually carries is therefore part of risk-informed asset management (Ventura et al., 2024). Pavement weigh-in-motion (WIM) is mature (Jacob et al., 2002; Al-Qadi et al., 2016), but it weighs the vehicle rather than the load on a particular bridge. Bridge weigh-in-motion (BWIM), introduced by Moses (1979) and reviewed by Yu et al. (2016), fits the measured response to axle loads times influence-line ordinates and has been refined with measured influence lines (OBrien et al., 2006), regularization (OBrien et al., 2009), accuracy improvements (Žnidarič et al., 2018) and the transverse position of the vehicle (Yu et al., 2018). Strain time histories have given axle weights in model tests on simply supported and continuous beams (Hao et al., 2019), and the transverse load distribution coefficient has given vehicle weights on multi-T-girder bridges (Zuo et al., 2019). Moving-force identification recovers axle-load histories (Law et al., 1997; Chan et al., 1999; Law and Zhu, 2000), also on multi-span bridges (Zhu and Law, 2006). These methods aim at axle loads and need several sensors, a structural model or a regularized inversion.</w:t>
      </w:r>
    </w:p>
    <w:p>
      <w:pPr>
        <w:pStyle w:val="BodyText"/>
      </w:pPr>
      <w:r>
        <w:t xml:space="preserve">A simpler family estimates only the gross weight from the area under the response. Ojio and Yamada (2002) integrated the strain records of plate-girder stringers and calibrated the result against a truck of known weight; this calibration is called the standard-load method (SLM). It has been used in long-term monitoring (Cardini and DeWolf, 2009) and was accurate to within 5 % on a seven-span slab-on-girder bridge for test trucks with well-estimated speeds (Helmi et al., 2014). Later work used strain areas and integrals (Yang et al., 2021; Zhu et al., 2022; Agüero-Barrantes et al., 2023), shear strain (Lobo Aguilar and Christenson, 2018), sparse sensing that chose gauge number and location on a single-span bridge (Agüero-Barrantes et al., 2021), load-cell reactions (Shi et al., 2025) and an influence-line-free probabilistic index (Yan et al., 2022). Nguyen et al. (2024) used the integral of mid-span deflection on a simply supported beam.</w:t>
      </w:r>
    </w:p>
    <w:p>
      <w:pPr>
        <w:pStyle w:val="BodyText"/>
      </w:pPr>
      <w:r>
        <w:t xml:space="preserve">The identity behind these methods is classical: the area under an influence line equals the response to a uniform unit load, as design codes use for distributed lane loads (Ghali et al., 2017). On continuous girders, however, the influence line changes sign over each interior support, and positive and negative areas partly cancel. Continuous bridges have been weighed from distributed fiber-optic strain (Chaudhary et al., 2025), with lane-specific influence lines (Wu et al., 2020) and from deck strain on long-span box girders (Moghadam et al., 2022, 2023a, 2023b); Deng et al. (2025) replaced the small net area of a multi-span displacement influence line by its absolute area. Sensor placement for BWIM has been posed through an augmented Kalman filter (Zhou et al., 2025). Deflection-based load identification has been posed as a regularized stochastic problem (Zhang et al., 2026). Deflection influence lines have been identified from moving-vehicle records (Wang et al., 2026) and inverted for girder stiffness (Zhou et al., 2026) or for the presence and location of stiffness loss in a beam (Dang et al., 2023), and influence lines have been used to estimate the boundary spring stiffness of a suspension-bridge girder (Lin et al., 2023). Strain-history areas along continuous girders have served damage identification (Hong et al., 2016; Wu et al., 2018), and BWIM has been applied to a two-span continuous bridge (Yamaguchi et al., 2009). Single-channel SLM assumes that the integral constant is well away from zero and independent of the boundary conditions, yet none of these studies reads the zeros of the integral constant as blind loci for weighing, or shows how they shift with uncertain boundary conditions. Criteria that locate these zeros are needed to choose, before installation, the few channels that screen continuous bridges for overloads.</w:t>
      </w:r>
    </w:p>
    <w:p>
      <w:pPr>
        <w:pStyle w:val="BodyText"/>
      </w:pPr>
      <w:r>
        <w:t xml:space="preserve">This paper supplies them. Neither the influence-area identity nor the generalized least-squares (GLS) estimator is new; the contribution is a set of design criteria built on them, not a new weighing algorithm. (i) Where a gauge is blind: a closed-form catalog gives the blind and near-blind loci of five channel types on prismatic two- and three-span girders. Its strain criterion, the zeros of the uniform-load moment, holds for any girder in beam theory and, unlike the absolute area of Deng et al. (2025), keeps the estimate linear in the axle loads (Supplementary Section S3). (ii) Where to place sensors: extreme-point optimal design (Elfving, 1952; Pukelsheim, 2006) gives a closed-form placement rule for the gross weight, with optimal sensors at the extremes of the uniform-load response for position-independent noise, whereas Zhou et al. (2025) optimized sensors numerically for axle-force histories. The rule itself is not tested in the field; on one day of public records, GLS weights from vehicle-free noise did worse than the gauge average (Section 4.3). (iii) How pier stiffness moves the constant: for a symmetric girder with equal piers, the constant follows a linear-fractional (Möbius) law, a consequence of the Sherman–Morrison formula (Sherman and Morrison, 1950); on an in-service box girder, two static readings leave a side-span deflection constant several times more uncertain than the main-span constant (Section 5.2). The laboratory test checks the identity, the public records check its assumptions and noise model (not weighing accuracy), and the in-service girder illustrates the limits of identifiability. The blind loci are verified analytically and by finite element (FE) evaluation, not experimentally, and the blind configuration of the laboratory beam (spans of 2500 mm and 3644 mm) was not tested.</w:t>
      </w:r>
    </w:p>
    <w:p>
      <w:pPr>
        <w:pStyle w:val="BodyText"/>
        <w:keepNext/>
      </w:pPr>
      <w:r>
        <w:rPr>
          <w:bCs/>
          <w:b/>
        </w:rPr>
        <w:t xml:space="preserve">Principal symbols</w:t>
      </w:r>
      <w:r>
        <w:t xml:space="preserve"> </w:t>
      </w:r>
      <w:r>
        <w:t xml:space="preserve">(full list: Supplementary Table S1)</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1271"/>
        <w:gridCol w:w="3051"/>
        <w:gridCol w:w="1271"/>
        <w:gridCol w:w="3475"/>
      </w:tblGrid>
      <w:tr>
        <w:trPr>
          <w:tblHeader w:val="true"/>
          <w:tblHeader w:val="true"/>
          <w:cantSplit/>
        </w:trPr>
        <w:tc>
          <w:tcPr>
            <w:tcW w:type="dxa" w:w="1271"/>
            <w:tcBorders>
              <w:top w:val="nil"/>
              <w:left w:val="nil"/>
              <w:bottom w:val="single" w:sz="6" w:space="0" w:color="000000"/>
              <w:right w:val="nil"/>
            </w:tcBorders>
          </w:tcPr>
          <w:p>
            <w:pPr>
              <w:keepNext/>
              <w:pStyle w:val="Compact"/>
              <w:jc w:val="left"/>
            </w:pPr>
            <w:r>
              <w:t xml:space="preserve">Symbol</w:t>
            </w:r>
          </w:p>
        </w:tc>
        <w:tc>
          <w:tcPr>
            <w:tcW w:type="dxa" w:w="3051"/>
            <w:tcBorders>
              <w:top w:val="nil"/>
              <w:left w:val="nil"/>
              <w:bottom w:val="single" w:sz="6" w:space="0" w:color="000000"/>
              <w:right w:val="nil"/>
            </w:tcBorders>
          </w:tcPr>
          <w:p>
            <w:pPr>
              <w:keepNext/>
              <w:pStyle w:val="Compact"/>
              <w:jc w:val="left"/>
            </w:pPr>
            <w:r>
              <w:t xml:space="preserve">Meaning</w:t>
            </w:r>
          </w:p>
        </w:tc>
        <w:tc>
          <w:tcPr>
            <w:tcW w:type="dxa" w:w="1271"/>
            <w:tcBorders>
              <w:top w:val="nil"/>
              <w:left w:val="nil"/>
              <w:bottom w:val="single" w:sz="6" w:space="0" w:color="000000"/>
              <w:right w:val="nil"/>
            </w:tcBorders>
          </w:tcPr>
          <w:p>
            <w:pPr>
              <w:keepNext/>
              <w:pStyle w:val="Compact"/>
              <w:jc w:val="left"/>
            </w:pPr>
            <w:r>
              <w:t xml:space="preserve">Symbol</w:t>
            </w:r>
          </w:p>
        </w:tc>
        <w:tc>
          <w:tcPr>
            <w:tcW w:type="dxa" w:w="3475"/>
            <w:tcBorders>
              <w:top w:val="nil"/>
              <w:left w:val="nil"/>
              <w:bottom w:val="single" w:sz="6" w:space="0" w:color="000000"/>
              <w:right w:val="nil"/>
            </w:tcBorders>
          </w:tcPr>
          <w:p>
            <w:pPr>
              <w:keepNext/>
              <w:pStyle w:val="Compact"/>
              <w:jc w:val="left"/>
            </w:pPr>
            <w:r>
              <w:t xml:space="preserve">Meaning</w:t>
            </w:r>
          </w:p>
        </w:tc>
      </w:tr>
      <w:tr>
        <w:trPr>
          <w:cantSplit/>
        </w:trPr>
        <w:tc>
          <w:tcPr>
            <w:tcW w:type="dxa" w:w="1271"/>
          </w:tcPr>
          <w:p>
            <w:pPr>
              <w:keepNext/>
              <w:pStyle w:val="Compact"/>
              <w:jc w:val="left"/>
            </w:pPr>
            <m:oMath>
              <m:r>
                <m:t>C</m:t>
              </m:r>
            </m:oMath>
          </w:p>
        </w:tc>
        <w:tc>
          <w:tcPr>
            <w:tcW w:type="dxa" w:w="3051"/>
          </w:tcPr>
          <w:p>
            <w:pPr>
              <w:keepNext/>
              <w:pStyle w:val="Compact"/>
              <w:jc w:val="left"/>
            </w:pPr>
            <w:r>
              <w:t xml:space="preserve">integral constant of a channel, Eq. (2)</w:t>
            </w:r>
          </w:p>
        </w:tc>
        <w:tc>
          <w:tcPr>
            <w:tcW w:type="dxa" w:w="1271"/>
          </w:tcPr>
          <w:p>
            <w:pPr>
              <w:keepNext/>
              <w:pStyle w:val="Compact"/>
              <w:jc w:val="left"/>
            </w:pPr>
            <m:oMath>
              <m:r>
                <m:t>γ</m:t>
              </m:r>
            </m:oMath>
          </w:p>
        </w:tc>
        <w:tc>
          <w:tcPr>
            <w:tcW w:type="dxa" w:w="3475"/>
          </w:tcPr>
          <w:p>
            <w:pPr>
              <w:keepNext/>
              <w:pStyle w:val="Compact"/>
              <w:jc w:val="left"/>
            </w:pPr>
            <w:r>
              <w:t xml:space="preserve">rigidity ratio of adjacent spans</w:t>
            </w:r>
          </w:p>
        </w:tc>
      </w:tr>
      <w:tr>
        <w:trPr>
          <w:cantSplit/>
        </w:trPr>
        <w:tc>
          <w:tcPr>
            <w:tcW w:type="dxa" w:w="1271"/>
          </w:tcPr>
          <w:p>
            <w:pPr>
              <w:keepNext/>
              <w:pStyle w:val="Compact"/>
              <w:jc w:val="left"/>
            </w:pPr>
            <m:oMath>
              <m:sSub>
                <m:e>
                  <m:r>
                    <m:t>N</m:t>
                  </m:r>
                </m:e>
                <m:sub>
                  <m:r>
                    <m:t>w</m:t>
                  </m:r>
                </m:sub>
              </m:sSub>
            </m:oMath>
          </w:p>
        </w:tc>
        <w:tc>
          <w:tcPr>
            <w:tcW w:type="dxa" w:w="3051"/>
          </w:tcPr>
          <w:p>
            <w:pPr>
              <w:keepNext/>
              <w:pStyle w:val="Compact"/>
              <w:jc w:val="left"/>
            </w:pPr>
            <w:r>
              <w:t xml:space="preserve">deflection indicator, Eq. (8)</w:t>
            </w:r>
          </w:p>
        </w:tc>
        <w:tc>
          <w:tcPr>
            <w:tcW w:type="dxa" w:w="1271"/>
          </w:tcPr>
          <w:p>
            <w:pPr>
              <w:keepNext/>
              <w:pStyle w:val="Compact"/>
              <w:jc w:val="left"/>
            </w:pPr>
            <m:oMath>
              <m:r>
                <m:t>κ</m:t>
              </m:r>
            </m:oMath>
          </w:p>
        </w:tc>
        <w:tc>
          <w:tcPr>
            <w:tcW w:type="dxa" w:w="3475"/>
          </w:tcPr>
          <w:p>
            <w:pPr>
              <w:keepNext/>
              <w:pStyle w:val="Compact"/>
              <w:jc w:val="left"/>
            </w:pPr>
            <w:r>
              <w:t xml:space="preserve">scaled pier stiffness</w:t>
            </w:r>
            <w:r>
              <w:t xml:space="preserve"> </w:t>
            </w:r>
            <m:oMath>
              <m:r>
                <m:t>k</m:t>
              </m:r>
              <m:r>
                <m:rPr>
                  <m:sty m:val="p"/>
                </m:rPr>
                <m:t>/</m:t>
              </m:r>
              <m:r>
                <m:t>α</m:t>
              </m:r>
            </m:oMath>
          </w:p>
        </w:tc>
      </w:tr>
      <w:tr>
        <w:trPr>
          <w:cantSplit/>
        </w:trPr>
        <w:tc>
          <w:tcPr>
            <w:tcW w:type="dxa" w:w="1271"/>
          </w:tcPr>
          <w:p>
            <w:pPr>
              <w:keepNext/>
              <w:pStyle w:val="Compact"/>
              <w:jc w:val="left"/>
            </w:pPr>
            <m:oMath>
              <m:sSub>
                <m:e>
                  <m:r>
                    <m:t>N</m:t>
                  </m:r>
                </m:e>
                <m:sub>
                  <m:r>
                    <m:t>M</m:t>
                  </m:r>
                </m:sub>
              </m:sSub>
            </m:oMath>
          </w:p>
        </w:tc>
        <w:tc>
          <w:tcPr>
            <w:tcW w:type="dxa" w:w="3051"/>
          </w:tcPr>
          <w:p>
            <w:pPr>
              <w:keepNext/>
              <w:pStyle w:val="Compact"/>
              <w:jc w:val="left"/>
            </w:pPr>
            <w:r>
              <w:t xml:space="preserve">strain (moment) indicator, Eq. (7)</w:t>
            </w:r>
          </w:p>
        </w:tc>
        <w:tc>
          <w:tcPr>
            <w:tcW w:type="dxa" w:w="1271"/>
          </w:tcPr>
          <w:p>
            <w:pPr>
              <w:keepNext/>
              <w:pStyle w:val="Compact"/>
              <w:jc w:val="left"/>
            </w:pPr>
            <m:oMath>
              <m:r>
                <m:t>α</m:t>
              </m:r>
            </m:oMath>
          </w:p>
        </w:tc>
        <w:tc>
          <w:tcPr>
            <w:tcW w:type="dxa" w:w="3475"/>
          </w:tcPr>
          <w:p>
            <w:pPr>
              <w:keepNext/>
              <w:pStyle w:val="Compact"/>
              <w:jc w:val="left"/>
            </w:pPr>
            <w:r>
              <w:t xml:space="preserve">effective-to-design girder rigidity</w:t>
            </w:r>
          </w:p>
        </w:tc>
      </w:tr>
      <w:tr>
        <w:trPr>
          <w:cantSplit/>
        </w:trPr>
        <w:tc>
          <w:tcPr>
            <w:tcW w:type="dxa" w:w="1271"/>
          </w:tcPr>
          <w:p>
            <w:pPr>
              <w:keepNext/>
              <w:pStyle w:val="Compact"/>
              <w:jc w:val="left"/>
            </w:pPr>
            <m:oMath>
              <m:r>
                <m:t>R</m:t>
              </m:r>
            </m:oMath>
          </w:p>
        </w:tc>
        <w:tc>
          <w:tcPr>
            <w:tcW w:type="dxa" w:w="3051"/>
          </w:tcPr>
          <w:p>
            <w:pPr>
              <w:keepNext/>
              <w:pStyle w:val="Compact"/>
              <w:jc w:val="left"/>
            </w:pPr>
            <w:r>
              <w:t xml:space="preserve">cancellation ratio, Eq. (9)</w:t>
            </w:r>
          </w:p>
        </w:tc>
        <w:tc>
          <w:tcPr>
            <w:tcW w:type="dxa" w:w="1271"/>
          </w:tcPr>
          <w:p>
            <w:pPr>
              <w:keepNext/>
              <w:pStyle w:val="Compact"/>
              <w:jc w:val="left"/>
            </w:pPr>
            <m:oMath>
              <m:r>
                <m:t>k</m:t>
              </m:r>
            </m:oMath>
          </w:p>
        </w:tc>
        <w:tc>
          <w:tcPr>
            <w:tcW w:type="dxa" w:w="3475"/>
          </w:tcPr>
          <w:p>
            <w:pPr>
              <w:keepNext/>
              <w:pStyle w:val="Compact"/>
              <w:jc w:val="left"/>
            </w:pPr>
            <w:r>
              <w:t xml:space="preserve">rotational stiffness of a monolithic pier</w:t>
            </w:r>
          </w:p>
        </w:tc>
      </w:tr>
      <w:tr>
        <w:trPr>
          <w:cantSplit/>
        </w:trPr>
        <w:tc>
          <w:tcPr>
            <w:tcW w:type="dxa" w:w="1271"/>
          </w:tcPr>
          <w:p>
            <w:pPr>
              <w:keepNext/>
              <w:pStyle w:val="Compact"/>
              <w:jc w:val="left"/>
            </w:pPr>
            <m:oMath>
              <m:r>
                <m:t>μ</m:t>
              </m:r>
            </m:oMath>
          </w:p>
        </w:tc>
        <w:tc>
          <w:tcPr>
            <w:tcW w:type="dxa" w:w="3051"/>
          </w:tcPr>
          <w:p>
            <w:pPr>
              <w:keepNext/>
              <w:pStyle w:val="Compact"/>
              <w:jc w:val="left"/>
            </w:pPr>
            <w:r>
              <w:t xml:space="preserve">interior-moment parameter, Eq. (4)</w:t>
            </w:r>
          </w:p>
        </w:tc>
        <w:tc>
          <w:tcPr>
            <w:tcW w:type="dxa" w:w="1271"/>
          </w:tcPr>
          <w:p>
            <w:pPr>
              <w:keepNext/>
              <w:pStyle w:val="Compact"/>
              <w:jc w:val="left"/>
            </w:pPr>
            <m:oMath>
              <m:r>
                <m:t>τ</m:t>
              </m:r>
            </m:oMath>
          </w:p>
        </w:tc>
        <w:tc>
          <w:tcPr>
            <w:tcW w:type="dxa" w:w="3475"/>
          </w:tcPr>
          <w:p>
            <w:pPr>
              <w:keepNext/>
              <w:pStyle w:val="Compact"/>
              <w:jc w:val="left"/>
            </w:pPr>
            <w:r>
              <w:t xml:space="preserve">tolerance on the static misfit of a gauge</w:t>
            </w:r>
          </w:p>
        </w:tc>
      </w:tr>
      <w:tr>
        <w:trPr>
          <w:cantSplit/>
        </w:trPr>
        <w:tc>
          <w:tcPr>
            <w:tcW w:type="dxa" w:w="1271"/>
          </w:tcPr>
          <w:p>
            <w:pPr>
              <w:keepNext/>
              <w:pStyle w:val="Compact"/>
              <w:jc w:val="left"/>
            </w:pPr>
            <m:oMath>
              <m:r>
                <m:t>λ</m:t>
              </m:r>
            </m:oMath>
          </w:p>
        </w:tc>
        <w:tc>
          <w:tcPr>
            <w:tcW w:type="dxa" w:w="3051"/>
          </w:tcPr>
          <w:p>
            <w:pPr>
              <w:keepNext/>
              <w:pStyle w:val="Compact"/>
              <w:jc w:val="left"/>
            </w:pPr>
            <w:r>
              <w:t xml:space="preserve">span ratio, two spans</w:t>
            </w:r>
          </w:p>
        </w:tc>
        <w:tc>
          <w:tcPr>
            <w:tcW w:type="dxa" w:w="1271"/>
          </w:tcPr>
          <w:p>
            <w:pPr>
              <w:keepNext/>
              <w:pStyle w:val="Compact"/>
              <w:jc w:val="left"/>
            </w:pPr>
            <m:oMath>
              <m:sSub>
                <m:e>
                  <m:r>
                    <m:t>B</m:t>
                  </m:r>
                </m:e>
                <m:sub>
                  <m:r>
                    <m:t>m</m:t>
                  </m:r>
                </m:sub>
              </m:sSub>
            </m:oMath>
          </w:p>
        </w:tc>
        <w:tc>
          <w:tcPr>
            <w:tcW w:type="dxa" w:w="3475"/>
          </w:tcPr>
          <w:p>
            <w:pPr>
              <w:keepNext/>
              <w:pStyle w:val="Compact"/>
              <w:jc w:val="left"/>
            </w:pPr>
            <w:r>
              <w:t xml:space="preserve">boundary sensitivity</w:t>
            </w:r>
            <w:r>
              <w:t xml:space="preserve"> </w:t>
            </w:r>
            <m:oMath>
              <m:r>
                <m:rPr>
                  <m:nor/>
                </m:rPr>
                <m:t>|</m:t>
              </m:r>
              <m:r>
                <m:rPr>
                  <m:sty m:val="p"/>
                </m:rPr>
                <m:t>∂</m:t>
              </m:r>
              <m:r>
                <m:rPr>
                  <m:sty m:val="p"/>
                  <m:nor/>
                </m:rPr>
                <m:t>ln</m:t>
              </m:r>
              <m:sSub>
                <m:e>
                  <m:r>
                    <m:t>C</m:t>
                  </m:r>
                </m:e>
                <m:sub>
                  <m:r>
                    <m:t>m</m:t>
                  </m:r>
                </m:sub>
              </m:sSub>
              <m:r>
                <m:rPr>
                  <m:sty m:val="p"/>
                </m:rPr>
                <m:t>/</m:t>
              </m:r>
              <m:r>
                <m:rPr>
                  <m:sty m:val="p"/>
                </m:rPr>
                <m:t>∂</m:t>
              </m:r>
              <m:r>
                <m:rPr>
                  <m:sty m:val="p"/>
                  <m:nor/>
                </m:rPr>
                <m:t>ln</m:t>
              </m:r>
              <m:r>
                <m:t>κ</m:t>
              </m:r>
              <m:r>
                <m:rPr>
                  <m:nor/>
                </m:rPr>
                <m:t>|</m:t>
              </m:r>
            </m:oMath>
          </w:p>
        </w:tc>
      </w:tr>
      <w:tr>
        <w:trPr>
          <w:cantSplit/>
        </w:trPr>
        <w:tc>
          <w:tcPr>
            <w:tcW w:type="dxa" w:w="1271"/>
          </w:tcPr>
          <w:p>
            <w:pPr>
              <w:pStyle w:val="Compact"/>
              <w:jc w:val="left"/>
            </w:pPr>
            <m:oMath>
              <m:r>
                <m:t>β</m:t>
              </m:r>
            </m:oMath>
          </w:p>
        </w:tc>
        <w:tc>
          <w:tcPr>
            <w:tcW w:type="dxa" w:w="3051"/>
          </w:tcPr>
          <w:p>
            <w:pPr>
              <w:pStyle w:val="Compact"/>
              <w:jc w:val="left"/>
            </w:pPr>
            <w:r>
              <w:t xml:space="preserve">main-to-side span ratio, three spans</w:t>
            </w:r>
          </w:p>
        </w:tc>
        <w:tc>
          <w:tcPr>
            <w:tcW w:type="dxa" w:w="1271"/>
          </w:tcPr>
          <w:p>
            <w:pPr>
              <w:pStyle w:val="Compact"/>
              <w:jc w:val="left"/>
            </w:pPr>
            <m:oMath>
              <m:sSub>
                <m:e>
                  <m:r>
                    <m:t>P</m:t>
                  </m:r>
                </m:e>
                <m:sub>
                  <m:r>
                    <m:t>δ</m:t>
                  </m:r>
                </m:sub>
              </m:sSub>
            </m:oMath>
          </w:p>
        </w:tc>
        <w:tc>
          <w:tcPr>
            <w:tcW w:type="dxa" w:w="3475"/>
          </w:tcPr>
          <w:p>
            <w:pPr>
              <w:pStyle w:val="Compact"/>
              <w:jc w:val="left"/>
            </w:pPr>
            <w:r>
              <w:t xml:space="preserve">offset-equivalent load, Eq. (10)</w:t>
            </w:r>
          </w:p>
        </w:tc>
      </w:tr>
    </w:tbl>
    <w:bookmarkEnd w:id="21"/>
    <w:bookmarkStart w:id="36" w:name="theory"/>
    <w:p>
      <w:pPr>
        <w:pStyle w:val="Heading2"/>
      </w:pPr>
      <w:r>
        <w:t xml:space="preserve">2. Theory</w:t>
      </w:r>
    </w:p>
    <w:bookmarkStart w:id="22" w:name="influence-area-identity"/>
    <w:p>
      <w:pPr>
        <w:pStyle w:val="Heading3"/>
      </w:pPr>
      <w:r>
        <w:t xml:space="preserve">2.1. Influence-area identity</w:t>
      </w:r>
    </w:p>
    <w:p>
      <w:pPr>
        <w:pStyle w:val="FirstParagraph"/>
      </w:pPr>
      <w:r>
        <w:t xml:space="preserve">Consider a linear-elastic structure, unchanged during a crossing, with any distribution</w:t>
      </w:r>
      <w:r>
        <w:t xml:space="preserve"> </w:t>
      </w:r>
      <m:oMath>
        <m:r>
          <m:t>E</m:t>
        </m:r>
        <m:r>
          <m:t>I</m:t>
        </m:r>
        <m:d>
          <m:dPr>
            <m:begChr m:val="("/>
            <m:endChr m:val=")"/>
            <m:grow/>
          </m:dPr>
          <m:e>
            <m:r>
              <m:t>x</m:t>
            </m:r>
          </m:e>
        </m:d>
      </m:oMath>
      <w:r>
        <w:t xml:space="preserve"> </w:t>
      </w:r>
      <w:r>
        <w:t xml:space="preserve">and any linear-elastic supports. A response channel at a fixed point</w:t>
      </w:r>
      <w:r>
        <w:t xml:space="preserve"> </w:t>
      </w:r>
      <m:oMath>
        <m:r>
          <m:t>m</m:t>
        </m:r>
      </m:oMath>
      <w:r>
        <w:t xml:space="preserve"> </w:t>
      </w:r>
      <w:r>
        <w:t xml:space="preserve">is any fixed linear functional of the displacement field measured from the unloaded state (deflection, rotation, fiber strain</w:t>
      </w:r>
      <w:r>
        <w:t xml:space="preserve"> </w:t>
      </w:r>
      <m:oMath>
        <m:r>
          <m:t>ε</m:t>
        </m:r>
        <m:r>
          <m:rPr>
            <m:sty m:val="p"/>
          </m:rPr>
          <m:t>=</m:t>
        </m:r>
        <m:r>
          <m:t>c</m:t>
        </m:r>
        <m:r>
          <m:t>M</m:t>
        </m:r>
        <m:r>
          <m:rPr>
            <m:sty m:val="p"/>
          </m:rPr>
          <m:t>/</m:t>
        </m:r>
        <m:r>
          <m:t>E</m:t>
        </m:r>
        <m:r>
          <m:t>I</m:t>
        </m:r>
      </m:oMath>
      <w:r>
        <w:t xml:space="preserve">, shear force or reaction), with an influence line</w:t>
      </w:r>
      <w:r>
        <w:t xml:space="preserve"> </w:t>
      </w:r>
      <m:oMath>
        <m:sSub>
          <m:e>
            <m:r>
              <m:t>η</m:t>
            </m:r>
          </m:e>
          <m:sub>
            <m:r>
              <m:t>m</m:t>
            </m:r>
          </m:sub>
        </m:sSub>
        <m:d>
          <m:dPr>
            <m:begChr m:val="("/>
            <m:endChr m:val=")"/>
            <m:grow/>
          </m:dPr>
          <m:e>
            <m:r>
              <m:t>x</m:t>
            </m:r>
          </m:e>
        </m:d>
      </m:oMath>
      <w:r>
        <w:t xml:space="preserve"> </w:t>
      </w:r>
      <w:r>
        <w:t xml:space="preserve">that is zero outside the loaded path</w:t>
      </w:r>
      <w:r>
        <w:t xml:space="preserve"> </w:t>
      </w:r>
      <m:oMath>
        <m:d>
          <m:dPr>
            <m:begChr m:val="["/>
            <m:endChr m:val="]"/>
            <m:grow/>
          </m:dPr>
          <m:e>
            <m:r>
              <m:t>0</m:t>
            </m:r>
            <m:r>
              <m:rPr>
                <m:sty m:val="p"/>
              </m:rPr>
              <m:t>,</m:t>
            </m:r>
            <m:sSub>
              <m:e>
                <m:r>
                  <m:t>L</m:t>
                </m:r>
              </m:e>
              <m:sub>
                <m:r>
                  <m:t>p</m:t>
                </m:r>
              </m:sub>
            </m:sSub>
          </m:e>
        </m:d>
      </m:oMath>
      <w:r>
        <w:t xml:space="preserve">. For a convoy of axle loads</w:t>
      </w:r>
      <w:r>
        <w:t xml:space="preserve"> </w:t>
      </w:r>
      <m:oMath>
        <m:sSub>
          <m:e>
            <m:r>
              <m:t>P</m:t>
            </m:r>
          </m:e>
          <m:sub>
            <m:r>
              <m:t>i</m:t>
            </m:r>
          </m:sub>
        </m:sSub>
      </m:oMath>
      <w:r>
        <w:t xml:space="preserve"> </w:t>
      </w:r>
      <w:r>
        <w:t xml:space="preserve">at fixed offsets</w:t>
      </w:r>
      <w:r>
        <w:t xml:space="preserve"> </w:t>
      </w:r>
      <m:oMath>
        <m:sSub>
          <m:e>
            <m:r>
              <m:t>d</m:t>
            </m:r>
          </m:e>
          <m:sub>
            <m:r>
              <m:t>i</m:t>
            </m:r>
          </m:sub>
        </m:sSub>
      </m:oMath>
      <w:r>
        <w:t xml:space="preserve"> </w:t>
      </w:r>
      <w:r>
        <w:t xml:space="preserve">(</w:t>
      </w:r>
      <m:oMath>
        <m:sSub>
          <m:e>
            <m:r>
              <m:t>d</m:t>
            </m:r>
          </m:e>
          <m:sub>
            <m:r>
              <m:t>1</m:t>
            </m:r>
          </m:sub>
        </m:sSub>
        <m:r>
          <m:rPr>
            <m:sty m:val="p"/>
          </m:rPr>
          <m:t>=</m:t>
        </m:r>
        <m:r>
          <m:t>0</m:t>
        </m:r>
      </m:oMath>
      <w:r>
        <w:t xml:space="preserve">) crossing quasi-statically, the record is</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sSub>
                  <m:e>
                    <m:r>
                      <m:t>y</m:t>
                    </m:r>
                  </m:e>
                  <m:sub>
                    <m:r>
                      <m:t>m</m:t>
                    </m:r>
                  </m:sub>
                </m:sSub>
                <m:d>
                  <m:dPr>
                    <m:begChr m:val="("/>
                    <m:endChr m:val=")"/>
                    <m:grow/>
                  </m:dPr>
                  <m:e>
                    <m:r>
                      <m:t>x</m:t>
                    </m:r>
                  </m:e>
                </m:d>
                <m:r>
                  <m:rPr>
                    <m:sty m:val="p"/>
                  </m:rPr>
                  <m:t>=</m:t>
                </m:r>
                <m:nary>
                  <m:naryPr>
                    <m:chr m:val="∑"/>
                    <m:limLoc m:val="undOvr"/>
                    <m:subHide m:val="off"/>
                    <m:supHide m:val="off"/>
                  </m:naryPr>
                  <m:sub>
                    <m:r>
                      <m:t>i</m:t>
                    </m:r>
                    <m:r>
                      <m:rPr>
                        <m:sty m:val="p"/>
                      </m:rPr>
                      <m:t>=</m:t>
                    </m:r>
                    <m:r>
                      <m:t>1</m:t>
                    </m:r>
                  </m:sub>
                  <m:sup>
                    <m:r>
                      <m:t>n</m:t>
                    </m:r>
                  </m:sup>
                  <m:e>
                    <m:sSub>
                      <m:e>
                        <m:r>
                          <m:t>P</m:t>
                        </m:r>
                      </m:e>
                      <m:sub>
                        <m:r>
                          <m:t>i</m:t>
                        </m:r>
                      </m:sub>
                    </m:sSub>
                  </m:e>
                </m:nary>
                <m:r>
                  <m:t> </m:t>
                </m:r>
                <m:sSub>
                  <m:e>
                    <m:r>
                      <m:t>η</m:t>
                    </m:r>
                  </m:e>
                  <m:sub>
                    <m:r>
                      <m:t>m</m:t>
                    </m:r>
                  </m:sub>
                </m:sSub>
                <m:d>
                  <m:dPr>
                    <m:begChr m:val="("/>
                    <m:endChr m:val=")"/>
                    <m:grow/>
                  </m:dPr>
                  <m:e>
                    <m:r>
                      <m:t>x</m:t>
                    </m:r>
                    <m:r>
                      <m:rPr>
                        <m:sty m:val="p"/>
                      </m:rPr>
                      <m:t>−</m:t>
                    </m:r>
                    <m:sSub>
                      <m:e>
                        <m:r>
                          <m:t>d</m:t>
                        </m:r>
                      </m:e>
                      <m:sub>
                        <m:r>
                          <m:t>i</m:t>
                        </m:r>
                      </m:sub>
                    </m:sSub>
                  </m:e>
                </m:d>
                <m:r>
                  <m:rPr>
                    <m:sty m:val="p"/>
                  </m:rPr>
                  <m:t>.</m:t>
                </m:r>
              </m:oMath>
            </m:oMathPara>
          </w:p>
        </w:tc>
        <w:tc>
          <w:tcPr>
            <w:tcW w:type="dxa" w:w="907"/>
            <w:vAlign w:val="center"/>
          </w:tcPr>
          <w:p>
            <w:pPr>
              <w:jc w:val="right"/>
            </w:pPr>
            <w:r>
              <w:t xml:space="preserve">(1)</w:t>
            </w:r>
          </w:p>
        </w:tc>
      </w:tr>
    </w:tbl>
    <w:p>
      <w:pPr>
        <w:pStyle w:val="BodyText"/>
      </w:pPr>
      <w:r>
        <w:t xml:space="preserve">Its integral over the complete crossing is</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sSub>
                  <m:e>
                    <m:r>
                      <m:t>J</m:t>
                    </m:r>
                  </m:e>
                  <m:sub>
                    <m:r>
                      <m:t>m</m:t>
                    </m:r>
                  </m:sub>
                </m:sSub>
                <m:r>
                  <m:rPr>
                    <m:sty m:val="p"/>
                  </m:rPr>
                  <m:t>=</m:t>
                </m:r>
                <m:nary>
                  <m:naryPr>
                    <m:chr m:val="∫"/>
                    <m:limLoc m:val="subSup"/>
                    <m:subHide m:val="off"/>
                    <m:supHide m:val="off"/>
                  </m:naryPr>
                  <m:sub>
                    <m:r>
                      <m:t>0</m:t>
                    </m:r>
                  </m:sub>
                  <m:sup>
                    <m:sSub>
                      <m:e>
                        <m:r>
                          <m:t>L</m:t>
                        </m:r>
                      </m:e>
                      <m:sub>
                        <m:r>
                          <m:t>p</m:t>
                        </m:r>
                      </m:sub>
                    </m:sSub>
                    <m:r>
                      <m:rPr>
                        <m:sty m:val="p"/>
                      </m:rPr>
                      <m:t>+</m:t>
                    </m:r>
                    <m:sSub>
                      <m:e>
                        <m:r>
                          <m:t>d</m:t>
                        </m:r>
                      </m:e>
                      <m:sub>
                        <m:r>
                          <m:rPr>
                            <m:sty m:val="p"/>
                            <m:nor/>
                          </m:rPr>
                          <m:t>max</m:t>
                        </m:r>
                      </m:sub>
                    </m:sSub>
                  </m:sup>
                  <m:e>
                    <m:sSub>
                      <m:e>
                        <m:r>
                          <m:t>y</m:t>
                        </m:r>
                      </m:e>
                      <m:sub>
                        <m:r>
                          <m:t>m</m:t>
                        </m:r>
                      </m:sub>
                    </m:sSub>
                  </m:e>
                </m:nary>
                <m:r>
                  <m:t> </m:t>
                </m:r>
                <m:r>
                  <m:rPr>
                    <m:sty m:val="p"/>
                    <m:nor/>
                  </m:rPr>
                  <m:t>d</m:t>
                </m:r>
                <m:r>
                  <m:t>x</m:t>
                </m:r>
                <m:r>
                  <m:rPr>
                    <m:sty m:val="p"/>
                  </m:rPr>
                  <m:t>=</m:t>
                </m:r>
                <m:sSub>
                  <m:e>
                    <m:r>
                      <m:t>P</m:t>
                    </m:r>
                  </m:e>
                  <m:sub>
                    <m:r>
                      <m:rPr>
                        <m:sty m:val="p"/>
                        <m:nor/>
                      </m:rPr>
                      <m:t>tot</m:t>
                    </m:r>
                  </m:sub>
                </m:sSub>
                <m:r>
                  <m:t> </m:t>
                </m:r>
                <m:sSub>
                  <m:e>
                    <m:r>
                      <m:t>C</m:t>
                    </m:r>
                  </m:e>
                  <m:sub>
                    <m:r>
                      <m:t>m</m:t>
                    </m:r>
                  </m:sub>
                </m:sSub>
                <m:r>
                  <m:rPr>
                    <m:sty m:val="p"/>
                  </m:rPr>
                  <m:t>,</m:t>
                </m:r>
                <m:r>
                  <m:t>  </m:t>
                </m:r>
                <m:sSub>
                  <m:e>
                    <m:r>
                      <m:t>C</m:t>
                    </m:r>
                  </m:e>
                  <m:sub>
                    <m:r>
                      <m:t>m</m:t>
                    </m:r>
                  </m:sub>
                </m:sSub>
                <m:r>
                  <m:rPr>
                    <m:sty m:val="p"/>
                  </m:rPr>
                  <m:t>=</m:t>
                </m:r>
                <m:nary>
                  <m:naryPr>
                    <m:chr m:val="∫"/>
                    <m:limLoc m:val="subSup"/>
                    <m:subHide m:val="off"/>
                    <m:supHide m:val="off"/>
                  </m:naryPr>
                  <m:sub>
                    <m:r>
                      <m:t>0</m:t>
                    </m:r>
                  </m:sub>
                  <m:sup>
                    <m:sSub>
                      <m:e>
                        <m:r>
                          <m:t>L</m:t>
                        </m:r>
                      </m:e>
                      <m:sub>
                        <m:r>
                          <m:t>p</m:t>
                        </m:r>
                      </m:sub>
                    </m:sSub>
                  </m:sup>
                  <m:e>
                    <m:sSub>
                      <m:e>
                        <m:r>
                          <m:t>η</m:t>
                        </m:r>
                      </m:e>
                      <m:sub>
                        <m:r>
                          <m:t>m</m:t>
                        </m:r>
                      </m:sub>
                    </m:sSub>
                  </m:e>
                </m:nary>
                <m:d>
                  <m:dPr>
                    <m:begChr m:val="("/>
                    <m:endChr m:val=")"/>
                    <m:grow/>
                  </m:dPr>
                  <m:e>
                    <m:r>
                      <m:t>u</m:t>
                    </m:r>
                  </m:e>
                </m:d>
                <m:r>
                  <m:t> </m:t>
                </m:r>
                <m:r>
                  <m:rPr>
                    <m:sty m:val="p"/>
                    <m:nor/>
                  </m:rPr>
                  <m:t>d</m:t>
                </m:r>
                <m:r>
                  <m:t>u</m:t>
                </m:r>
                <m:r>
                  <m:rPr>
                    <m:sty m:val="p"/>
                  </m:rPr>
                  <m:t>=</m:t>
                </m:r>
                <m:f>
                  <m:fPr>
                    <m:type m:val="bar"/>
                  </m:fPr>
                  <m:num>
                    <m:sSub>
                      <m:e>
                        <m:r>
                          <m:t>y</m:t>
                        </m:r>
                      </m:e>
                      <m:sub>
                        <m:r>
                          <m:t>m</m:t>
                        </m:r>
                      </m:sub>
                    </m:sSub>
                    <m:d>
                      <m:dPr>
                        <m:begChr m:val="["/>
                        <m:endChr m:val="]"/>
                        <m:grow/>
                      </m:dPr>
                      <m:e>
                        <m:sSub>
                          <m:e>
                            <m:r>
                              <m:t>q</m:t>
                            </m:r>
                          </m:e>
                          <m:sub>
                            <m:r>
                              <m:t>0</m:t>
                            </m:r>
                          </m:sub>
                        </m:sSub>
                      </m:e>
                    </m:d>
                  </m:num>
                  <m:den>
                    <m:sSub>
                      <m:e>
                        <m:r>
                          <m:t>q</m:t>
                        </m:r>
                      </m:e>
                      <m:sub>
                        <m:r>
                          <m:t>0</m:t>
                        </m:r>
                      </m:sub>
                    </m:sSub>
                  </m:den>
                </m:f>
                <m:r>
                  <m:rPr>
                    <m:sty m:val="p"/>
                  </m:rPr>
                  <m:t>,</m:t>
                </m:r>
              </m:oMath>
            </m:oMathPara>
          </w:p>
        </w:tc>
        <w:tc>
          <w:tcPr>
            <w:tcW w:type="dxa" w:w="907"/>
            <w:vAlign w:val="center"/>
          </w:tcPr>
          <w:p>
            <w:pPr>
              <w:jc w:val="right"/>
            </w:pPr>
            <w:r>
              <w:t xml:space="preserve">(2)</w:t>
            </w:r>
          </w:p>
        </w:tc>
      </w:tr>
    </w:tbl>
    <w:p>
      <w:pPr>
        <w:pStyle w:val="BodyText"/>
      </w:pPr>
      <w:r>
        <w:t xml:space="preserve">where</w:t>
      </w:r>
      <w:r>
        <w:t xml:space="preserve"> </w:t>
      </w:r>
      <m:oMath>
        <m:sSub>
          <m:e>
            <m:r>
              <m:t>d</m:t>
            </m:r>
          </m:e>
          <m:sub>
            <m:r>
              <m:rPr>
                <m:sty m:val="p"/>
                <m:nor/>
              </m:rPr>
              <m:t>max</m:t>
            </m:r>
          </m:sub>
        </m:sSub>
      </m:oMath>
      <w:r>
        <w:t xml:space="preserve"> </w:t>
      </w:r>
      <w:r>
        <w:t xml:space="preserve">is the largest axle offset,</w:t>
      </w:r>
      <w:r>
        <w:t xml:space="preserve"> </w:t>
      </w:r>
      <m:oMath>
        <m:sSub>
          <m:e>
            <m:r>
              <m:t>P</m:t>
            </m:r>
          </m:e>
          <m:sub>
            <m:r>
              <m:rPr>
                <m:sty m:val="p"/>
                <m:nor/>
              </m:rPr>
              <m:t>tot</m:t>
            </m:r>
          </m:sub>
        </m:sSub>
      </m:oMath>
      <w:r>
        <w:t xml:space="preserve"> </w:t>
      </w:r>
      <w:r>
        <w:t xml:space="preserve">the total load and</w:t>
      </w:r>
      <w:r>
        <w:t xml:space="preserve"> </w:t>
      </w:r>
      <m:oMath>
        <m:sSub>
          <m:e>
            <m:r>
              <m:t>y</m:t>
            </m:r>
          </m:e>
          <m:sub>
            <m:r>
              <m:t>m</m:t>
            </m:r>
          </m:sub>
        </m:sSub>
        <m:d>
          <m:dPr>
            <m:begChr m:val="["/>
            <m:endChr m:val="]"/>
            <m:grow/>
          </m:dPr>
          <m:e>
            <m:sSub>
              <m:e>
                <m:r>
                  <m:t>q</m:t>
                </m:r>
              </m:e>
              <m:sub>
                <m:r>
                  <m:t>0</m:t>
                </m:r>
              </m:sub>
            </m:sSub>
          </m:e>
        </m:d>
      </m:oMath>
      <w:r>
        <w:t xml:space="preserve"> </w:t>
      </w:r>
      <w:r>
        <w:t xml:space="preserve">the response to a uniform load</w:t>
      </w:r>
      <w:r>
        <w:t xml:space="preserve"> </w:t>
      </w:r>
      <m:oMath>
        <m:sSub>
          <m:e>
            <m:r>
              <m:t>q</m:t>
            </m:r>
          </m:e>
          <m:sub>
            <m:r>
              <m:t>0</m:t>
            </m:r>
          </m:sub>
        </m:sSub>
      </m:oMath>
      <w:r>
        <w:t xml:space="preserve"> </w:t>
      </w:r>
      <w:r>
        <w:t xml:space="preserve">over the whole path. This is the classical influence-area identity (Ojio and Yamada, 2002; Ghali et al., 2017); the second equality,</w:t>
      </w:r>
      <w:r>
        <w:t xml:space="preserve"> </w:t>
      </w:r>
      <m:oMath>
        <m:sSub>
          <m:e>
            <m:r>
              <m:t>C</m:t>
            </m:r>
          </m:e>
          <m:sub>
            <m:r>
              <m:t>m</m:t>
            </m:r>
          </m:sub>
        </m:sSub>
        <m:r>
          <m:rPr>
            <m:sty m:val="p"/>
          </m:rPr>
          <m:t>=</m:t>
        </m:r>
        <m:sSub>
          <m:e>
            <m:r>
              <m:t>y</m:t>
            </m:r>
          </m:e>
          <m:sub>
            <m:r>
              <m:t>m</m:t>
            </m:r>
          </m:sub>
        </m:sSub>
        <m:d>
          <m:dPr>
            <m:begChr m:val="["/>
            <m:endChr m:val="]"/>
            <m:grow/>
          </m:dPr>
          <m:e>
            <m:sSub>
              <m:e>
                <m:r>
                  <m:t>q</m:t>
                </m:r>
              </m:e>
              <m:sub>
                <m:r>
                  <m:t>0</m:t>
                </m:r>
              </m:sub>
            </m:sSub>
          </m:e>
        </m:d>
        <m:r>
          <m:rPr>
            <m:sty m:val="p"/>
          </m:rPr>
          <m:t>/</m:t>
        </m:r>
        <m:sSub>
          <m:e>
            <m:r>
              <m:t>q</m:t>
            </m:r>
          </m:e>
          <m:sub>
            <m:r>
              <m:t>0</m:t>
            </m:r>
          </m:sub>
        </m:sSub>
      </m:oMath>
      <w:r>
        <w:t xml:space="preserve">, needs superposition only.</w:t>
      </w:r>
      <w:r>
        <w:t xml:space="preserve"> </w:t>
      </w:r>
      <m:oMath>
        <m:sSub>
          <m:e>
            <m:r>
              <m:t>C</m:t>
            </m:r>
          </m:e>
          <m:sub>
            <m:r>
              <m:t>m</m:t>
            </m:r>
          </m:sub>
        </m:sSub>
      </m:oMath>
      <w:r>
        <w:t xml:space="preserve"> </w:t>
      </w:r>
      <w:r>
        <w:t xml:space="preserve">is called the integral constant, or the constant, and a channel is blind where</w:t>
      </w:r>
      <w:r>
        <w:t xml:space="preserve"> </w:t>
      </w:r>
      <m:oMath>
        <m:sSub>
          <m:e>
            <m:r>
              <m:t>C</m:t>
            </m:r>
          </m:e>
          <m:sub>
            <m:r>
              <m:t>m</m:t>
            </m:r>
          </m:sub>
        </m:sSub>
        <m:r>
          <m:rPr>
            <m:sty m:val="p"/>
          </m:rPr>
          <m:t>=</m:t>
        </m:r>
        <m:r>
          <m:t>0</m:t>
        </m:r>
      </m:oMath>
      <w:r>
        <w:t xml:space="preserve">. A channel observes the total load where</w:t>
      </w:r>
      <w:r>
        <w:t xml:space="preserve"> </w:t>
      </w:r>
      <m:oMath>
        <m:sSub>
          <m:e>
            <m:r>
              <m:t>C</m:t>
            </m:r>
          </m:e>
          <m:sub>
            <m:r>
              <m:t>m</m:t>
            </m:r>
          </m:sub>
        </m:sSub>
        <m:r>
          <m:rPr>
            <m:sty m:val="p"/>
          </m:rPr>
          <m:t>≠</m:t>
        </m:r>
        <m:r>
          <m:t>0</m:t>
        </m:r>
      </m:oMath>
      <w:r>
        <w:t xml:space="preserve">, a scalar notion narrower than state-space observability. For a strain gauge at distance</w:t>
      </w:r>
      <w:r>
        <w:t xml:space="preserve"> </w:t>
      </w:r>
      <m:oMath>
        <m:sSub>
          <m:e>
            <m:r>
              <m:t>c</m:t>
            </m:r>
          </m:e>
          <m:sub>
            <m:r>
              <m:t>m</m:t>
            </m:r>
          </m:sub>
        </m:sSub>
      </m:oMath>
      <w:r>
        <w:t xml:space="preserve"> </w:t>
      </w:r>
      <w:r>
        <w:t xml:space="preserve">from the neutral axis of a section of rigidity</w:t>
      </w:r>
      <w:r>
        <w:t xml:space="preserve"> </w:t>
      </w:r>
      <m:oMath>
        <m:r>
          <m:t>E</m:t>
        </m:r>
        <m:sSub>
          <m:e>
            <m:r>
              <m:t>I</m:t>
            </m:r>
          </m:e>
          <m:sub>
            <m:r>
              <m:t>m</m:t>
            </m:r>
          </m:sub>
        </m:sSub>
      </m:oMath>
      <w:r>
        <w:t xml:space="preserve"> </w:t>
      </w:r>
      <w:r>
        <w:t xml:space="preserve">at</w:t>
      </w:r>
      <w:r>
        <w:t xml:space="preserve"> </w:t>
      </w:r>
      <m:oMath>
        <m:sSub>
          <m:e>
            <m:r>
              <m:t>x</m:t>
            </m:r>
          </m:e>
          <m:sub>
            <m:r>
              <m:t>m</m:t>
            </m:r>
          </m:sub>
        </m:sSub>
      </m:oMath>
      <w:r>
        <w:t xml:space="preserve">,</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sSub>
                  <m:e>
                    <m:r>
                      <m:t>C</m:t>
                    </m:r>
                  </m:e>
                  <m:sub>
                    <m:r>
                      <m:t>ε</m:t>
                    </m:r>
                  </m:sub>
                </m:sSub>
                <m:r>
                  <m:rPr>
                    <m:sty m:val="p"/>
                  </m:rPr>
                  <m:t>=</m:t>
                </m:r>
                <m:f>
                  <m:fPr>
                    <m:type m:val="bar"/>
                  </m:fPr>
                  <m:num>
                    <m:sSub>
                      <m:e>
                        <m:r>
                          <m:t>c</m:t>
                        </m:r>
                      </m:e>
                      <m:sub>
                        <m:r>
                          <m:t>m</m:t>
                        </m:r>
                      </m:sub>
                    </m:sSub>
                    <m:r>
                      <m:t> </m:t>
                    </m:r>
                    <m:sSub>
                      <m:e>
                        <m:r>
                          <m:t>M</m:t>
                        </m:r>
                      </m:e>
                      <m:sub>
                        <m:r>
                          <m:t>q</m:t>
                        </m:r>
                      </m:sub>
                    </m:sSub>
                    <m:d>
                      <m:dPr>
                        <m:begChr m:val="("/>
                        <m:endChr m:val=")"/>
                        <m:grow/>
                      </m:dPr>
                      <m:e>
                        <m:sSub>
                          <m:e>
                            <m:r>
                              <m:t>x</m:t>
                            </m:r>
                          </m:e>
                          <m:sub>
                            <m:r>
                              <m:t>m</m:t>
                            </m:r>
                          </m:sub>
                        </m:sSub>
                      </m:e>
                    </m:d>
                  </m:num>
                  <m:den>
                    <m:r>
                      <m:t>E</m:t>
                    </m:r>
                    <m:sSub>
                      <m:e>
                        <m:r>
                          <m:t>I</m:t>
                        </m:r>
                      </m:e>
                      <m:sub>
                        <m:r>
                          <m:t>m</m:t>
                        </m:r>
                      </m:sub>
                    </m:sSub>
                    <m:r>
                      <m:t> </m:t>
                    </m:r>
                    <m:sSub>
                      <m:e>
                        <m:r>
                          <m:t>q</m:t>
                        </m:r>
                      </m:e>
                      <m:sub>
                        <m:r>
                          <m:t>0</m:t>
                        </m:r>
                      </m:sub>
                    </m:sSub>
                  </m:den>
                </m:f>
                <m:r>
                  <m:rPr>
                    <m:sty m:val="p"/>
                  </m:rPr>
                  <m:t>.</m:t>
                </m:r>
              </m:oMath>
            </m:oMathPara>
          </w:p>
        </w:tc>
        <w:tc>
          <w:tcPr>
            <w:tcW w:type="dxa" w:w="907"/>
            <w:vAlign w:val="center"/>
          </w:tcPr>
          <w:p>
            <w:pPr>
              <w:jc w:val="right"/>
            </w:pPr>
            <w:r>
              <w:t xml:space="preserve">(3)</w:t>
            </w:r>
          </w:p>
        </w:tc>
      </w:tr>
    </w:tbl>
    <w:p>
      <w:pPr>
        <w:pStyle w:val="BodyText"/>
      </w:pPr>
      <w:r>
        <w:t xml:space="preserve">The section enters only as a gain, so a strain channel is blind exactly at the zeros of the uniform-load moment diagram</w:t>
      </w:r>
      <w:r>
        <w:t xml:space="preserve"> </w:t>
      </w:r>
      <m:oMath>
        <m:sSub>
          <m:e>
            <m:r>
              <m:t>M</m:t>
            </m:r>
          </m:e>
          <m:sub>
            <m:r>
              <m:t>q</m:t>
            </m:r>
          </m:sub>
        </m:sSub>
      </m:oMath>
      <w:r>
        <w:t xml:space="preserve">, for any</w:t>
      </w:r>
      <w:r>
        <w:t xml:space="preserve"> </w:t>
      </w:r>
      <m:oMath>
        <m:r>
          <m:t>E</m:t>
        </m:r>
        <m:r>
          <m:t>I</m:t>
        </m:r>
        <m:d>
          <m:dPr>
            <m:begChr m:val="("/>
            <m:endChr m:val=")"/>
            <m:grow/>
          </m:dPr>
          <m:e>
            <m:r>
              <m:t>x</m:t>
            </m:r>
          </m:e>
        </m:d>
      </m:oMath>
      <w:r>
        <w:t xml:space="preserve"> </w:t>
      </w:r>
      <w:r>
        <w:t xml:space="preserve">and any elastic supports. This is a beam-theory result for gauges that measure global bending, such as gauges on a girder flange or web; deck-soffit gauges also respond to local slab action (Section 4.2). The beam-property method (BPM) computes</w:t>
      </w:r>
      <w:r>
        <w:t xml:space="preserve"> </w:t>
      </w:r>
      <m:oMath>
        <m:r>
          <m:t>C</m:t>
        </m:r>
      </m:oMath>
      <w:r>
        <w:t xml:space="preserve"> </w:t>
      </w:r>
      <w:r>
        <w:t xml:space="preserve">from a structural model and returns the estimate</w:t>
      </w:r>
      <w:r>
        <w:t xml:space="preserve"> </w:t>
      </w:r>
      <m:oMath>
        <m:acc>
          <m:accPr>
            <m:chr m:val="̂"/>
          </m:accPr>
          <m:e>
            <m:r>
              <m:t>P</m:t>
            </m:r>
          </m:e>
        </m:acc>
        <m:r>
          <m:rPr>
            <m:sty m:val="p"/>
          </m:rPr>
          <m:t>=</m:t>
        </m:r>
        <m:r>
          <m:t>J</m:t>
        </m:r>
        <m:r>
          <m:rPr>
            <m:sty m:val="p"/>
          </m:rPr>
          <m:t>/</m:t>
        </m:r>
        <m:r>
          <m:t>C</m:t>
        </m:r>
      </m:oMath>
      <w:r>
        <w:t xml:space="preserve"> </w:t>
      </w:r>
      <w:r>
        <w:t xml:space="preserve">of</w:t>
      </w:r>
      <w:r>
        <w:t xml:space="preserve"> </w:t>
      </w:r>
      <m:oMath>
        <m:sSub>
          <m:e>
            <m:r>
              <m:t>P</m:t>
            </m:r>
          </m:e>
          <m:sub>
            <m:r>
              <m:rPr>
                <m:sty m:val="p"/>
                <m:nor/>
              </m:rPr>
              <m:t>tot</m:t>
            </m:r>
          </m:sub>
        </m:sSub>
      </m:oMath>
      <w:r>
        <w:t xml:space="preserve">; SLM takes the constant from a reference crossing of known weight</w:t>
      </w:r>
      <w:r>
        <w:t xml:space="preserve"> </w:t>
      </w:r>
      <m:oMath>
        <m:sSub>
          <m:e>
            <m:r>
              <m:t>P</m:t>
            </m:r>
          </m:e>
          <m:sub>
            <m:r>
              <m:t>0</m:t>
            </m:r>
          </m:sub>
        </m:sSub>
      </m:oMath>
      <w:r>
        <w:t xml:space="preserve"> </w:t>
      </w:r>
      <w:r>
        <w:t xml:space="preserve">and returns</w:t>
      </w:r>
      <w:r>
        <w:t xml:space="preserve"> </w:t>
      </w:r>
      <m:oMath>
        <m:sSub>
          <m:e>
            <m:r>
              <m:t>P</m:t>
            </m:r>
          </m:e>
          <m:sub>
            <m:r>
              <m:t>t</m:t>
            </m:r>
          </m:sub>
        </m:sSub>
        <m:r>
          <m:rPr>
            <m:sty m:val="p"/>
          </m:rPr>
          <m:t>=</m:t>
        </m:r>
        <m:sSub>
          <m:e>
            <m:r>
              <m:t>P</m:t>
            </m:r>
          </m:e>
          <m:sub>
            <m:r>
              <m:t>0</m:t>
            </m:r>
          </m:sub>
        </m:sSub>
        <m:sSub>
          <m:e>
            <m:r>
              <m:t>J</m:t>
            </m:r>
          </m:e>
          <m:sub>
            <m:r>
              <m:t>t</m:t>
            </m:r>
          </m:sub>
        </m:sSub>
        <m:r>
          <m:rPr>
            <m:sty m:val="p"/>
          </m:rPr>
          <m:t>/</m:t>
        </m:r>
        <m:sSub>
          <m:e>
            <m:r>
              <m:t>J</m:t>
            </m:r>
          </m:e>
          <m:sub>
            <m:r>
              <m:t>0</m:t>
            </m:r>
          </m:sub>
        </m:sSub>
      </m:oMath>
      <w:r>
        <w:t xml:space="preserve"> </w:t>
      </w:r>
      <w:r>
        <w:t xml:space="preserve">(Ojio and Yamada, 2002).</w:t>
      </w:r>
    </w:p>
    <w:p>
      <w:pPr>
        <w:pStyle w:val="BodyText"/>
      </w:pPr>
      <w:r>
        <w:t xml:space="preserve">Equation (2) assumes a linear, time-invariant structure, a quasi-static response, axles on the path on which</w:t>
      </w:r>
      <w:r>
        <w:t xml:space="preserve"> </w:t>
      </w:r>
      <m:oMath>
        <m:sSub>
          <m:e>
            <m:r>
              <m:t>η</m:t>
            </m:r>
          </m:e>
          <m:sub>
            <m:r>
              <m:t>m</m:t>
            </m:r>
          </m:sub>
        </m:sSub>
      </m:oMath>
      <w:r>
        <w:t xml:space="preserve"> </w:t>
      </w:r>
      <w:r>
        <w:t xml:space="preserve">is defined (so each lane has its own constant), a complete crossing and re-zeroing to the unloaded state; Sections 3 and 4 test these assumptions, and Section 6 discusses their limits. The complete crossing matters: truncating the record when the first axle leaves changes the rotation integral by up to 59 % on a two-span example (Supplementary Section S3).</w:t>
      </w:r>
    </w:p>
    <w:bookmarkEnd w:id="22"/>
    <w:bookmarkStart w:id="32" w:name="closed-form-blind-loci"/>
    <w:p>
      <w:pPr>
        <w:pStyle w:val="Heading3"/>
      </w:pPr>
      <w:r>
        <w:t xml:space="preserve">2.2. Closed-form blind loci</w:t>
      </w:r>
    </w:p>
    <w:p>
      <w:pPr>
        <w:pStyle w:val="FirstParagraph"/>
      </w:pPr>
      <w:r>
        <w:t xml:space="preserve">A channel is blind where its constant</w:t>
      </w:r>
      <w:r>
        <w:t xml:space="preserve"> </w:t>
      </w:r>
      <m:oMath>
        <m:r>
          <m:t>C</m:t>
        </m:r>
      </m:oMath>
      <w:r>
        <w:t xml:space="preserve"> </w:t>
      </w:r>
      <w:r>
        <w:t xml:space="preserve">vanishes and near-blind where its normalized indicator (Section 2.3) is below 0.2 in magnitude. For a prismatic span under a uniform load, every channel is determined by the two end moments, written as</w:t>
      </w:r>
      <w:r>
        <w:t xml:space="preserve"> </w:t>
      </w:r>
      <m:oMath>
        <m:acc>
          <m:accPr>
            <m:chr m:val="¯"/>
          </m:accPr>
          <m:e>
            <m:r>
              <m:t>M</m:t>
            </m:r>
          </m:e>
        </m:acc>
        <m:r>
          <m:rPr>
            <m:sty m:val="p"/>
          </m:rPr>
          <m:t>=</m:t>
        </m:r>
        <m:r>
          <m:rPr>
            <m:sty m:val="p"/>
          </m:rPr>
          <m:t>−</m:t>
        </m:r>
        <m:r>
          <m:t>8</m:t>
        </m:r>
        <m:r>
          <m:t>M</m:t>
        </m:r>
        <m:r>
          <m:rPr>
            <m:sty m:val="p"/>
          </m:rPr>
          <m:t>/</m:t>
        </m:r>
        <m:d>
          <m:dPr>
            <m:begChr m:val="("/>
            <m:endChr m:val=")"/>
            <m:grow/>
          </m:dPr>
          <m:e>
            <m:sSub>
              <m:e>
                <m:r>
                  <m:t>q</m:t>
                </m:r>
              </m:e>
              <m:sub>
                <m:r>
                  <m:t>0</m:t>
                </m:r>
              </m:sub>
            </m:sSub>
            <m:sSup>
              <m:e>
                <m:r>
                  <m:t>L</m:t>
                </m:r>
              </m:e>
              <m:sup>
                <m:r>
                  <m:t>2</m:t>
                </m:r>
              </m:sup>
            </m:sSup>
          </m:e>
        </m:d>
      </m:oMath>
      <w:r>
        <w:t xml:space="preserve">, positive for hogging:</w:t>
      </w:r>
      <w:r>
        <w:t xml:space="preserve"> </w:t>
      </w:r>
      <m:oMath>
        <m:sSub>
          <m:e>
            <m:acc>
              <m:accPr>
                <m:chr m:val="¯"/>
              </m:accPr>
              <m:e>
                <m:r>
                  <m:t>M</m:t>
                </m:r>
              </m:e>
            </m:acc>
          </m:e>
          <m:sub>
            <m:r>
              <m:t>l</m:t>
            </m:r>
          </m:sub>
        </m:sSub>
      </m:oMath>
      <w:r>
        <w:t xml:space="preserve"> </w:t>
      </w:r>
      <w:r>
        <w:t xml:space="preserve">at the left end and</w:t>
      </w:r>
      <w:r>
        <w:t xml:space="preserve"> </w:t>
      </w:r>
      <m:oMath>
        <m:sSub>
          <m:e>
            <m:acc>
              <m:accPr>
                <m:chr m:val="¯"/>
              </m:accPr>
              <m:e>
                <m:r>
                  <m:t>M</m:t>
                </m:r>
              </m:e>
            </m:acc>
          </m:e>
          <m:sub>
            <m:r>
              <m:t>r</m:t>
            </m:r>
          </m:sub>
        </m:sSub>
      </m:oMath>
      <w:r>
        <w:t xml:space="preserve"> </w:t>
      </w:r>
      <w:r>
        <w:t xml:space="preserve">at the right end. In the instrumented span of a two-span beam and in the side span of a symmetric three-span beam,</w:t>
      </w:r>
      <w:r>
        <w:t xml:space="preserve"> </w:t>
      </w:r>
      <m:oMath>
        <m:d>
          <m:dPr>
            <m:begChr m:val="("/>
            <m:endChr m:val=")"/>
            <m:grow/>
          </m:dPr>
          <m:e>
            <m:sSub>
              <m:e>
                <m:acc>
                  <m:accPr>
                    <m:chr m:val="¯"/>
                  </m:accPr>
                  <m:e>
                    <m:r>
                      <m:t>M</m:t>
                    </m:r>
                  </m:e>
                </m:acc>
              </m:e>
              <m:sub>
                <m:r>
                  <m:t>l</m:t>
                </m:r>
              </m:sub>
            </m:sSub>
            <m:r>
              <m:rPr>
                <m:sty m:val="p"/>
              </m:rPr>
              <m:t>,</m:t>
            </m:r>
            <m:sSub>
              <m:e>
                <m:acc>
                  <m:accPr>
                    <m:chr m:val="¯"/>
                  </m:accPr>
                  <m:e>
                    <m:r>
                      <m:t>M</m:t>
                    </m:r>
                  </m:e>
                </m:acc>
              </m:e>
              <m:sub>
                <m:r>
                  <m:t>r</m:t>
                </m:r>
              </m:sub>
            </m:sSub>
          </m:e>
        </m:d>
        <m:r>
          <m:rPr>
            <m:sty m:val="p"/>
          </m:rPr>
          <m:t>=</m:t>
        </m:r>
        <m:d>
          <m:dPr>
            <m:begChr m:val="("/>
            <m:endChr m:val=")"/>
            <m:grow/>
          </m:dPr>
          <m:e>
            <m:r>
              <m:t>0</m:t>
            </m:r>
            <m:r>
              <m:rPr>
                <m:sty m:val="p"/>
              </m:rPr>
              <m:t>,</m:t>
            </m:r>
            <m:r>
              <m:t>μ</m:t>
            </m:r>
          </m:e>
        </m:d>
      </m:oMath>
      <w:r>
        <w:t xml:space="preserve">, with the classical interior-moment parameter (Ghali et al., 2017)</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sSub>
                  <m:e>
                    <m:r>
                      <m:t>μ</m:t>
                    </m:r>
                  </m:e>
                  <m:sub>
                    <m:r>
                      <m:rPr>
                        <m:sty m:val="p"/>
                      </m:rPr>
                      <m:t>2</m:t>
                    </m:r>
                    <m:r>
                      <m:rPr>
                        <m:sty m:val="p"/>
                        <m:nor/>
                      </m:rPr>
                      <m:t>span</m:t>
                    </m:r>
                  </m:sub>
                </m:sSub>
                <m:r>
                  <m:rPr>
                    <m:sty m:val="p"/>
                  </m:rPr>
                  <m:t>=</m:t>
                </m:r>
                <m:f>
                  <m:fPr>
                    <m:type m:val="bar"/>
                  </m:fPr>
                  <m:num>
                    <m:r>
                      <m:t>1</m:t>
                    </m:r>
                    <m:r>
                      <m:rPr>
                        <m:sty m:val="p"/>
                      </m:rPr>
                      <m:t>+</m:t>
                    </m:r>
                    <m:sSup>
                      <m:e>
                        <m:r>
                          <m:t>λ</m:t>
                        </m:r>
                      </m:e>
                      <m:sup>
                        <m:r>
                          <m:t>3</m:t>
                        </m:r>
                      </m:sup>
                    </m:sSup>
                    <m:r>
                      <m:rPr>
                        <m:sty m:val="p"/>
                      </m:rPr>
                      <m:t>/</m:t>
                    </m:r>
                    <m:r>
                      <m:t>γ</m:t>
                    </m:r>
                  </m:num>
                  <m:den>
                    <m:r>
                      <m:t>1</m:t>
                    </m:r>
                    <m:r>
                      <m:rPr>
                        <m:sty m:val="p"/>
                      </m:rPr>
                      <m:t>+</m:t>
                    </m:r>
                    <m:r>
                      <m:t>λ</m:t>
                    </m:r>
                    <m:r>
                      <m:rPr>
                        <m:sty m:val="p"/>
                      </m:rPr>
                      <m:t>/</m:t>
                    </m:r>
                    <m:r>
                      <m:t>γ</m:t>
                    </m:r>
                  </m:den>
                </m:f>
                <m:r>
                  <m:rPr>
                    <m:sty m:val="p"/>
                  </m:rPr>
                  <m:t>,</m:t>
                </m:r>
                <m:r>
                  <m:t>  </m:t>
                </m:r>
                <m:sSub>
                  <m:e>
                    <m:r>
                      <m:t>μ</m:t>
                    </m:r>
                  </m:e>
                  <m:sub>
                    <m:r>
                      <m:rPr>
                        <m:sty m:val="p"/>
                      </m:rPr>
                      <m:t>3</m:t>
                    </m:r>
                    <m:r>
                      <m:rPr>
                        <m:sty m:val="p"/>
                        <m:nor/>
                      </m:rPr>
                      <m:t>span</m:t>
                    </m:r>
                  </m:sub>
                </m:sSub>
                <m:r>
                  <m:rPr>
                    <m:sty m:val="p"/>
                  </m:rPr>
                  <m:t>=</m:t>
                </m:r>
                <m:f>
                  <m:fPr>
                    <m:type m:val="bar"/>
                  </m:fPr>
                  <m:num>
                    <m:r>
                      <m:t>2</m:t>
                    </m:r>
                    <m:d>
                      <m:dPr>
                        <m:begChr m:val="("/>
                        <m:endChr m:val=")"/>
                        <m:grow/>
                      </m:dPr>
                      <m:e>
                        <m:r>
                          <m:t>γ</m:t>
                        </m:r>
                        <m:r>
                          <m:rPr>
                            <m:sty m:val="p"/>
                          </m:rPr>
                          <m:t>+</m:t>
                        </m:r>
                        <m:sSup>
                          <m:e>
                            <m:r>
                              <m:t>β</m:t>
                            </m:r>
                          </m:e>
                          <m:sup>
                            <m:r>
                              <m:t>3</m:t>
                            </m:r>
                          </m:sup>
                        </m:sSup>
                      </m:e>
                    </m:d>
                  </m:num>
                  <m:den>
                    <m:r>
                      <m:t>2</m:t>
                    </m:r>
                    <m:r>
                      <m:t>γ</m:t>
                    </m:r>
                    <m:r>
                      <m:rPr>
                        <m:sty m:val="p"/>
                      </m:rPr>
                      <m:t>+</m:t>
                    </m:r>
                    <m:r>
                      <m:t>3</m:t>
                    </m:r>
                    <m:r>
                      <m:t>β</m:t>
                    </m:r>
                  </m:den>
                </m:f>
                <m:r>
                  <m:rPr>
                    <m:sty m:val="p"/>
                  </m:rPr>
                  <m:t>.</m:t>
                </m:r>
              </m:oMath>
            </m:oMathPara>
          </w:p>
        </w:tc>
        <w:tc>
          <w:tcPr>
            <w:tcW w:type="dxa" w:w="907"/>
            <w:vAlign w:val="center"/>
          </w:tcPr>
          <w:p>
            <w:pPr>
              <w:jc w:val="right"/>
            </w:pPr>
            <w:r>
              <w:t xml:space="preserve">(4)</w:t>
            </w:r>
          </w:p>
        </w:tc>
      </w:tr>
    </w:tbl>
    <w:p>
      <w:pPr>
        <w:pStyle w:val="BodyText"/>
      </w:pPr>
      <w:r>
        <w:t xml:space="preserve">Here</w:t>
      </w:r>
      <w:r>
        <w:t xml:space="preserve"> </w:t>
      </w:r>
      <m:oMath>
        <m:r>
          <m:t>λ</m:t>
        </m:r>
        <m:r>
          <m:rPr>
            <m:sty m:val="p"/>
          </m:rPr>
          <m:t>=</m:t>
        </m:r>
        <m:sSub>
          <m:e>
            <m:r>
              <m:t>L</m:t>
            </m:r>
          </m:e>
          <m:sub>
            <m:r>
              <m:t>2</m:t>
            </m:r>
          </m:sub>
        </m:sSub>
        <m:r>
          <m:rPr>
            <m:sty m:val="p"/>
          </m:rPr>
          <m:t>/</m:t>
        </m:r>
        <m:sSub>
          <m:e>
            <m:r>
              <m:t>L</m:t>
            </m:r>
          </m:e>
          <m:sub>
            <m:r>
              <m:t>1</m:t>
            </m:r>
          </m:sub>
        </m:sSub>
      </m:oMath>
      <w:r>
        <w:t xml:space="preserve"> </w:t>
      </w:r>
      <w:r>
        <w:t xml:space="preserve">and</w:t>
      </w:r>
      <w:r>
        <w:t xml:space="preserve"> </w:t>
      </w:r>
      <m:oMath>
        <m:r>
          <m:t>β</m:t>
        </m:r>
        <m:r>
          <m:rPr>
            <m:sty m:val="p"/>
          </m:rPr>
          <m:t>=</m:t>
        </m:r>
        <m:sSub>
          <m:e>
            <m:r>
              <m:t>L</m:t>
            </m:r>
          </m:e>
          <m:sub>
            <m:r>
              <m:rPr>
                <m:sty m:val="p"/>
                <m:nor/>
              </m:rPr>
              <m:t>main</m:t>
            </m:r>
          </m:sub>
        </m:sSub>
        <m:r>
          <m:rPr>
            <m:sty m:val="p"/>
          </m:rPr>
          <m:t>/</m:t>
        </m:r>
        <m:sSub>
          <m:e>
            <m:r>
              <m:t>L</m:t>
            </m:r>
          </m:e>
          <m:sub>
            <m:r>
              <m:rPr>
                <m:sty m:val="p"/>
                <m:nor/>
              </m:rPr>
              <m:t>side</m:t>
            </m:r>
          </m:sub>
        </m:sSub>
      </m:oMath>
      <w:r>
        <w:t xml:space="preserve"> </w:t>
      </w:r>
      <w:r>
        <w:t xml:space="preserve">are the span ratios and</w:t>
      </w:r>
      <w:r>
        <w:t xml:space="preserve"> </w:t>
      </w:r>
      <m:oMath>
        <m:r>
          <m:t>γ</m:t>
        </m:r>
      </m:oMath>
      <w:r>
        <w:t xml:space="preserve"> </w:t>
      </w:r>
      <w:r>
        <w:t xml:space="preserve">is</w:t>
      </w:r>
      <w:r>
        <w:t xml:space="preserve"> </w:t>
      </w:r>
      <m:oMath>
        <m:r>
          <m:t>E</m:t>
        </m:r>
        <m:sSub>
          <m:e>
            <m:r>
              <m:t>I</m:t>
            </m:r>
          </m:e>
          <m:sub>
            <m:r>
              <m:t>2</m:t>
            </m:r>
          </m:sub>
        </m:sSub>
        <m:r>
          <m:rPr>
            <m:sty m:val="p"/>
          </m:rPr>
          <m:t>/</m:t>
        </m:r>
        <m:r>
          <m:t>E</m:t>
        </m:r>
        <m:sSub>
          <m:e>
            <m:r>
              <m:t>I</m:t>
            </m:r>
          </m:e>
          <m:sub>
            <m:r>
              <m:t>1</m:t>
            </m:r>
          </m:sub>
        </m:sSub>
      </m:oMath>
      <w:r>
        <w:t xml:space="preserve"> </w:t>
      </w:r>
      <w:r>
        <w:t xml:space="preserve">or</w:t>
      </w:r>
      <w:r>
        <w:t xml:space="preserve"> </w:t>
      </w:r>
      <m:oMath>
        <m:r>
          <m:t>E</m:t>
        </m:r>
        <m:sSub>
          <m:e>
            <m:r>
              <m:t>I</m:t>
            </m:r>
          </m:e>
          <m:sub>
            <m:r>
              <m:rPr>
                <m:sty m:val="p"/>
                <m:nor/>
              </m:rPr>
              <m:t>main</m:t>
            </m:r>
          </m:sub>
        </m:sSub>
        <m:r>
          <m:rPr>
            <m:sty m:val="p"/>
          </m:rPr>
          <m:t>/</m:t>
        </m:r>
        <m:r>
          <m:t>E</m:t>
        </m:r>
        <m:sSub>
          <m:e>
            <m:r>
              <m:t>I</m:t>
            </m:r>
          </m:e>
          <m:sub>
            <m:r>
              <m:rPr>
                <m:sty m:val="p"/>
                <m:nor/>
              </m:rPr>
              <m:t>side</m:t>
            </m:r>
          </m:sub>
        </m:sSub>
      </m:oMath>
      <w:r>
        <w:t xml:space="preserve"> </w:t>
      </w:r>
      <w:r>
        <w:t xml:space="preserve">(Fig. 1). The deflection constant at</w:t>
      </w:r>
      <w:r>
        <w:t xml:space="preserve"> </w:t>
      </w:r>
      <m:oMath>
        <m:r>
          <m:t>ξ</m:t>
        </m:r>
        <m:r>
          <m:rPr>
            <m:sty m:val="p"/>
          </m:rPr>
          <m:t>=</m:t>
        </m:r>
        <m:sSub>
          <m:e>
            <m:r>
              <m:t>x</m:t>
            </m:r>
          </m:e>
          <m:sub>
            <m:r>
              <m:t>m</m:t>
            </m:r>
          </m:sub>
        </m:sSub>
        <m:r>
          <m:rPr>
            <m:sty m:val="p"/>
          </m:rPr>
          <m:t>/</m:t>
        </m:r>
        <m:r>
          <m:t>L</m:t>
        </m:r>
      </m:oMath>
      <w:r>
        <w:t xml:space="preserve"> </w:t>
      </w:r>
      <w:r>
        <w:t xml:space="preserve">is</w:t>
      </w:r>
    </w:p>
    <w:p>
      <w:pPr>
        <w:pStyle w:val="Figure"/>
      </w:pPr>
      <w:r>
        <w:drawing>
          <wp:inline>
            <wp:extent cx="5039999" cy="2274268"/>
            <wp:effectExtent b="0" l="0" r="0" t="0"/>
            <wp:docPr descr="" title="" id="24" name="Picture"/>
            <a:graphic>
              <a:graphicData uri="http://schemas.openxmlformats.org/drawingml/2006/picture">
                <pic:pic>
                  <pic:nvPicPr>
                    <pic:cNvPr descr="/home/user/SHM-Paper1-1D/manuscript/ase/figures/Fig1_beams.png" id="25" name="Picture"/>
                    <pic:cNvPicPr>
                      <a:picLocks noChangeArrowheads="1" noChangeAspect="1"/>
                    </pic:cNvPicPr>
                  </pic:nvPicPr>
                  <pic:blipFill>
                    <a:blip r:embed="rId23"/>
                    <a:stretch>
                      <a:fillRect/>
                    </a:stretch>
                  </pic:blipFill>
                  <pic:spPr bwMode="auto">
                    <a:xfrm>
                      <a:off x="0" y="0"/>
                      <a:ext cx="5039999" cy="2274268"/>
                    </a:xfrm>
                    <a:prstGeom prst="rect">
                      <a:avLst/>
                    </a:prstGeom>
                    <a:noFill/>
                    <a:ln w="9525">
                      <a:noFill/>
                      <a:headEnd/>
                      <a:tailEnd/>
                    </a:ln>
                  </pic:spPr>
                </pic:pic>
              </a:graphicData>
            </a:graphic>
          </wp:inline>
        </w:drawing>
      </w:r>
    </w:p>
    <w:p>
      <w:pPr>
        <w:pStyle w:val="Captionjustified"/>
        <w:keepLines/>
      </w:pPr>
      <w:r>
        <w:rPr>
          <w:bCs/>
          <w:b/>
        </w:rPr>
        <w:t xml:space="preserve">Figure 1.</w:t>
      </w:r>
      <w:r>
        <w:t xml:space="preserve"> </w:t>
      </w:r>
      <w:r>
        <w:t xml:space="preserve">Continuous beams considered: (a) two-span beam with instrumented span</w:t>
      </w:r>
      <w:r>
        <w:t xml:space="preserve"> </w:t>
      </w:r>
      <m:oMath>
        <m:sSub>
          <m:e>
            <m:r>
              <m:t>L</m:t>
            </m:r>
          </m:e>
          <m:sub>
            <m:r>
              <m:t>1</m:t>
            </m:r>
          </m:sub>
        </m:sSub>
      </m:oMath>
      <w:r>
        <w:t xml:space="preserve"> </w:t>
      </w:r>
      <w:r>
        <w:t xml:space="preserve">of rigidity</w:t>
      </w:r>
      <w:r>
        <w:t xml:space="preserve"> </w:t>
      </w:r>
      <m:oMath>
        <m:r>
          <m:t>E</m:t>
        </m:r>
        <m:sSub>
          <m:e>
            <m:r>
              <m:t>I</m:t>
            </m:r>
          </m:e>
          <m:sub>
            <m:r>
              <m:t>1</m:t>
            </m:r>
          </m:sub>
        </m:sSub>
      </m:oMath>
      <w:r>
        <w:t xml:space="preserve">, adjacent span</w:t>
      </w:r>
      <w:r>
        <w:t xml:space="preserve"> </w:t>
      </w:r>
      <m:oMath>
        <m:sSub>
          <m:e>
            <m:r>
              <m:t>L</m:t>
            </m:r>
          </m:e>
          <m:sub>
            <m:r>
              <m:t>2</m:t>
            </m:r>
          </m:sub>
        </m:sSub>
        <m:r>
          <m:rPr>
            <m:sty m:val="p"/>
          </m:rPr>
          <m:t>=</m:t>
        </m:r>
        <m:r>
          <m:t>λ</m:t>
        </m:r>
        <m:sSub>
          <m:e>
            <m:r>
              <m:t>L</m:t>
            </m:r>
          </m:e>
          <m:sub>
            <m:r>
              <m:t>1</m:t>
            </m:r>
          </m:sub>
        </m:sSub>
      </m:oMath>
      <w:r>
        <w:t xml:space="preserve"> </w:t>
      </w:r>
      <w:r>
        <w:t xml:space="preserve">of rigidity</w:t>
      </w:r>
      <w:r>
        <w:t xml:space="preserve"> </w:t>
      </w:r>
      <m:oMath>
        <m:r>
          <m:t>E</m:t>
        </m:r>
        <m:sSub>
          <m:e>
            <m:r>
              <m:t>I</m:t>
            </m:r>
          </m:e>
          <m:sub>
            <m:r>
              <m:t>2</m:t>
            </m:r>
          </m:sub>
        </m:sSub>
        <m:r>
          <m:rPr>
            <m:sty m:val="p"/>
          </m:rPr>
          <m:t>=</m:t>
        </m:r>
        <m:r>
          <m:t>γ</m:t>
        </m:r>
        <m:r>
          <m:t>E</m:t>
        </m:r>
        <m:sSub>
          <m:e>
            <m:r>
              <m:t>I</m:t>
            </m:r>
          </m:e>
          <m:sub>
            <m:r>
              <m:t>1</m:t>
            </m:r>
          </m:sub>
        </m:sSub>
      </m:oMath>
      <w:r>
        <w:t xml:space="preserve">, and sensor at</w:t>
      </w:r>
      <w:r>
        <w:t xml:space="preserve"> </w:t>
      </w:r>
      <m:oMath>
        <m:r>
          <m:t>ξ</m:t>
        </m:r>
        <m:sSub>
          <m:e>
            <m:r>
              <m:t>L</m:t>
            </m:r>
          </m:e>
          <m:sub>
            <m:r>
              <m:t>1</m:t>
            </m:r>
          </m:sub>
        </m:sSub>
      </m:oMath>
      <w:r>
        <w:t xml:space="preserve">; (b) symmetric three-span beam with side spans</w:t>
      </w:r>
      <w:r>
        <w:t xml:space="preserve"> </w:t>
      </w:r>
      <m:oMath>
        <m:sSub>
          <m:e>
            <m:r>
              <m:t>L</m:t>
            </m:r>
          </m:e>
          <m:sub>
            <m:r>
              <m:rPr>
                <m:sty m:val="p"/>
                <m:nor/>
              </m:rPr>
              <m:t>side</m:t>
            </m:r>
          </m:sub>
        </m:sSub>
      </m:oMath>
      <w:r>
        <w:t xml:space="preserve"> </w:t>
      </w:r>
      <w:r>
        <w:t xml:space="preserve">of rigidity</w:t>
      </w:r>
      <w:r>
        <w:t xml:space="preserve"> </w:t>
      </w:r>
      <m:oMath>
        <m:r>
          <m:t>E</m:t>
        </m:r>
        <m:sSub>
          <m:e>
            <m:r>
              <m:t>I</m:t>
            </m:r>
          </m:e>
          <m:sub>
            <m:r>
              <m:rPr>
                <m:sty m:val="p"/>
                <m:nor/>
              </m:rPr>
              <m:t>side</m:t>
            </m:r>
          </m:sub>
        </m:sSub>
      </m:oMath>
      <w:r>
        <w:t xml:space="preserve">, main span</w:t>
      </w:r>
      <w:r>
        <w:t xml:space="preserve"> </w:t>
      </w:r>
      <m:oMath>
        <m:sSub>
          <m:e>
            <m:r>
              <m:t>L</m:t>
            </m:r>
          </m:e>
          <m:sub>
            <m:r>
              <m:rPr>
                <m:sty m:val="p"/>
                <m:nor/>
              </m:rPr>
              <m:t>main</m:t>
            </m:r>
          </m:sub>
        </m:sSub>
        <m:r>
          <m:rPr>
            <m:sty m:val="p"/>
          </m:rPr>
          <m:t>=</m:t>
        </m:r>
        <m:r>
          <m:t>β</m:t>
        </m:r>
        <m:sSub>
          <m:e>
            <m:r>
              <m:t>L</m:t>
            </m:r>
          </m:e>
          <m:sub>
            <m:r>
              <m:rPr>
                <m:sty m:val="p"/>
                <m:nor/>
              </m:rPr>
              <m:t>side</m:t>
            </m:r>
          </m:sub>
        </m:sSub>
      </m:oMath>
      <w:r>
        <w:t xml:space="preserve"> </w:t>
      </w:r>
      <w:r>
        <w:t xml:space="preserve">of rigidity</w:t>
      </w:r>
      <w:r>
        <w:t xml:space="preserve"> </w:t>
      </w:r>
      <m:oMath>
        <m:r>
          <m:t>E</m:t>
        </m:r>
        <m:sSub>
          <m:e>
            <m:r>
              <m:t>I</m:t>
            </m:r>
          </m:e>
          <m:sub>
            <m:r>
              <m:rPr>
                <m:sty m:val="p"/>
                <m:nor/>
              </m:rPr>
              <m:t>main</m:t>
            </m:r>
          </m:sub>
        </m:sSub>
        <m:r>
          <m:rPr>
            <m:sty m:val="p"/>
          </m:rPr>
          <m:t>=</m:t>
        </m:r>
        <m:r>
          <m:t>γ</m:t>
        </m:r>
        <m:r>
          <m:t>E</m:t>
        </m:r>
        <m:sSub>
          <m:e>
            <m:r>
              <m:t>I</m:t>
            </m:r>
          </m:e>
          <m:sub>
            <m:r>
              <m:rPr>
                <m:sty m:val="p"/>
                <m:nor/>
              </m:rPr>
              <m:t>side</m:t>
            </m:r>
          </m:sub>
        </m:sSub>
      </m:oMath>
      <w:r>
        <w:t xml:space="preserve">, and side-span sensor at</w:t>
      </w:r>
      <w:r>
        <w:t xml:space="preserve"> </w:t>
      </w:r>
      <m:oMath>
        <m:r>
          <m:t>ξ</m:t>
        </m:r>
        <m:sSub>
          <m:e>
            <m:r>
              <m:t>L</m:t>
            </m:r>
          </m:e>
          <m:sub>
            <m:r>
              <m:rPr>
                <m:sty m:val="p"/>
                <m:nor/>
              </m:rPr>
              <m:t>side</m:t>
            </m:r>
          </m:sub>
        </m:sSub>
      </m:oMath>
      <w:r>
        <w:t xml:space="preserve">.</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f>
                  <m:fPr>
                    <m:type m:val="bar"/>
                  </m:fPr>
                  <m:num>
                    <m:r>
                      <m:t>192</m:t>
                    </m:r>
                    <m:r>
                      <m:t>E</m:t>
                    </m:r>
                    <m:r>
                      <m:t>I</m:t>
                    </m:r>
                    <m:r>
                      <m:t> </m:t>
                    </m:r>
                    <m:sSub>
                      <m:e>
                        <m:r>
                          <m:t>C</m:t>
                        </m:r>
                      </m:e>
                      <m:sub>
                        <m:r>
                          <m:t>m</m:t>
                        </m:r>
                      </m:sub>
                    </m:sSub>
                  </m:num>
                  <m:den>
                    <m:sSup>
                      <m:e>
                        <m:r>
                          <m:t>L</m:t>
                        </m:r>
                      </m:e>
                      <m:sup>
                        <m:r>
                          <m:t>4</m:t>
                        </m:r>
                      </m:sup>
                    </m:sSup>
                  </m:den>
                </m:f>
                <m:r>
                  <m:rPr>
                    <m:sty m:val="p"/>
                  </m:rPr>
                  <m:t>=</m:t>
                </m:r>
                <m:r>
                  <m:t>8</m:t>
                </m:r>
                <m:r>
                  <m:t>F</m:t>
                </m:r>
                <m:d>
                  <m:dPr>
                    <m:begChr m:val="("/>
                    <m:endChr m:val=")"/>
                    <m:grow/>
                  </m:dPr>
                  <m:e>
                    <m:r>
                      <m:t>ξ</m:t>
                    </m:r>
                    <m:r>
                      <m:rPr>
                        <m:sty m:val="p"/>
                      </m:rPr>
                      <m:t>,</m:t>
                    </m:r>
                    <m:r>
                      <m:t>μ</m:t>
                    </m:r>
                  </m:e>
                </m:d>
                <m:r>
                  <m:rPr>
                    <m:sty m:val="p"/>
                  </m:rPr>
                  <m:t>,</m:t>
                </m:r>
                <m:r>
                  <m:t>  </m:t>
                </m:r>
                <m:r>
                  <m:t>F</m:t>
                </m:r>
                <m:d>
                  <m:dPr>
                    <m:begChr m:val="("/>
                    <m:endChr m:val=")"/>
                    <m:grow/>
                  </m:dPr>
                  <m:e>
                    <m:r>
                      <m:t>ξ</m:t>
                    </m:r>
                    <m:r>
                      <m:rPr>
                        <m:sty m:val="p"/>
                      </m:rPr>
                      <m:t>,</m:t>
                    </m:r>
                    <m:r>
                      <m:t>μ</m:t>
                    </m:r>
                  </m:e>
                </m:d>
                <m:r>
                  <m:rPr>
                    <m:sty m:val="p"/>
                  </m:rPr>
                  <m:t>=</m:t>
                </m:r>
                <m:r>
                  <m:t>ξ</m:t>
                </m:r>
                <m:d>
                  <m:dPr>
                    <m:begChr m:val="("/>
                    <m:endChr m:val=")"/>
                    <m:grow/>
                  </m:dPr>
                  <m:e>
                    <m:r>
                      <m:t>1</m:t>
                    </m:r>
                    <m:r>
                      <m:rPr>
                        <m:sty m:val="p"/>
                      </m:rPr>
                      <m:t>−</m:t>
                    </m:r>
                    <m:r>
                      <m:t>2</m:t>
                    </m:r>
                    <m:sSup>
                      <m:e>
                        <m:r>
                          <m:t>ξ</m:t>
                        </m:r>
                      </m:e>
                      <m:sup>
                        <m:r>
                          <m:t>2</m:t>
                        </m:r>
                      </m:sup>
                    </m:sSup>
                    <m:r>
                      <m:rPr>
                        <m:sty m:val="p"/>
                      </m:rPr>
                      <m:t>+</m:t>
                    </m:r>
                    <m:sSup>
                      <m:e>
                        <m:r>
                          <m:t>ξ</m:t>
                        </m:r>
                      </m:e>
                      <m:sup>
                        <m:r>
                          <m:t>3</m:t>
                        </m:r>
                      </m:sup>
                    </m:sSup>
                  </m:e>
                </m:d>
                <m:r>
                  <m:rPr>
                    <m:sty m:val="p"/>
                  </m:rPr>
                  <m:t>−</m:t>
                </m:r>
                <m:f>
                  <m:fPr>
                    <m:type m:val="bar"/>
                  </m:fPr>
                  <m:num>
                    <m:r>
                      <m:t>μ</m:t>
                    </m:r>
                  </m:num>
                  <m:den>
                    <m:r>
                      <m:t>2</m:t>
                    </m:r>
                  </m:den>
                </m:f>
                <m:r>
                  <m:t> </m:t>
                </m:r>
                <m:r>
                  <m:t>ξ</m:t>
                </m:r>
                <m:d>
                  <m:dPr>
                    <m:begChr m:val="("/>
                    <m:endChr m:val=")"/>
                    <m:grow/>
                  </m:dPr>
                  <m:e>
                    <m:r>
                      <m:t>1</m:t>
                    </m:r>
                    <m:r>
                      <m:rPr>
                        <m:sty m:val="p"/>
                      </m:rPr>
                      <m:t>−</m:t>
                    </m:r>
                    <m:sSup>
                      <m:e>
                        <m:r>
                          <m:t>ξ</m:t>
                        </m:r>
                      </m:e>
                      <m:sup>
                        <m:r>
                          <m:t>2</m:t>
                        </m:r>
                      </m:sup>
                    </m:sSup>
                  </m:e>
                </m:d>
                <m:r>
                  <m:rPr>
                    <m:sty m:val="p"/>
                  </m:rPr>
                  <m:t>.</m:t>
                </m:r>
              </m:oMath>
            </m:oMathPara>
          </w:p>
        </w:tc>
        <w:tc>
          <w:tcPr>
            <w:tcW w:type="dxa" w:w="907"/>
            <w:vAlign w:val="center"/>
          </w:tcPr>
          <w:p>
            <w:pPr>
              <w:jc w:val="right"/>
            </w:pPr>
            <w:r>
              <w:t xml:space="preserve">(5)</w:t>
            </w:r>
          </w:p>
        </w:tc>
      </w:tr>
    </w:tbl>
    <w:p>
      <w:pPr>
        <w:pStyle w:val="BodyText"/>
      </w:pPr>
      <w:r>
        <w:t xml:space="preserve">Its left-hand side is the deflection indicator</w:t>
      </w:r>
      <w:r>
        <w:t xml:space="preserve"> </w:t>
      </w:r>
      <m:oMath>
        <m:sSub>
          <m:e>
            <m:r>
              <m:t>N</m:t>
            </m:r>
          </m:e>
          <m:sub>
            <m:r>
              <m:t>w</m:t>
            </m:r>
          </m:sub>
        </m:sSub>
      </m:oMath>
      <w:r>
        <w:t xml:space="preserve"> </w:t>
      </w:r>
      <w:r>
        <w:t xml:space="preserve">of Eq. (8). Setting</w:t>
      </w:r>
      <w:r>
        <w:t xml:space="preserve"> </w:t>
      </w:r>
      <m:oMath>
        <m:r>
          <m:t>F</m:t>
        </m:r>
        <m:r>
          <m:rPr>
            <m:sty m:val="p"/>
          </m:rPr>
          <m:t>=</m:t>
        </m:r>
        <m:r>
          <m:t>0</m:t>
        </m:r>
      </m:oMath>
      <w:r>
        <w:t xml:space="preserve"> </w:t>
      </w:r>
      <w:r>
        <w:t xml:space="preserve">gives the deflection blind condition, which depends on</w:t>
      </w:r>
      <w:r>
        <w:t xml:space="preserve"> </w:t>
      </w:r>
      <m:oMath>
        <m:r>
          <m:t>μ</m:t>
        </m:r>
      </m:oMath>
      <w:r>
        <w:t xml:space="preserve"> </w:t>
      </w:r>
      <w:r>
        <w:t xml:space="preserve">alone:</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sSub>
                  <m:e>
                    <m:r>
                      <m:t>C</m:t>
                    </m:r>
                  </m:e>
                  <m:sub>
                    <m:r>
                      <m:t>m</m:t>
                    </m:r>
                  </m:sub>
                </m:sSub>
                <m:r>
                  <m:rPr>
                    <m:sty m:val="p"/>
                  </m:rPr>
                  <m:t>=</m:t>
                </m:r>
                <m:r>
                  <m:t>0</m:t>
                </m:r>
                <m:r>
                  <m:t> </m:t>
                </m:r>
                <m:r>
                  <m:rPr>
                    <m:sty m:val="p"/>
                  </m:rPr>
                  <m:t>⇔</m:t>
                </m:r>
                <m:r>
                  <m:t> </m:t>
                </m:r>
                <m:r>
                  <m:t>μ</m:t>
                </m:r>
                <m:r>
                  <m:rPr>
                    <m:sty m:val="p"/>
                  </m:rPr>
                  <m:t>=</m:t>
                </m:r>
                <m:sSub>
                  <m:e>
                    <m:r>
                      <m:t>μ</m:t>
                    </m:r>
                  </m:e>
                  <m:sub>
                    <m:r>
                      <m:rPr>
                        <m:sty m:val="p"/>
                        <m:nor/>
                      </m:rPr>
                      <m:t>crit</m:t>
                    </m:r>
                  </m:sub>
                </m:sSub>
                <m:d>
                  <m:dPr>
                    <m:begChr m:val="("/>
                    <m:endChr m:val=")"/>
                    <m:grow/>
                  </m:dPr>
                  <m:e>
                    <m:r>
                      <m:t>ξ</m:t>
                    </m:r>
                  </m:e>
                </m:d>
                <m:r>
                  <m:rPr>
                    <m:sty m:val="p"/>
                  </m:rPr>
                  <m:t>=</m:t>
                </m:r>
                <m:f>
                  <m:fPr>
                    <m:type m:val="bar"/>
                  </m:fPr>
                  <m:num>
                    <m:r>
                      <m:t>2</m:t>
                    </m:r>
                    <m:d>
                      <m:dPr>
                        <m:begChr m:val="("/>
                        <m:endChr m:val=")"/>
                        <m:grow/>
                      </m:dPr>
                      <m:e>
                        <m:r>
                          <m:t>1</m:t>
                        </m:r>
                        <m:r>
                          <m:rPr>
                            <m:sty m:val="p"/>
                          </m:rPr>
                          <m:t>+</m:t>
                        </m:r>
                        <m:r>
                          <m:t>ξ</m:t>
                        </m:r>
                        <m:r>
                          <m:rPr>
                            <m:sty m:val="p"/>
                          </m:rPr>
                          <m:t>−</m:t>
                        </m:r>
                        <m:sSup>
                          <m:e>
                            <m:r>
                              <m:t>ξ</m:t>
                            </m:r>
                          </m:e>
                          <m:sup>
                            <m:r>
                              <m:t>2</m:t>
                            </m:r>
                          </m:sup>
                        </m:sSup>
                      </m:e>
                    </m:d>
                  </m:num>
                  <m:den>
                    <m:r>
                      <m:t>1</m:t>
                    </m:r>
                    <m:r>
                      <m:rPr>
                        <m:sty m:val="p"/>
                      </m:rPr>
                      <m:t>+</m:t>
                    </m:r>
                    <m:r>
                      <m:t>ξ</m:t>
                    </m:r>
                  </m:den>
                </m:f>
                <m:r>
                  <m:rPr>
                    <m:sty m:val="p"/>
                  </m:rPr>
                  <m:t>.</m:t>
                </m:r>
              </m:oMath>
            </m:oMathPara>
          </w:p>
        </w:tc>
        <w:tc>
          <w:tcPr>
            <w:tcW w:type="dxa" w:w="907"/>
            <w:vAlign w:val="center"/>
          </w:tcPr>
          <w:p>
            <w:pPr>
              <w:jc w:val="right"/>
            </w:pPr>
            <w:r>
              <w:t xml:space="preserve">(6)</w:t>
            </w:r>
          </w:p>
        </w:tc>
      </w:tr>
    </w:tbl>
    <w:p>
      <w:pPr>
        <w:pStyle w:val="BodyText"/>
      </w:pPr>
      <w:r>
        <w:t xml:space="preserve">In design terms, an end-span deflection gauge is blind only if the interior support moment lies between its value for two equal spans (</w:t>
      </w:r>
      <m:oMath>
        <m:r>
          <m:t>μ</m:t>
        </m:r>
        <m:r>
          <m:rPr>
            <m:sty m:val="p"/>
          </m:rPr>
          <m:t>=</m:t>
        </m:r>
        <m:r>
          <m:t>1</m:t>
        </m:r>
      </m:oMath>
      <w:r>
        <w:t xml:space="preserve">) and twice that value, which needs a longer adjacent span (</w:t>
      </w:r>
      <m:oMath>
        <m:r>
          <m:t>λ</m:t>
        </m:r>
        <m:r>
          <m:rPr>
            <m:sty m:val="p"/>
          </m:rPr>
          <m:t>&gt;</m:t>
        </m:r>
        <m:r>
          <m:t>1</m:t>
        </m:r>
      </m:oMath>
      <w:r>
        <w:t xml:space="preserve">, or</w:t>
      </w:r>
      <w:r>
        <w:t xml:space="preserve"> </w:t>
      </w:r>
      <m:oMath>
        <m:sSup>
          <m:e>
            <m:r>
              <m:t>β</m:t>
            </m:r>
          </m:e>
          <m:sup>
            <m:r>
              <m:t>2</m:t>
            </m:r>
          </m:sup>
        </m:sSup>
        <m:r>
          <m:rPr>
            <m:sty m:val="p"/>
          </m:rPr>
          <m:t>&gt;</m:t>
        </m:r>
        <m:r>
          <m:t>3</m:t>
        </m:r>
        <m:r>
          <m:rPr>
            <m:sty m:val="p"/>
          </m:rPr>
          <m:t>/</m:t>
        </m:r>
        <m:r>
          <m:t>2</m:t>
        </m:r>
      </m:oMath>
      <w:r>
        <w:t xml:space="preserve">); on equal spans it cannot be blind. The main span of a symmetric three-span girder is the exception: with nearly equal spans it has deflection blind points, and with three equal spans</w:t>
      </w:r>
      <w:r>
        <w:t xml:space="preserve"> </w:t>
      </w:r>
      <m:oMath>
        <m:d>
          <m:dPr>
            <m:begChr m:val="|"/>
            <m:endChr m:val="|"/>
            <m:grow/>
          </m:dPr>
          <m:e>
            <m:sSub>
              <m:e>
                <m:r>
                  <m:t>N</m:t>
                </m:r>
              </m:e>
              <m:sub>
                <m:r>
                  <m:t>w</m:t>
                </m:r>
              </m:sub>
            </m:sSub>
          </m:e>
        </m:d>
        <m:r>
          <m:rPr>
            <m:sty m:val="p"/>
          </m:rPr>
          <m:t>≤</m:t>
        </m:r>
        <m:r>
          <m:t>0.10</m:t>
        </m:r>
      </m:oMath>
      <w:r>
        <w:t xml:space="preserve"> </w:t>
      </w:r>
      <w:r>
        <w:t xml:space="preserve">along the whole main span. Table 1 lists the blind span ratios (Fig. 2); Supplementary Section S2 gives their closed forms, the optimal gauge position and the near-blind bands (Eqs. (S1) and (S2), Tables S2 and S3). All closed forms agree with FE evaluations of Eq. (2) in 981 checks (Supplementary Section S3).</w:t>
      </w:r>
    </w:p>
    <w:p>
      <w:pPr>
        <w:pStyle w:val="Figure"/>
      </w:pPr>
      <w:r>
        <w:drawing>
          <wp:inline>
            <wp:extent cx="5039999" cy="2070388"/>
            <wp:effectExtent b="0" l="0" r="0" t="0"/>
            <wp:docPr descr="" title="" id="27" name="Picture"/>
            <a:graphic>
              <a:graphicData uri="http://schemas.openxmlformats.org/drawingml/2006/picture">
                <pic:pic>
                  <pic:nvPicPr>
                    <pic:cNvPr descr="/home/user/SHM-Paper1-1D/manuscript/ase/figures/Fig2_obs_map_3span.png" id="28" name="Picture"/>
                    <pic:cNvPicPr>
                      <a:picLocks noChangeArrowheads="1" noChangeAspect="1"/>
                    </pic:cNvPicPr>
                  </pic:nvPicPr>
                  <pic:blipFill>
                    <a:blip r:embed="rId26"/>
                    <a:stretch>
                      <a:fillRect/>
                    </a:stretch>
                  </pic:blipFill>
                  <pic:spPr bwMode="auto">
                    <a:xfrm>
                      <a:off x="0" y="0"/>
                      <a:ext cx="5039999" cy="2070388"/>
                    </a:xfrm>
                    <a:prstGeom prst="rect">
                      <a:avLst/>
                    </a:prstGeom>
                    <a:noFill/>
                    <a:ln w="9525">
                      <a:noFill/>
                      <a:headEnd/>
                      <a:tailEnd/>
                    </a:ln>
                  </pic:spPr>
                </pic:pic>
              </a:graphicData>
            </a:graphic>
          </wp:inline>
        </w:drawing>
      </w:r>
    </w:p>
    <w:p>
      <w:pPr>
        <w:pStyle w:val="Captionjustified"/>
        <w:keepLines/>
      </w:pPr>
      <w:r>
        <w:rPr>
          <w:bCs/>
          <w:b/>
        </w:rPr>
        <w:t xml:space="preserve">Figure 2.</w:t>
      </w:r>
      <w:r>
        <w:t xml:space="preserve"> </w:t>
      </w:r>
      <w:r>
        <w:t xml:space="preserve">Deflection observability of three-span beams of uniform rigidity: (a) symmetric beam,</w:t>
      </w:r>
      <w:r>
        <w:t xml:space="preserve"> </w:t>
      </w:r>
      <m:oMath>
        <m:sSub>
          <m:e>
            <m:r>
              <m:t>N</m:t>
            </m:r>
          </m:e>
          <m:sub>
            <m:r>
              <m:t>w</m:t>
            </m:r>
          </m:sub>
        </m:sSub>
      </m:oMath>
      <w:r>
        <w:t xml:space="preserve"> </w:t>
      </w:r>
      <w:r>
        <w:t xml:space="preserve">over</w:t>
      </w:r>
      <w:r>
        <w:t xml:space="preserve"> </w:t>
      </w:r>
      <m:oMath>
        <m:r>
          <m:t>β</m:t>
        </m:r>
      </m:oMath>
      <w:r>
        <w:t xml:space="preserve"> </w:t>
      </w:r>
      <w:r>
        <w:t xml:space="preserve">and side-span sensor position</w:t>
      </w:r>
      <w:r>
        <w:t xml:space="preserve"> </w:t>
      </w:r>
      <m:oMath>
        <m:r>
          <m:t>ξ</m:t>
        </m:r>
      </m:oMath>
      <w:r>
        <w:t xml:space="preserve">, with blind locus (thick line), near-blind band</w:t>
      </w:r>
      <w:r>
        <w:t xml:space="preserve"> </w:t>
      </w:r>
      <m:oMath>
        <m:d>
          <m:dPr>
            <m:begChr m:val="|"/>
            <m:endChr m:val="|"/>
            <m:grow/>
          </m:dPr>
          <m:e>
            <m:sSub>
              <m:e>
                <m:r>
                  <m:t>N</m:t>
                </m:r>
              </m:e>
              <m:sub>
                <m:r>
                  <m:t>w</m:t>
                </m:r>
              </m:sub>
            </m:sSub>
          </m:e>
        </m:d>
        <m:r>
          <m:rPr>
            <m:sty m:val="p"/>
          </m:rPr>
          <m:t>&lt;</m:t>
        </m:r>
        <m:r>
          <m:t>0.2</m:t>
        </m:r>
      </m:oMath>
      <w:r>
        <w:t xml:space="preserve"> </w:t>
      </w:r>
      <w:r>
        <w:t xml:space="preserve">(hatched), optimum</w:t>
      </w:r>
      <w:r>
        <w:t xml:space="preserve"> </w:t>
      </w:r>
      <m:oMath>
        <m:sSup>
          <m:e>
            <m:r>
              <m:t>ξ</m:t>
            </m:r>
          </m:e>
          <m:sup>
            <m:r>
              <m:rPr>
                <m:nor/>
              </m:rPr>
              <m:t>*</m:t>
            </m:r>
          </m:sup>
        </m:sSup>
        <m:d>
          <m:dPr>
            <m:begChr m:val="("/>
            <m:endChr m:val=")"/>
            <m:grow/>
          </m:dPr>
          <m:e>
            <m:r>
              <m:t>β</m:t>
            </m:r>
          </m:e>
        </m:d>
      </m:oMath>
      <w:r>
        <w:t xml:space="preserve"> </w:t>
      </w:r>
      <w:r>
        <w:t xml:space="preserve">of the positive indicator (dashed; the negative one near the pier is larger beyond</w:t>
      </w:r>
      <w:r>
        <w:t xml:space="preserve"> </w:t>
      </w:r>
      <m:oMath>
        <m:r>
          <m:t>β</m:t>
        </m:r>
        <m:r>
          <m:rPr>
            <m:sty m:val="p"/>
          </m:rPr>
          <m:t>=</m:t>
        </m:r>
        <m:r>
          <m:t>1.639</m:t>
        </m:r>
      </m:oMath>
      <w:r>
        <w:t xml:space="preserve">) and Mây Bridge proportions (open circle: mid side span; filled circle: N8 at 0.4</w:t>
      </w:r>
      <m:oMath>
        <m:r>
          <m:t>L</m:t>
        </m:r>
      </m:oMath>
      <w:r>
        <w:t xml:space="preserve">); (b) asymmetric beam, sensor at mid-span of span 1, over</w:t>
      </w:r>
      <w:r>
        <w:t xml:space="preserve"> </w:t>
      </w:r>
      <m:oMath>
        <m:sSub>
          <m:e>
            <m:r>
              <m:t>L</m:t>
            </m:r>
          </m:e>
          <m:sub>
            <m:r>
              <m:t>1</m:t>
            </m:r>
          </m:sub>
        </m:sSub>
        <m:r>
          <m:rPr>
            <m:sty m:val="p"/>
          </m:rPr>
          <m:t>/</m:t>
        </m:r>
        <m:sSub>
          <m:e>
            <m:r>
              <m:t>L</m:t>
            </m:r>
          </m:e>
          <m:sub>
            <m:r>
              <m:t>2</m:t>
            </m:r>
          </m:sub>
        </m:sSub>
      </m:oMath>
      <w:r>
        <w:t xml:space="preserve"> </w:t>
      </w:r>
      <w:r>
        <w:t xml:space="preserve">and</w:t>
      </w:r>
      <w:r>
        <w:t xml:space="preserve"> </w:t>
      </w:r>
      <m:oMath>
        <m:sSub>
          <m:e>
            <m:r>
              <m:t>L</m:t>
            </m:r>
          </m:e>
          <m:sub>
            <m:r>
              <m:t>3</m:t>
            </m:r>
          </m:sub>
        </m:sSub>
        <m:r>
          <m:rPr>
            <m:sty m:val="p"/>
          </m:rPr>
          <m:t>/</m:t>
        </m:r>
        <m:sSub>
          <m:e>
            <m:r>
              <m:t>L</m:t>
            </m:r>
          </m:e>
          <m:sub>
            <m:r>
              <m:t>2</m:t>
            </m:r>
          </m:sub>
        </m:sSub>
      </m:oMath>
      <w:r>
        <w:t xml:space="preserve">.</w:t>
      </w:r>
    </w:p>
    <w:p>
      <w:pPr>
        <w:pStyle w:val="BodyText"/>
      </w:pPr>
      <w:r>
        <w:t xml:space="preserve">For strain, with</w:t>
      </w:r>
      <w:r>
        <w:t xml:space="preserve"> </w:t>
      </w:r>
      <m:oMath>
        <m:d>
          <m:dPr>
            <m:begChr m:val="("/>
            <m:endChr m:val=")"/>
            <m:grow/>
          </m:dPr>
          <m:e>
            <m:sSub>
              <m:e>
                <m:acc>
                  <m:accPr>
                    <m:chr m:val="¯"/>
                  </m:accPr>
                  <m:e>
                    <m:r>
                      <m:t>M</m:t>
                    </m:r>
                  </m:e>
                </m:acc>
              </m:e>
              <m:sub>
                <m:r>
                  <m:t>l</m:t>
                </m:r>
              </m:sub>
            </m:sSub>
            <m:r>
              <m:rPr>
                <m:sty m:val="p"/>
              </m:rPr>
              <m:t>,</m:t>
            </m:r>
            <m:sSub>
              <m:e>
                <m:acc>
                  <m:accPr>
                    <m:chr m:val="¯"/>
                  </m:accPr>
                  <m:e>
                    <m:r>
                      <m:t>M</m:t>
                    </m:r>
                  </m:e>
                </m:acc>
              </m:e>
              <m:sub>
                <m:r>
                  <m:t>r</m:t>
                </m:r>
              </m:sub>
            </m:sSub>
          </m:e>
        </m:d>
        <m:r>
          <m:rPr>
            <m:sty m:val="p"/>
          </m:rPr>
          <m:t>=</m:t>
        </m:r>
        <m:d>
          <m:dPr>
            <m:begChr m:val="("/>
            <m:endChr m:val=")"/>
            <m:grow/>
          </m:dPr>
          <m:e>
            <m:r>
              <m:t>0</m:t>
            </m:r>
            <m:r>
              <m:rPr>
                <m:sty m:val="p"/>
              </m:rPr>
              <m:t>,</m:t>
            </m:r>
            <m:r>
              <m:t>μ</m:t>
            </m:r>
          </m:e>
        </m:d>
      </m:oMath>
      <w:r>
        <w:t xml:space="preserve">, the indicator and the blind point</w:t>
      </w:r>
      <w:r>
        <w:t xml:space="preserve"> </w:t>
      </w:r>
      <m:oMath>
        <m:sSub>
          <m:e>
            <m:r>
              <m:t>ξ</m:t>
            </m:r>
          </m:e>
          <m:sub>
            <m:r>
              <m:t>0</m:t>
            </m:r>
          </m:sub>
        </m:sSub>
      </m:oMath>
      <w:r>
        <w:t xml:space="preserve"> </w:t>
      </w:r>
      <w:r>
        <w:t xml:space="preserve">are</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sSub>
                  <m:e>
                    <m:r>
                      <m:t>N</m:t>
                    </m:r>
                  </m:e>
                  <m:sub>
                    <m:r>
                      <m:t>M</m:t>
                    </m:r>
                  </m:sub>
                </m:sSub>
                <m:r>
                  <m:rPr>
                    <m:sty m:val="p"/>
                  </m:rPr>
                  <m:t>=</m:t>
                </m:r>
                <m:f>
                  <m:fPr>
                    <m:type m:val="bar"/>
                  </m:fPr>
                  <m:num>
                    <m:r>
                      <m:t>8</m:t>
                    </m:r>
                    <m:sSub>
                      <m:e>
                        <m:r>
                          <m:t>M</m:t>
                        </m:r>
                      </m:e>
                      <m:sub>
                        <m:r>
                          <m:t>q</m:t>
                        </m:r>
                      </m:sub>
                    </m:sSub>
                    <m:d>
                      <m:dPr>
                        <m:begChr m:val="("/>
                        <m:endChr m:val=")"/>
                        <m:grow/>
                      </m:dPr>
                      <m:e>
                        <m:sSub>
                          <m:e>
                            <m:r>
                              <m:t>x</m:t>
                            </m:r>
                          </m:e>
                          <m:sub>
                            <m:r>
                              <m:t>m</m:t>
                            </m:r>
                          </m:sub>
                        </m:sSub>
                      </m:e>
                    </m:d>
                  </m:num>
                  <m:den>
                    <m:sSub>
                      <m:e>
                        <m:r>
                          <m:t>q</m:t>
                        </m:r>
                      </m:e>
                      <m:sub>
                        <m:r>
                          <m:t>0</m:t>
                        </m:r>
                      </m:sub>
                    </m:sSub>
                    <m:sSup>
                      <m:e>
                        <m:r>
                          <m:t>L</m:t>
                        </m:r>
                      </m:e>
                      <m:sup>
                        <m:r>
                          <m:t>2</m:t>
                        </m:r>
                      </m:sup>
                    </m:sSup>
                  </m:den>
                </m:f>
                <m:r>
                  <m:rPr>
                    <m:sty m:val="p"/>
                  </m:rPr>
                  <m:t>=</m:t>
                </m:r>
                <m:r>
                  <m:t>4</m:t>
                </m:r>
                <m:r>
                  <m:t>ξ</m:t>
                </m:r>
                <m:d>
                  <m:dPr>
                    <m:begChr m:val="("/>
                    <m:endChr m:val=")"/>
                    <m:grow/>
                  </m:dPr>
                  <m:e>
                    <m:r>
                      <m:t>1</m:t>
                    </m:r>
                    <m:r>
                      <m:rPr>
                        <m:sty m:val="p"/>
                      </m:rPr>
                      <m:t>−</m:t>
                    </m:r>
                    <m:r>
                      <m:t>ξ</m:t>
                    </m:r>
                  </m:e>
                </m:d>
                <m:r>
                  <m:rPr>
                    <m:sty m:val="p"/>
                  </m:rPr>
                  <m:t>−</m:t>
                </m:r>
                <m:sSub>
                  <m:e>
                    <m:acc>
                      <m:accPr>
                        <m:chr m:val="¯"/>
                      </m:accPr>
                      <m:e>
                        <m:r>
                          <m:t>M</m:t>
                        </m:r>
                      </m:e>
                    </m:acc>
                  </m:e>
                  <m:sub>
                    <m:r>
                      <m:t>l</m:t>
                    </m:r>
                  </m:sub>
                </m:sSub>
                <m:d>
                  <m:dPr>
                    <m:begChr m:val="("/>
                    <m:endChr m:val=")"/>
                    <m:grow/>
                  </m:dPr>
                  <m:e>
                    <m:r>
                      <m:t>1</m:t>
                    </m:r>
                    <m:r>
                      <m:rPr>
                        <m:sty m:val="p"/>
                      </m:rPr>
                      <m:t>−</m:t>
                    </m:r>
                    <m:r>
                      <m:t>ξ</m:t>
                    </m:r>
                  </m:e>
                </m:d>
                <m:r>
                  <m:rPr>
                    <m:sty m:val="p"/>
                  </m:rPr>
                  <m:t>−</m:t>
                </m:r>
                <m:sSub>
                  <m:e>
                    <m:acc>
                      <m:accPr>
                        <m:chr m:val="¯"/>
                      </m:accPr>
                      <m:e>
                        <m:r>
                          <m:t>M</m:t>
                        </m:r>
                      </m:e>
                    </m:acc>
                  </m:e>
                  <m:sub>
                    <m:r>
                      <m:t>r</m:t>
                    </m:r>
                  </m:sub>
                </m:sSub>
                <m:r>
                  <m:t>ξ</m:t>
                </m:r>
                <m:r>
                  <m:rPr>
                    <m:sty m:val="p"/>
                  </m:rPr>
                  <m:t>,</m:t>
                </m:r>
                <m:r>
                  <m:t>  </m:t>
                </m:r>
                <m:sSub>
                  <m:e>
                    <m:r>
                      <m:t>ξ</m:t>
                    </m:r>
                  </m:e>
                  <m:sub>
                    <m:r>
                      <m:t>0</m:t>
                    </m:r>
                  </m:sub>
                </m:sSub>
                <m:r>
                  <m:rPr>
                    <m:sty m:val="p"/>
                  </m:rPr>
                  <m:t>=</m:t>
                </m:r>
                <m:r>
                  <m:t>1</m:t>
                </m:r>
                <m:r>
                  <m:rPr>
                    <m:sty m:val="p"/>
                  </m:rPr>
                  <m:t>−</m:t>
                </m:r>
                <m:f>
                  <m:fPr>
                    <m:type m:val="bar"/>
                  </m:fPr>
                  <m:num>
                    <m:r>
                      <m:t>μ</m:t>
                    </m:r>
                  </m:num>
                  <m:den>
                    <m:r>
                      <m:t>4</m:t>
                    </m:r>
                  </m:den>
                </m:f>
                <m:r>
                  <m:rPr>
                    <m:sty m:val="p"/>
                  </m:rPr>
                  <m:t>.</m:t>
                </m:r>
              </m:oMath>
            </m:oMathPara>
          </w:p>
        </w:tc>
        <w:tc>
          <w:tcPr>
            <w:tcW w:type="dxa" w:w="907"/>
            <w:vAlign w:val="center"/>
          </w:tcPr>
          <w:p>
            <w:pPr>
              <w:jc w:val="right"/>
            </w:pPr>
            <w:r>
              <w:t xml:space="preserve">(7)</w:t>
            </w:r>
          </w:p>
        </w:tc>
      </w:tr>
    </w:tbl>
    <w:p>
      <w:pPr>
        <w:pStyle w:val="BodyText"/>
      </w:pPr>
      <w:r>
        <w:t xml:space="preserve">Strain blind points exist in every span that has a sagging zone (</w:t>
      </w:r>
      <m:oMath>
        <m:r>
          <m:t>μ</m:t>
        </m:r>
        <m:r>
          <m:rPr>
            <m:sty m:val="p"/>
          </m:rPr>
          <m:t>&lt;</m:t>
        </m:r>
        <m:r>
          <m:t>4</m:t>
        </m:r>
      </m:oMath>
      <w:r>
        <w:t xml:space="preserve">), so every continuous girder has them. For two equal spans,</w:t>
      </w:r>
      <w:r>
        <w:t xml:space="preserve"> </w:t>
      </w:r>
      <m:oMath>
        <m:sSub>
          <m:e>
            <m:r>
              <m:t>ξ</m:t>
            </m:r>
          </m:e>
          <m:sub>
            <m:r>
              <m:t>0</m:t>
            </m:r>
          </m:sub>
        </m:sSub>
        <m:r>
          <m:rPr>
            <m:sty m:val="p"/>
          </m:rPr>
          <m:t>=</m:t>
        </m:r>
        <m:r>
          <m:t>0.75</m:t>
        </m:r>
      </m:oMath>
      <w:r>
        <w:t xml:space="preserve"> </w:t>
      </w:r>
      <w:r>
        <w:t xml:space="preserve">and the near-blind band</w:t>
      </w:r>
      <w:r>
        <w:t xml:space="preserve"> </w:t>
      </w:r>
      <m:oMath>
        <m:d>
          <m:dPr>
            <m:begChr m:val="|"/>
            <m:endChr m:val="|"/>
            <m:grow/>
          </m:dPr>
          <m:e>
            <m:sSub>
              <m:e>
                <m:r>
                  <m:t>N</m:t>
                </m:r>
              </m:e>
              <m:sub>
                <m:r>
                  <m:t>M</m:t>
                </m:r>
              </m:sub>
            </m:sSub>
          </m:e>
        </m:d>
        <m:r>
          <m:rPr>
            <m:sty m:val="p"/>
          </m:rPr>
          <m:t>&lt;</m:t>
        </m:r>
        <m:r>
          <m:t>0.2</m:t>
        </m:r>
      </m:oMath>
      <w:r>
        <w:t xml:space="preserve"> </w:t>
      </w:r>
      <w:r>
        <w:t xml:space="preserve">lies 0.19–0.32 of the span from the interior support: a gauge at the support section is well conditioned (</w:t>
      </w:r>
      <m:oMath>
        <m:d>
          <m:dPr>
            <m:begChr m:val="|"/>
            <m:endChr m:val="|"/>
            <m:grow/>
          </m:dPr>
          <m:e>
            <m:sSub>
              <m:e>
                <m:r>
                  <m:t>N</m:t>
                </m:r>
              </m:e>
              <m:sub>
                <m:r>
                  <m:t>M</m:t>
                </m:r>
              </m:sub>
            </m:sSub>
          </m:e>
        </m:d>
        <m:r>
          <m:rPr>
            <m:sty m:val="p"/>
          </m:rPr>
          <m:t>=</m:t>
        </m:r>
        <m:r>
          <m:t>μ</m:t>
        </m:r>
      </m:oMath>
      <w:r>
        <w:t xml:space="preserve">), but one set back from the pier to clear the diaphragm can fall into the band. Figure 3 shows the indicators along two prismatic girders. The end-reaction indicator</w:t>
      </w:r>
      <w:r>
        <w:t xml:space="preserve"> </w:t>
      </w:r>
      <m:oMath>
        <m:sSub>
          <m:e>
            <m:r>
              <m:t>N</m:t>
            </m:r>
          </m:e>
          <m:sub>
            <m:r>
              <m:t>F</m:t>
            </m:r>
          </m:sub>
        </m:sSub>
        <m:r>
          <m:rPr>
            <m:sty m:val="p"/>
          </m:rPr>
          <m:t>=</m:t>
        </m:r>
        <m:r>
          <m:t>2</m:t>
        </m:r>
        <m:sSub>
          <m:e>
            <m:r>
              <m:t>F</m:t>
            </m:r>
          </m:e>
          <m:sub>
            <m:r>
              <m:t>A</m:t>
            </m:r>
          </m:sub>
        </m:sSub>
        <m:r>
          <m:rPr>
            <m:sty m:val="p"/>
          </m:rPr>
          <m:t>/</m:t>
        </m:r>
        <m:d>
          <m:dPr>
            <m:begChr m:val="("/>
            <m:endChr m:val=")"/>
            <m:grow/>
          </m:dPr>
          <m:e>
            <m:sSub>
              <m:e>
                <m:r>
                  <m:t>q</m:t>
                </m:r>
              </m:e>
              <m:sub>
                <m:r>
                  <m:t>0</m:t>
                </m:r>
              </m:sub>
            </m:sSub>
            <m:sSub>
              <m:e>
                <m:r>
                  <m:t>L</m:t>
                </m:r>
              </m:e>
              <m:sub>
                <m:r>
                  <m:t>1</m:t>
                </m:r>
              </m:sub>
            </m:sSub>
          </m:e>
        </m:d>
      </m:oMath>
      <w:r>
        <w:t xml:space="preserve">, with</w:t>
      </w:r>
      <w:r>
        <w:t xml:space="preserve"> </w:t>
      </w:r>
      <m:oMath>
        <m:sSub>
          <m:e>
            <m:r>
              <m:t>F</m:t>
            </m:r>
          </m:e>
          <m:sub>
            <m:r>
              <m:t>A</m:t>
            </m:r>
          </m:sub>
        </m:sSub>
      </m:oMath>
      <w:r>
        <w:t xml:space="preserve"> </w:t>
      </w:r>
      <w:r>
        <w:t xml:space="preserve">the end reaction, equals</w:t>
      </w:r>
      <w:r>
        <w:t xml:space="preserve"> </w:t>
      </w:r>
      <m:oMath>
        <m:sSub>
          <m:e>
            <m:r>
              <m:t>ξ</m:t>
            </m:r>
          </m:e>
          <m:sub>
            <m:r>
              <m:t>0</m:t>
            </m:r>
          </m:sub>
        </m:sSub>
      </m:oMath>
      <w:r>
        <w:t xml:space="preserve"> </w:t>
      </w:r>
      <w:r>
        <w:t xml:space="preserve">for any</w:t>
      </w:r>
      <w:r>
        <w:t xml:space="preserve"> </w:t>
      </w:r>
      <m:oMath>
        <m:r>
          <m:t>E</m:t>
        </m:r>
        <m:r>
          <m:t>I</m:t>
        </m:r>
        <m:d>
          <m:dPr>
            <m:begChr m:val="("/>
            <m:endChr m:val=")"/>
            <m:grow/>
          </m:dPr>
          <m:e>
            <m:r>
              <m:t>x</m:t>
            </m:r>
          </m:e>
        </m:d>
      </m:oMath>
      <w:r>
        <w:t xml:space="preserve"> </w:t>
      </w:r>
      <w:r>
        <w:t xml:space="preserve">and pier springs, because</w:t>
      </w:r>
      <w:r>
        <w:t xml:space="preserve"> </w:t>
      </w:r>
      <m:oMath>
        <m:sSub>
          <m:e>
            <m:r>
              <m:t>M</m:t>
            </m:r>
          </m:e>
          <m:sub>
            <m:r>
              <m:t>q</m:t>
            </m:r>
          </m:sub>
        </m:sSub>
        <m:r>
          <m:rPr>
            <m:sty m:val="p"/>
          </m:rPr>
          <m:t>=</m:t>
        </m:r>
        <m:sSub>
          <m:e>
            <m:r>
              <m:t>F</m:t>
            </m:r>
          </m:e>
          <m:sub>
            <m:r>
              <m:t>A</m:t>
            </m:r>
          </m:sub>
        </m:sSub>
        <m:r>
          <m:t>x</m:t>
        </m:r>
        <m:r>
          <m:rPr>
            <m:sty m:val="p"/>
          </m:rPr>
          <m:t>−</m:t>
        </m:r>
        <m:sSub>
          <m:e>
            <m:r>
              <m:t>q</m:t>
            </m:r>
          </m:e>
          <m:sub>
            <m:r>
              <m:t>0</m:t>
            </m:r>
          </m:sub>
        </m:sSub>
        <m:sSup>
          <m:e>
            <m:r>
              <m:t>x</m:t>
            </m:r>
          </m:e>
          <m:sup>
            <m:r>
              <m:t>2</m:t>
            </m:r>
          </m:sup>
        </m:sSup>
        <m:r>
          <m:rPr>
            <m:sty m:val="p"/>
          </m:rPr>
          <m:t>/</m:t>
        </m:r>
        <m:r>
          <m:t>2</m:t>
        </m:r>
      </m:oMath>
      <w:r>
        <w:t xml:space="preserve"> </w:t>
      </w:r>
      <w:r>
        <w:t xml:space="preserve">in the end segment.</w:t>
      </w:r>
    </w:p>
    <w:p>
      <w:pPr>
        <w:pStyle w:val="Figure"/>
      </w:pPr>
      <w:r>
        <w:drawing>
          <wp:inline>
            <wp:extent cx="5039999" cy="1858341"/>
            <wp:effectExtent b="0" l="0" r="0" t="0"/>
            <wp:docPr descr="" title="" id="30" name="Picture"/>
            <a:graphic>
              <a:graphicData uri="http://schemas.openxmlformats.org/drawingml/2006/picture">
                <pic:pic>
                  <pic:nvPicPr>
                    <pic:cNvPr descr="/home/user/SHM-Paper1-1D/manuscript/ase/figures/Fig3_channels_prismatic.png" id="31" name="Picture"/>
                    <pic:cNvPicPr>
                      <a:picLocks noChangeArrowheads="1" noChangeAspect="1"/>
                    </pic:cNvPicPr>
                  </pic:nvPicPr>
                  <pic:blipFill>
                    <a:blip r:embed="rId29"/>
                    <a:stretch>
                      <a:fillRect/>
                    </a:stretch>
                  </pic:blipFill>
                  <pic:spPr bwMode="auto">
                    <a:xfrm>
                      <a:off x="0" y="0"/>
                      <a:ext cx="5039999" cy="1858341"/>
                    </a:xfrm>
                    <a:prstGeom prst="rect">
                      <a:avLst/>
                    </a:prstGeom>
                    <a:noFill/>
                    <a:ln w="9525">
                      <a:noFill/>
                      <a:headEnd/>
                      <a:tailEnd/>
                    </a:ln>
                  </pic:spPr>
                </pic:pic>
              </a:graphicData>
            </a:graphic>
          </wp:inline>
        </w:drawing>
      </w:r>
    </w:p>
    <w:p>
      <w:pPr>
        <w:pStyle w:val="Captionjustified"/>
        <w:keepLines/>
      </w:pPr>
      <w:r>
        <w:rPr>
          <w:bCs/>
          <w:b/>
        </w:rPr>
        <w:t xml:space="preserve">Figure 3.</w:t>
      </w:r>
      <w:r>
        <w:t xml:space="preserve"> </w:t>
      </w:r>
      <w:r>
        <w:t xml:space="preserve">Indicators along prismatic girders: deflection</w:t>
      </w:r>
      <w:r>
        <w:t xml:space="preserve"> </w:t>
      </w:r>
      <m:oMath>
        <m:sSub>
          <m:e>
            <m:r>
              <m:t>N</m:t>
            </m:r>
          </m:e>
          <m:sub>
            <m:r>
              <m:t>w</m:t>
            </m:r>
          </m:sub>
        </m:sSub>
      </m:oMath>
      <w:r>
        <w:t xml:space="preserve"> </w:t>
      </w:r>
      <w:r>
        <w:t xml:space="preserve">(2.5 at a simply supported mid-span), rotation</w:t>
      </w:r>
      <w:r>
        <w:t xml:space="preserve"> </w:t>
      </w:r>
      <m:oMath>
        <m:sSub>
          <m:e>
            <m:r>
              <m:t>N</m:t>
            </m:r>
          </m:e>
          <m:sub>
            <m:r>
              <m:t>θ</m:t>
            </m:r>
          </m:sub>
        </m:sSub>
      </m:oMath>
      <w:r>
        <w:t xml:space="preserve">, strain</w:t>
      </w:r>
      <w:r>
        <w:t xml:space="preserve"> </w:t>
      </w:r>
      <m:oMath>
        <m:sSub>
          <m:e>
            <m:r>
              <m:t>N</m:t>
            </m:r>
          </m:e>
          <m:sub>
            <m:r>
              <m:t>M</m:t>
            </m:r>
          </m:sub>
        </m:sSub>
      </m:oMath>
      <w:r>
        <w:t xml:space="preserve"> </w:t>
      </w:r>
      <w:r>
        <w:t xml:space="preserve">and shear</w:t>
      </w:r>
      <w:r>
        <w:t xml:space="preserve"> </w:t>
      </w:r>
      <m:oMath>
        <m:sSub>
          <m:e>
            <m:r>
              <m:t>N</m:t>
            </m:r>
          </m:e>
          <m:sub>
            <m:r>
              <m:t>V</m:t>
            </m:r>
          </m:sub>
        </m:sSub>
      </m:oMath>
      <w:r>
        <w:t xml:space="preserve"> </w:t>
      </w:r>
      <w:r>
        <w:t xml:space="preserve">(1 for the simply supported reference). (a) Equal two-span beam; (b) symmetric three-span beam,</w:t>
      </w:r>
      <w:r>
        <w:t xml:space="preserve"> </w:t>
      </w:r>
      <m:oMath>
        <m:r>
          <m:t>β</m:t>
        </m:r>
        <m:r>
          <m:rPr>
            <m:sty m:val="p"/>
          </m:rPr>
          <m:t>=</m:t>
        </m:r>
        <m:r>
          <m:t>1.636</m:t>
        </m:r>
      </m:oMath>
      <w:r>
        <w:t xml:space="preserve">. Gray band:</w:t>
      </w:r>
      <w:r>
        <w:t xml:space="preserve"> </w:t>
      </w:r>
      <m:oMath>
        <m:d>
          <m:dPr>
            <m:begChr m:val="|"/>
            <m:endChr m:val="|"/>
            <m:grow/>
          </m:dPr>
          <m:e>
            <m:r>
              <m:t>N</m:t>
            </m:r>
          </m:e>
        </m:d>
        <m:r>
          <m:rPr>
            <m:sty m:val="p"/>
          </m:rPr>
          <m:t>&lt;</m:t>
        </m:r>
        <m:r>
          <m:t>0.2</m:t>
        </m:r>
      </m:oMath>
      <w:r>
        <w:t xml:space="preserve">. Each indicator is normalized by the span containing the sensor, so the steps of</w:t>
      </w:r>
      <w:r>
        <w:t xml:space="preserve"> </w:t>
      </w:r>
      <m:oMath>
        <m:sSub>
          <m:e>
            <m:r>
              <m:t>N</m:t>
            </m:r>
          </m:e>
          <m:sub>
            <m:r>
              <m:t>w</m:t>
            </m:r>
          </m:sub>
        </m:sSub>
      </m:oMath>
      <w:r>
        <w:t xml:space="preserve">,</w:t>
      </w:r>
      <w:r>
        <w:t xml:space="preserve"> </w:t>
      </w:r>
      <m:oMath>
        <m:sSub>
          <m:e>
            <m:r>
              <m:t>N</m:t>
            </m:r>
          </m:e>
          <m:sub>
            <m:r>
              <m:t>θ</m:t>
            </m:r>
          </m:sub>
        </m:sSub>
      </m:oMath>
      <w:r>
        <w:t xml:space="preserve"> </w:t>
      </w:r>
      <w:r>
        <w:t xml:space="preserve">and</w:t>
      </w:r>
      <w:r>
        <w:t xml:space="preserve"> </w:t>
      </w:r>
      <m:oMath>
        <m:sSub>
          <m:e>
            <m:r>
              <m:t>N</m:t>
            </m:r>
          </m:e>
          <m:sub>
            <m:r>
              <m:t>M</m:t>
            </m:r>
          </m:sub>
        </m:sSub>
      </m:oMath>
      <w:r>
        <w:t xml:space="preserve"> </w:t>
      </w:r>
      <w:r>
        <w:t xml:space="preserve">at the piers are changes of scale; the step of</w:t>
      </w:r>
      <w:r>
        <w:t xml:space="preserve"> </w:t>
      </w:r>
      <m:oMath>
        <m:sSub>
          <m:e>
            <m:r>
              <m:t>N</m:t>
            </m:r>
          </m:e>
          <m:sub>
            <m:r>
              <m:t>V</m:t>
            </m:r>
          </m:sub>
        </m:sSub>
      </m:oMath>
      <w:r>
        <w:t xml:space="preserve"> </w:t>
      </w:r>
      <w:r>
        <w:t xml:space="preserve">is the support reaction.</w:t>
      </w:r>
    </w:p>
    <w:p>
      <w:pPr>
        <w:pStyle w:val="BodyText"/>
        <w:keepNext/>
        <w:keepLines/>
      </w:pPr>
      <w:r>
        <w:rPr>
          <w:bCs/>
          <w:b/>
        </w:rPr>
        <w:t xml:space="preserve">Table 1.</w:t>
      </w:r>
      <w:r>
        <w:t xml:space="preserve"> </w:t>
      </w:r>
      <w:r>
        <w:t xml:space="preserve">Blind loci of response channels: positions or span ratios at which the constant</w:t>
      </w:r>
      <w:r>
        <w:t xml:space="preserve"> </w:t>
      </w:r>
      <m:oMath>
        <m:r>
          <m:t>C</m:t>
        </m:r>
      </m:oMath>
      <w:r>
        <w:t xml:space="preserve"> </w:t>
      </w:r>
      <w:r>
        <w:t xml:space="preserve">of Eq. (2) vanishes. Prismatic beams with</w:t>
      </w:r>
      <w:r>
        <w:t xml:space="preserve"> </w:t>
      </w:r>
      <m:oMath>
        <m:r>
          <m:t>γ</m:t>
        </m:r>
        <m:r>
          <m:rPr>
            <m:sty m:val="p"/>
          </m:rPr>
          <m:t>=</m:t>
        </m:r>
        <m:r>
          <m:t>1</m:t>
        </m:r>
      </m:oMath>
      <w:r>
        <w:t xml:space="preserve"> </w:t>
      </w:r>
      <w:r>
        <w:t xml:space="preserve">unless stated;</w:t>
      </w:r>
      <w:r>
        <w:t xml:space="preserve"> </w:t>
      </w:r>
      <m:oMath>
        <m:r>
          <m:t>μ</m:t>
        </m:r>
      </m:oMath>
      <w:r>
        <w:t xml:space="preserve"> </w:t>
      </w:r>
      <w:r>
        <w:t xml:space="preserve">from Eq. (4);</w:t>
      </w:r>
      <w:r>
        <w:t xml:space="preserve"> </w:t>
      </w:r>
      <m:oMath>
        <m:r>
          <m:t>ζ</m:t>
        </m:r>
      </m:oMath>
      <w:r>
        <w:t xml:space="preserve">: position in the main span from the pier, as a fraction of the main span.</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1971"/>
        <w:gridCol w:w="2366"/>
        <w:gridCol w:w="2366"/>
        <w:gridCol w:w="2366"/>
      </w:tblGrid>
      <w:tr>
        <w:trPr>
          <w:tblHeader w:val="true"/>
          <w:tblHeader w:val="true"/>
          <w:cantSplit/>
        </w:trPr>
        <w:tc>
          <w:tcPr>
            <w:tcW w:type="dxa" w:w="1971"/>
            <w:tcBorders>
              <w:top w:val="nil"/>
              <w:left w:val="nil"/>
              <w:bottom w:val="single" w:sz="6" w:space="0" w:color="000000"/>
              <w:right w:val="nil"/>
            </w:tcBorders>
          </w:tcPr>
          <w:p>
            <w:pPr>
              <w:keepNext/>
              <w:pStyle w:val="Compact"/>
              <w:jc w:val="left"/>
            </w:pPr>
            <w:r>
              <w:t xml:space="preserve">Channel</w:t>
            </w:r>
          </w:p>
        </w:tc>
        <w:tc>
          <w:tcPr>
            <w:tcW w:type="dxa" w:w="2366"/>
            <w:tcBorders>
              <w:top w:val="nil"/>
              <w:left w:val="nil"/>
              <w:bottom w:val="single" w:sz="6" w:space="0" w:color="000000"/>
              <w:right w:val="nil"/>
            </w:tcBorders>
          </w:tcPr>
          <w:p>
            <w:pPr>
              <w:keepNext/>
              <w:pStyle w:val="Compact"/>
              <w:jc w:val="left"/>
            </w:pPr>
            <w:r>
              <w:t xml:space="preserve">Blind where</w:t>
            </w:r>
          </w:p>
        </w:tc>
        <w:tc>
          <w:tcPr>
            <w:tcW w:type="dxa" w:w="2366"/>
            <w:tcBorders>
              <w:top w:val="nil"/>
              <w:left w:val="nil"/>
              <w:bottom w:val="single" w:sz="6" w:space="0" w:color="000000"/>
              <w:right w:val="nil"/>
            </w:tcBorders>
          </w:tcPr>
          <w:p>
            <w:pPr>
              <w:keepNext/>
              <w:pStyle w:val="Compact"/>
              <w:jc w:val="left"/>
            </w:pPr>
            <w:r>
              <w:t xml:space="preserve">Two-span beam (span 1)</w:t>
            </w:r>
          </w:p>
        </w:tc>
        <w:tc>
          <w:tcPr>
            <w:tcW w:type="dxa" w:w="2366"/>
            <w:tcBorders>
              <w:top w:val="nil"/>
              <w:left w:val="nil"/>
              <w:bottom w:val="single" w:sz="6" w:space="0" w:color="000000"/>
              <w:right w:val="nil"/>
            </w:tcBorders>
          </w:tcPr>
          <w:p>
            <w:pPr>
              <w:keepNext/>
              <w:pStyle w:val="Compact"/>
              <w:jc w:val="left"/>
            </w:pPr>
            <w:r>
              <w:t xml:space="preserve">Symmetric three-span beam</w:t>
            </w:r>
          </w:p>
        </w:tc>
      </w:tr>
      <w:tr>
        <w:trPr>
          <w:cantSplit/>
        </w:trPr>
        <w:tc>
          <w:tcPr>
            <w:tcW w:type="dxa" w:w="1971"/>
          </w:tcPr>
          <w:p>
            <w:pPr>
              <w:keepNext/>
              <w:pStyle w:val="Compact"/>
              <w:jc w:val="left"/>
            </w:pPr>
            <w:r>
              <w:t xml:space="preserve">Strain, moment, curvature</w:t>
            </w:r>
          </w:p>
        </w:tc>
        <w:tc>
          <w:tcPr>
            <w:tcW w:type="dxa" w:w="2366"/>
          </w:tcPr>
          <w:p>
            <w:pPr>
              <w:keepNext/>
              <w:pStyle w:val="Compact"/>
              <w:jc w:val="left"/>
            </w:pPr>
            <w:r>
              <w:t xml:space="preserve">zeros of</w:t>
            </w:r>
            <w:r>
              <w:t xml:space="preserve"> </w:t>
            </w:r>
            <m:oMath>
              <m:sSub>
                <m:e>
                  <m:r>
                    <m:t>M</m:t>
                  </m:r>
                </m:e>
                <m:sub>
                  <m:r>
                    <m:t>q</m:t>
                  </m:r>
                </m:sub>
              </m:sSub>
            </m:oMath>
          </w:p>
        </w:tc>
        <w:tc>
          <w:tcPr>
            <w:tcW w:type="dxa" w:w="2366"/>
          </w:tcPr>
          <w:p>
            <w:pPr>
              <w:keepNext/>
              <w:pStyle w:val="Compact"/>
              <w:jc w:val="left"/>
            </w:pPr>
            <m:oMath>
              <m:sSub>
                <m:e>
                  <m:r>
                    <m:t>ξ</m:t>
                  </m:r>
                </m:e>
                <m:sub>
                  <m:r>
                    <m:t>0</m:t>
                  </m:r>
                </m:sub>
              </m:sSub>
              <m:r>
                <m:rPr>
                  <m:sty m:val="p"/>
                </m:rPr>
                <m:t>=</m:t>
              </m:r>
              <m:r>
                <m:t>1</m:t>
              </m:r>
              <m:r>
                <m:rPr>
                  <m:sty m:val="p"/>
                </m:rPr>
                <m:t>−</m:t>
              </m:r>
              <m:r>
                <m:t>μ</m:t>
              </m:r>
              <m:r>
                <m:rPr>
                  <m:sty m:val="p"/>
                </m:rPr>
                <m:t>/</m:t>
              </m:r>
              <m:r>
                <m:t>4</m:t>
              </m:r>
            </m:oMath>
            <w:r>
              <w:t xml:space="preserve"> </w:t>
            </w:r>
            <w:r>
              <w:t xml:space="preserve">(0.75 at</w:t>
            </w:r>
            <w:r>
              <w:t xml:space="preserve"> </w:t>
            </w:r>
            <m:oMath>
              <m:r>
                <m:t>λ</m:t>
              </m:r>
              <m:r>
                <m:rPr>
                  <m:sty m:val="p"/>
                </m:rPr>
                <m:t>=</m:t>
              </m:r>
              <m:r>
                <m:t>1</m:t>
              </m:r>
            </m:oMath>
            <w:r>
              <w:t xml:space="preserve">); band</w:t>
            </w:r>
            <w:r>
              <w:t xml:space="preserve"> </w:t>
            </w:r>
            <m:oMath>
              <m:r>
                <m:t>0.676</m:t>
              </m:r>
              <m:r>
                <m:rPr>
                  <m:sty m:val="p"/>
                </m:rPr>
                <m:t>&lt;</m:t>
              </m:r>
              <m:r>
                <m:t>ξ</m:t>
              </m:r>
              <m:r>
                <m:rPr>
                  <m:sty m:val="p"/>
                </m:rPr>
                <m:t>&lt;</m:t>
              </m:r>
              <m:r>
                <m:t>0.812</m:t>
              </m:r>
            </m:oMath>
            <w:r>
              <w:t xml:space="preserve"> </w:t>
            </w:r>
            <w:r>
              <w:t xml:space="preserve">at</w:t>
            </w:r>
            <w:r>
              <w:t xml:space="preserve"> </w:t>
            </w:r>
            <m:oMath>
              <m:r>
                <m:t>λ</m:t>
              </m:r>
              <m:r>
                <m:rPr>
                  <m:sty m:val="p"/>
                </m:rPr>
                <m:t>=</m:t>
              </m:r>
              <m:r>
                <m:t>1</m:t>
              </m:r>
            </m:oMath>
          </w:p>
        </w:tc>
        <w:tc>
          <w:tcPr>
            <w:tcW w:type="dxa" w:w="2366"/>
          </w:tcPr>
          <w:p>
            <w:pPr>
              <w:keepNext/>
              <w:pStyle w:val="Compact"/>
              <w:jc w:val="left"/>
            </w:pPr>
            <w:r>
              <w:t xml:space="preserve">side:</w:t>
            </w:r>
            <w:r>
              <w:t xml:space="preserve"> </w:t>
            </w:r>
            <m:oMath>
              <m:sSub>
                <m:e>
                  <m:r>
                    <m:t>ξ</m:t>
                  </m:r>
                </m:e>
                <m:sub>
                  <m:r>
                    <m:t>0</m:t>
                  </m:r>
                </m:sub>
              </m:sSub>
              <m:r>
                <m:rPr>
                  <m:sty m:val="p"/>
                </m:rPr>
                <m:t>=</m:t>
              </m:r>
              <m:r>
                <m:t>1</m:t>
              </m:r>
              <m:r>
                <m:rPr>
                  <m:sty m:val="p"/>
                </m:rPr>
                <m:t>−</m:t>
              </m:r>
              <m:r>
                <m:t>μ</m:t>
              </m:r>
              <m:r>
                <m:rPr>
                  <m:sty m:val="p"/>
                </m:rPr>
                <m:t>/</m:t>
              </m:r>
              <m:r>
                <m:t>4</m:t>
              </m:r>
            </m:oMath>
            <w:r>
              <w:t xml:space="preserve">; main:</w:t>
            </w:r>
            <w:r>
              <w:t xml:space="preserve"> </w:t>
            </w:r>
            <m:oMath>
              <m:sSub>
                <m:e>
                  <m:r>
                    <m:t>ζ</m:t>
                  </m:r>
                </m:e>
                <m:sub>
                  <m:r>
                    <m:t>0</m:t>
                  </m:r>
                </m:sub>
              </m:sSub>
              <m:r>
                <m:rPr>
                  <m:sty m:val="p"/>
                </m:rPr>
                <m:t>=</m:t>
              </m:r>
              <m:d>
                <m:dPr>
                  <m:begChr m:val="("/>
                  <m:endChr m:val=")"/>
                  <m:grow/>
                </m:dPr>
                <m:e>
                  <m:r>
                    <m:t>1</m:t>
                  </m:r>
                  <m:r>
                    <m:rPr>
                      <m:sty m:val="p"/>
                    </m:rPr>
                    <m:t>−</m:t>
                  </m:r>
                  <m:rad>
                    <m:radPr>
                      <m:degHide m:val="on"/>
                    </m:radPr>
                    <m:deg/>
                    <m:e>
                      <m:r>
                        <m:t>1</m:t>
                      </m:r>
                      <m:r>
                        <m:rPr>
                          <m:sty m:val="p"/>
                        </m:rPr>
                        <m:t>−</m:t>
                      </m:r>
                      <m:r>
                        <m:t>μ</m:t>
                      </m:r>
                      <m:r>
                        <m:rPr>
                          <m:sty m:val="p"/>
                        </m:rPr>
                        <m:t>/</m:t>
                      </m:r>
                      <m:sSup>
                        <m:e>
                          <m:r>
                            <m:t>β</m:t>
                          </m:r>
                        </m:e>
                        <m:sup>
                          <m:r>
                            <m:t>2</m:t>
                          </m:r>
                        </m:sup>
                      </m:sSup>
                    </m:e>
                  </m:rad>
                </m:e>
              </m:d>
              <m:r>
                <m:rPr>
                  <m:sty m:val="p"/>
                </m:rPr>
                <m:t>/</m:t>
              </m:r>
              <m:r>
                <m:t>2</m:t>
              </m:r>
            </m:oMath>
            <w:r>
              <w:t xml:space="preserve"> </w:t>
            </w:r>
            <w:r>
              <w:t xml:space="preserve">from the pier (0.276 at</w:t>
            </w:r>
            <w:r>
              <w:t xml:space="preserve"> </w:t>
            </w:r>
            <m:oMath>
              <m:r>
                <m:t>β</m:t>
              </m:r>
              <m:r>
                <m:rPr>
                  <m:sty m:val="p"/>
                </m:rPr>
                <m:t>=</m:t>
              </m:r>
              <m:r>
                <m:t>1</m:t>
              </m:r>
            </m:oMath>
            <w:r>
              <w:t xml:space="preserve">)</w:t>
            </w:r>
          </w:p>
        </w:tc>
      </w:tr>
      <w:tr>
        <w:trPr>
          <w:cantSplit/>
        </w:trPr>
        <w:tc>
          <w:tcPr>
            <w:tcW w:type="dxa" w:w="1971"/>
          </w:tcPr>
          <w:p>
            <w:pPr>
              <w:keepNext/>
              <w:pStyle w:val="Compact"/>
              <w:jc w:val="left"/>
            </w:pPr>
            <w:r>
              <w:t xml:space="preserve">Deflection</w:t>
            </w:r>
          </w:p>
        </w:tc>
        <w:tc>
          <w:tcPr>
            <w:tcW w:type="dxa" w:w="2366"/>
          </w:tcPr>
          <w:p>
            <w:pPr>
              <w:keepNext/>
              <w:pStyle w:val="Compact"/>
              <w:jc w:val="left"/>
            </w:pPr>
            <w:r>
              <w:t xml:space="preserve">zeros of the uniform-load deflection</w:t>
            </w:r>
            <w:r>
              <w:t xml:space="preserve"> </w:t>
            </w:r>
            <m:oMath>
              <m:sSub>
                <m:e>
                  <m:r>
                    <m:t>w</m:t>
                  </m:r>
                </m:e>
                <m:sub>
                  <m:r>
                    <m:t>q</m:t>
                  </m:r>
                </m:sub>
              </m:sSub>
            </m:oMath>
          </w:p>
        </w:tc>
        <w:tc>
          <w:tcPr>
            <w:tcW w:type="dxa" w:w="2366"/>
          </w:tcPr>
          <w:p>
            <w:pPr>
              <w:keepNext/>
              <w:pStyle w:val="Compact"/>
              <w:jc w:val="left"/>
            </w:pPr>
            <m:oMath>
              <m:r>
                <m:t>μ</m:t>
              </m:r>
              <m:r>
                <m:rPr>
                  <m:sty m:val="p"/>
                </m:rPr>
                <m:t>=</m:t>
              </m:r>
              <m:sSub>
                <m:e>
                  <m:r>
                    <m:t>μ</m:t>
                  </m:r>
                </m:e>
                <m:sub>
                  <m:r>
                    <m:rPr>
                      <m:sty m:val="p"/>
                      <m:nor/>
                    </m:rPr>
                    <m:t>crit</m:t>
                  </m:r>
                </m:sub>
              </m:sSub>
              <m:d>
                <m:dPr>
                  <m:begChr m:val="("/>
                  <m:endChr m:val=")"/>
                  <m:grow/>
                </m:dPr>
                <m:e>
                  <m:r>
                    <m:t>ξ</m:t>
                  </m:r>
                </m:e>
              </m:d>
            </m:oMath>
            <w:r>
              <w:t xml:space="preserve">, only for</w:t>
            </w:r>
            <w:r>
              <w:t xml:space="preserve"> </w:t>
            </w:r>
            <m:oMath>
              <m:r>
                <m:t>1</m:t>
              </m:r>
              <m:r>
                <m:rPr>
                  <m:sty m:val="p"/>
                </m:rPr>
                <m:t>&lt;</m:t>
              </m:r>
              <m:r>
                <m:t>μ</m:t>
              </m:r>
              <m:r>
                <m:rPr>
                  <m:sty m:val="p"/>
                </m:rPr>
                <m:t>&lt;</m:t>
              </m:r>
              <m:r>
                <m:t>2</m:t>
              </m:r>
            </m:oMath>
            <w:r>
              <w:t xml:space="preserve">; mid-span:</w:t>
            </w:r>
            <w:r>
              <w:t xml:space="preserve"> </w:t>
            </w:r>
            <m:oMath>
              <m:r>
                <m:t>λ</m:t>
              </m:r>
              <m:r>
                <m:rPr>
                  <m:sty m:val="p"/>
                </m:rPr>
                <m:t>=</m:t>
              </m:r>
              <m:r>
                <m:t>1.4574</m:t>
              </m:r>
            </m:oMath>
            <w:r>
              <w:t xml:space="preserve">, band</w:t>
            </w:r>
            <w:r>
              <w:t xml:space="preserve"> </w:t>
            </w:r>
            <m:oMath>
              <m:r>
                <m:t>1.385</m:t>
              </m:r>
              <m:r>
                <m:rPr>
                  <m:sty m:val="p"/>
                </m:rPr>
                <m:t>&lt;</m:t>
              </m:r>
              <m:r>
                <m:t>λ</m:t>
              </m:r>
              <m:r>
                <m:rPr>
                  <m:sty m:val="p"/>
                </m:rPr>
                <m:t>&lt;</m:t>
              </m:r>
              <m:r>
                <m:t>1.525</m:t>
              </m:r>
            </m:oMath>
          </w:p>
        </w:tc>
        <w:tc>
          <w:tcPr>
            <w:tcW w:type="dxa" w:w="2366"/>
          </w:tcPr>
          <w:p>
            <w:pPr>
              <w:keepNext/>
              <w:pStyle w:val="Compact"/>
              <w:jc w:val="left"/>
            </w:pPr>
            <w:r>
              <w:t xml:space="preserve">mid side span:</w:t>
            </w:r>
            <w:r>
              <w:t xml:space="preserve"> </w:t>
            </w:r>
            <m:oMath>
              <m:r>
                <m:t>β</m:t>
              </m:r>
              <m:r>
                <m:rPr>
                  <m:sty m:val="p"/>
                </m:rPr>
                <m:t>=</m:t>
              </m:r>
              <m:r>
                <m:t>1.7006</m:t>
              </m:r>
            </m:oMath>
            <w:r>
              <w:t xml:space="preserve">, band</w:t>
            </w:r>
            <w:r>
              <w:t xml:space="preserve"> </w:t>
            </w:r>
            <m:oMath>
              <m:r>
                <m:t>1.621</m:t>
              </m:r>
              <m:r>
                <m:rPr>
                  <m:sty m:val="p"/>
                </m:rPr>
                <m:t>&lt;</m:t>
              </m:r>
              <m:r>
                <m:t>β</m:t>
              </m:r>
              <m:r>
                <m:rPr>
                  <m:sty m:val="p"/>
                </m:rPr>
                <m:t>&lt;</m:t>
              </m:r>
              <m:r>
                <m:t>1.775</m:t>
              </m:r>
            </m:oMath>
            <w:r>
              <w:t xml:space="preserve">; locus over all side-span positions ends at</w:t>
            </w:r>
            <w:r>
              <w:t xml:space="preserve"> </w:t>
            </w:r>
            <m:oMath>
              <m:r>
                <m:t>β</m:t>
              </m:r>
              <m:r>
                <m:rPr>
                  <m:sty m:val="p"/>
                </m:rPr>
                <m:t>=</m:t>
              </m:r>
              <m:r>
                <m:t>1.8794</m:t>
              </m:r>
            </m:oMath>
            <w:r>
              <w:t xml:space="preserve">; main span: blind for</w:t>
            </w:r>
            <w:r>
              <w:t xml:space="preserve"> </w:t>
            </w:r>
            <m:oMath>
              <m:r>
                <m:t>0.9647</m:t>
              </m:r>
              <m:r>
                <m:rPr>
                  <m:sty m:val="p"/>
                </m:rPr>
                <m:t>≤</m:t>
              </m:r>
              <m:r>
                <m:t>β</m:t>
              </m:r>
              <m:r>
                <m:rPr>
                  <m:sty m:val="p"/>
                </m:rPr>
                <m:t>&lt;</m:t>
              </m:r>
              <m:r>
                <m:t>1.2247</m:t>
              </m:r>
            </m:oMath>
            <w:r>
              <w:t xml:space="preserve"> </w:t>
            </w:r>
            <w:r>
              <w:t xml:space="preserve">(equal spans: 0.276 from each pier)</w:t>
            </w:r>
          </w:p>
        </w:tc>
      </w:tr>
      <w:tr>
        <w:trPr>
          <w:cantSplit/>
        </w:trPr>
        <w:tc>
          <w:tcPr>
            <w:tcW w:type="dxa" w:w="1971"/>
          </w:tcPr>
          <w:p>
            <w:pPr>
              <w:keepNext/>
              <w:pStyle w:val="Compact"/>
              <w:jc w:val="left"/>
            </w:pPr>
            <w:r>
              <w:t xml:space="preserve">Rotation</w:t>
            </w:r>
          </w:p>
        </w:tc>
        <w:tc>
          <w:tcPr>
            <w:tcW w:type="dxa" w:w="2366"/>
          </w:tcPr>
          <w:p>
            <w:pPr>
              <w:keepNext/>
              <w:pStyle w:val="Compact"/>
              <w:jc w:val="left"/>
            </w:pPr>
            <w:r>
              <w:t xml:space="preserve">extrema of</w:t>
            </w:r>
            <w:r>
              <w:t xml:space="preserve"> </w:t>
            </w:r>
            <m:oMath>
              <m:sSub>
                <m:e>
                  <m:r>
                    <m:t>w</m:t>
                  </m:r>
                </m:e>
                <m:sub>
                  <m:r>
                    <m:t>q</m:t>
                  </m:r>
                </m:sub>
              </m:sSub>
            </m:oMath>
          </w:p>
        </w:tc>
        <w:tc>
          <w:tcPr>
            <w:tcW w:type="dxa" w:w="2366"/>
          </w:tcPr>
          <w:p>
            <w:pPr>
              <w:keepNext/>
              <w:pStyle w:val="Compact"/>
              <w:jc w:val="left"/>
            </w:pPr>
            <w:r>
              <w:t xml:space="preserve">end:</w:t>
            </w:r>
            <w:r>
              <w:t xml:space="preserve"> </w:t>
            </w:r>
            <m:oMath>
              <m:r>
                <m:t>μ</m:t>
              </m:r>
              <m:r>
                <m:rPr>
                  <m:sty m:val="p"/>
                </m:rPr>
                <m:t>=</m:t>
              </m:r>
              <m:r>
                <m:t>2</m:t>
              </m:r>
            </m:oMath>
            <w:r>
              <w:t xml:space="preserve"> </w:t>
            </w:r>
            <w:r>
              <w:t xml:space="preserve">(</w:t>
            </w:r>
            <m:oMath>
              <m:r>
                <m:t>λ</m:t>
              </m:r>
              <m:r>
                <m:rPr>
                  <m:sty m:val="p"/>
                </m:rPr>
                <m:t>=</m:t>
              </m:r>
              <m:r>
                <m:t>1.6180</m:t>
              </m:r>
            </m:oMath>
            <w:r>
              <w:t xml:space="preserve">); pier:</w:t>
            </w:r>
            <w:r>
              <w:t xml:space="preserve"> </w:t>
            </w:r>
            <m:oMath>
              <m:r>
                <m:t>λ</m:t>
              </m:r>
              <m:r>
                <m:rPr>
                  <m:sty m:val="p"/>
                </m:rPr>
                <m:t>=</m:t>
              </m:r>
              <m:r>
                <m:t>1</m:t>
              </m:r>
            </m:oMath>
            <w:r>
              <w:t xml:space="preserve"> </w:t>
            </w:r>
            <w:r>
              <w:t xml:space="preserve">for any</w:t>
            </w:r>
            <w:r>
              <w:t xml:space="preserve"> </w:t>
            </w:r>
            <m:oMath>
              <m:r>
                <m:t>γ</m:t>
              </m:r>
            </m:oMath>
          </w:p>
        </w:tc>
        <w:tc>
          <w:tcPr>
            <w:tcW w:type="dxa" w:w="2366"/>
          </w:tcPr>
          <w:p>
            <w:pPr>
              <w:keepNext/>
              <w:pStyle w:val="Compact"/>
              <w:jc w:val="left"/>
            </w:pPr>
            <w:r>
              <w:t xml:space="preserve">end:</w:t>
            </w:r>
            <w:r>
              <w:t xml:space="preserve"> </w:t>
            </w:r>
            <m:oMath>
              <m:r>
                <m:t>β</m:t>
              </m:r>
              <m:r>
                <m:rPr>
                  <m:sty m:val="p"/>
                </m:rPr>
                <m:t>=</m:t>
              </m:r>
              <m:r>
                <m:t>2</m:t>
              </m:r>
              <m:r>
                <m:rPr>
                  <m:sty m:val="p"/>
                  <m:nor/>
                </m:rPr>
                <m:t>cos</m:t>
              </m:r>
              <m:d>
                <m:dPr>
                  <m:begChr m:val="("/>
                  <m:endChr m:val=")"/>
                  <m:grow/>
                </m:dPr>
                <m:e>
                  <m:r>
                    <m:t>π</m:t>
                  </m:r>
                  <m:r>
                    <m:rPr>
                      <m:sty m:val="p"/>
                    </m:rPr>
                    <m:t>/</m:t>
                  </m:r>
                  <m:r>
                    <m:t>9</m:t>
                  </m:r>
                </m:e>
              </m:d>
            </m:oMath>
            <w:r>
              <w:t xml:space="preserve">; pier:</w:t>
            </w:r>
            <w:r>
              <w:t xml:space="preserve"> </w:t>
            </w:r>
            <m:oMath>
              <m:r>
                <m:t>β</m:t>
              </m:r>
              <m:r>
                <m:rPr>
                  <m:sty m:val="p"/>
                </m:rPr>
                <m:t>=</m:t>
              </m:r>
              <m:rad>
                <m:radPr>
                  <m:degHide m:val="on"/>
                </m:radPr>
                <m:deg/>
                <m:e>
                  <m:r>
                    <m:t>3</m:t>
                  </m:r>
                  <m:r>
                    <m:rPr>
                      <m:sty m:val="p"/>
                    </m:rPr>
                    <m:t>/</m:t>
                  </m:r>
                  <m:r>
                    <m:t>2</m:t>
                  </m:r>
                </m:e>
              </m:rad>
            </m:oMath>
            <w:r>
              <w:t xml:space="preserve"> </w:t>
            </w:r>
            <w:r>
              <w:t xml:space="preserve">for any</w:t>
            </w:r>
            <w:r>
              <w:t xml:space="preserve"> </w:t>
            </w:r>
            <m:oMath>
              <m:r>
                <m:t>γ</m:t>
              </m:r>
            </m:oMath>
            <w:r>
              <w:t xml:space="preserve">; mid main span: always</w:t>
            </w:r>
          </w:p>
        </w:tc>
      </w:tr>
      <w:tr>
        <w:trPr>
          <w:cantSplit/>
        </w:trPr>
        <w:tc>
          <w:tcPr>
            <w:tcW w:type="dxa" w:w="1971"/>
          </w:tcPr>
          <w:p>
            <w:pPr>
              <w:keepNext/>
              <w:pStyle w:val="Compact"/>
              <w:jc w:val="left"/>
            </w:pPr>
            <w:r>
              <w:t xml:space="preserve">Shear</w:t>
            </w:r>
          </w:p>
        </w:tc>
        <w:tc>
          <w:tcPr>
            <w:tcW w:type="dxa" w:w="2366"/>
          </w:tcPr>
          <w:p>
            <w:pPr>
              <w:keepNext/>
              <w:pStyle w:val="Compact"/>
              <w:jc w:val="left"/>
            </w:pPr>
            <w:r>
              <w:t xml:space="preserve">maxima of</w:t>
            </w:r>
            <w:r>
              <w:t xml:space="preserve"> </w:t>
            </w:r>
            <m:oMath>
              <m:sSub>
                <m:e>
                  <m:r>
                    <m:t>M</m:t>
                  </m:r>
                </m:e>
                <m:sub>
                  <m:r>
                    <m:t>q</m:t>
                  </m:r>
                </m:sub>
              </m:sSub>
            </m:oMath>
          </w:p>
        </w:tc>
        <w:tc>
          <w:tcPr>
            <w:tcW w:type="dxa" w:w="2366"/>
          </w:tcPr>
          <w:p>
            <w:pPr>
              <w:keepNext/>
              <w:pStyle w:val="Compact"/>
              <w:jc w:val="left"/>
            </w:pPr>
            <m:oMath>
              <m:r>
                <m:t>ξ</m:t>
              </m:r>
              <m:r>
                <m:rPr>
                  <m:sty m:val="p"/>
                </m:rPr>
                <m:t>=</m:t>
              </m:r>
              <m:sSub>
                <m:e>
                  <m:r>
                    <m:t>ξ</m:t>
                  </m:r>
                </m:e>
                <m:sub>
                  <m:r>
                    <m:t>0</m:t>
                  </m:r>
                </m:sub>
              </m:sSub>
              <m:r>
                <m:rPr>
                  <m:sty m:val="p"/>
                </m:rPr>
                <m:t>/</m:t>
              </m:r>
              <m:r>
                <m:t>2</m:t>
              </m:r>
            </m:oMath>
          </w:p>
        </w:tc>
        <w:tc>
          <w:tcPr>
            <w:tcW w:type="dxa" w:w="2366"/>
          </w:tcPr>
          <w:p>
            <w:pPr>
              <w:keepNext/>
              <w:pStyle w:val="Compact"/>
              <w:jc w:val="left"/>
            </w:pPr>
            <w:r>
              <w:t xml:space="preserve">side:</w:t>
            </w:r>
            <w:r>
              <w:t xml:space="preserve"> </w:t>
            </w:r>
            <m:oMath>
              <m:sSub>
                <m:e>
                  <m:r>
                    <m:t>ξ</m:t>
                  </m:r>
                </m:e>
                <m:sub>
                  <m:r>
                    <m:t>0</m:t>
                  </m:r>
                </m:sub>
              </m:sSub>
              <m:r>
                <m:rPr>
                  <m:sty m:val="p"/>
                </m:rPr>
                <m:t>/</m:t>
              </m:r>
              <m:r>
                <m:t>2</m:t>
              </m:r>
            </m:oMath>
            <w:r>
              <w:t xml:space="preserve">; mid main span: always</w:t>
            </w:r>
          </w:p>
        </w:tc>
      </w:tr>
      <w:tr>
        <w:trPr>
          <w:cantSplit/>
        </w:trPr>
        <w:tc>
          <w:tcPr>
            <w:tcW w:type="dxa" w:w="1971"/>
          </w:tcPr>
          <w:p>
            <w:pPr>
              <w:keepNext/>
              <w:pStyle w:val="Compact"/>
              <w:jc w:val="left"/>
            </w:pPr>
            <w:r>
              <w:t xml:space="preserve">End reaction</w:t>
            </w:r>
          </w:p>
        </w:tc>
        <w:tc>
          <w:tcPr>
            <w:tcW w:type="dxa" w:w="2366"/>
          </w:tcPr>
          <w:p>
            <w:pPr>
              <w:keepNext/>
              <w:pStyle w:val="Compact"/>
              <w:jc w:val="left"/>
            </w:pPr>
            <w:r>
              <w:t xml:space="preserve">no sagging zone in the end span</w:t>
            </w:r>
          </w:p>
        </w:tc>
        <w:tc>
          <w:tcPr>
            <w:tcW w:type="dxa" w:w="2366"/>
          </w:tcPr>
          <w:p>
            <w:pPr>
              <w:keepNext/>
              <w:pStyle w:val="Compact"/>
              <w:jc w:val="left"/>
            </w:pPr>
            <m:oMath>
              <m:r>
                <m:t>μ</m:t>
              </m:r>
              <m:r>
                <m:rPr>
                  <m:sty m:val="p"/>
                </m:rPr>
                <m:t>=</m:t>
              </m:r>
              <m:r>
                <m:t>4</m:t>
              </m:r>
            </m:oMath>
            <w:r>
              <w:t xml:space="preserve"> </w:t>
            </w:r>
            <w:r>
              <w:t xml:space="preserve">(</w:t>
            </w:r>
            <m:oMath>
              <m:r>
                <m:t>λ</m:t>
              </m:r>
              <m:r>
                <m:rPr>
                  <m:sty m:val="p"/>
                </m:rPr>
                <m:t>=</m:t>
              </m:r>
              <m:r>
                <m:t>2.3028</m:t>
              </m:r>
            </m:oMath>
            <w:r>
              <w:t xml:space="preserve">)</w:t>
            </w:r>
          </w:p>
        </w:tc>
        <w:tc>
          <w:tcPr>
            <w:tcW w:type="dxa" w:w="2366"/>
          </w:tcPr>
          <w:p>
            <w:pPr>
              <w:keepNext/>
              <w:pStyle w:val="Compact"/>
              <w:jc w:val="left"/>
            </w:pPr>
            <m:oMath>
              <m:r>
                <m:t>μ</m:t>
              </m:r>
              <m:r>
                <m:rPr>
                  <m:sty m:val="p"/>
                </m:rPr>
                <m:t>=</m:t>
              </m:r>
              <m:r>
                <m:t>4</m:t>
              </m:r>
            </m:oMath>
            <w:r>
              <w:t xml:space="preserve"> </w:t>
            </w:r>
            <w:r>
              <w:t xml:space="preserve">(</w:t>
            </w:r>
            <m:oMath>
              <m:r>
                <m:t>β</m:t>
              </m:r>
              <m:r>
                <m:rPr>
                  <m:sty m:val="p"/>
                </m:rPr>
                <m:t>=</m:t>
              </m:r>
              <m:r>
                <m:t>2.6691</m:t>
              </m:r>
            </m:oMath>
            <w:r>
              <w:t xml:space="preserve">)</w:t>
            </w:r>
          </w:p>
        </w:tc>
      </w:tr>
      <w:tr>
        <w:trPr>
          <w:cantSplit/>
        </w:trPr>
        <w:tc>
          <w:tcPr>
            <w:tcW w:type="dxa" w:w="1971"/>
          </w:tcPr>
          <w:p>
            <w:pPr>
              <w:pStyle w:val="Compact"/>
              <w:jc w:val="left"/>
            </w:pPr>
            <w:r>
              <w:t xml:space="preserve">Interior reaction</w:t>
            </w:r>
          </w:p>
        </w:tc>
        <w:tc>
          <w:tcPr>
            <w:tcW w:type="dxa" w:w="2366"/>
          </w:tcPr>
          <w:p>
            <w:pPr>
              <w:pStyle w:val="Compact"/>
              <w:jc w:val="left"/>
            </w:pPr>
            <w:r>
              <w:t xml:space="preserve">never under a full uniform load</w:t>
            </w:r>
          </w:p>
        </w:tc>
        <w:tc>
          <w:tcPr>
            <w:tcW w:type="dxa" w:w="2366"/>
          </w:tcPr>
          <w:p>
            <w:pPr>
              <w:pStyle w:val="Compact"/>
              <w:jc w:val="left"/>
            </w:pPr>
            <w:r>
              <w:t xml:space="preserve">–</w:t>
            </w:r>
          </w:p>
        </w:tc>
        <w:tc>
          <w:tcPr>
            <w:tcW w:type="dxa" w:w="2366"/>
          </w:tcPr>
          <w:p>
            <w:pPr>
              <w:pStyle w:val="Compact"/>
              <w:jc w:val="left"/>
            </w:pPr>
            <w:r>
              <w:t xml:space="preserve">–</w:t>
            </w:r>
          </w:p>
        </w:tc>
      </w:tr>
    </w:tbl>
    <w:bookmarkEnd w:id="32"/>
    <w:bookmarkStart w:id="33" w:name="X147ae1bcccdadb73d61657875ab13c374bcd18f"/>
    <w:p>
      <w:pPr>
        <w:pStyle w:val="Heading3"/>
      </w:pPr>
      <w:r>
        <w:t xml:space="preserve">2.3. Observability and conditioning indicators</w:t>
      </w:r>
    </w:p>
    <w:p>
      <w:pPr>
        <w:pStyle w:val="FirstParagraph"/>
      </w:pPr>
      <w:r>
        <w:t xml:space="preserve">Every estimator below divides by</w:t>
      </w:r>
      <w:r>
        <w:t xml:space="preserve"> </w:t>
      </w:r>
      <m:oMath>
        <m:r>
          <m:t>C</m:t>
        </m:r>
      </m:oMath>
      <w:r>
        <w:t xml:space="preserve">, so to first order the sensitivity to measurement error scales as</w:t>
      </w:r>
      <w:r>
        <w:t xml:space="preserve"> </w:t>
      </w:r>
      <m:oMath>
        <m:r>
          <m:t>1</m:t>
        </m:r>
        <m:r>
          <m:rPr>
            <m:sty m:val="p"/>
          </m:rPr>
          <m:t>/</m:t>
        </m:r>
        <m:d>
          <m:dPr>
            <m:begChr m:val="|"/>
            <m:endChr m:val="|"/>
            <m:grow/>
          </m:dPr>
          <m:e>
            <m:r>
              <m:t>C</m:t>
            </m:r>
          </m:e>
        </m:d>
      </m:oMath>
      <w:r>
        <w:t xml:space="preserve">. For a deflection channel the normalized indicator is</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sSub>
                  <m:e>
                    <m:r>
                      <m:t>N</m:t>
                    </m:r>
                  </m:e>
                  <m:sub>
                    <m:r>
                      <m:t>w</m:t>
                    </m:r>
                  </m:sub>
                </m:sSub>
                <m:r>
                  <m:rPr>
                    <m:sty m:val="p"/>
                  </m:rPr>
                  <m:t>=</m:t>
                </m:r>
                <m:f>
                  <m:fPr>
                    <m:type m:val="bar"/>
                  </m:fPr>
                  <m:num>
                    <m:r>
                      <m:t>192</m:t>
                    </m:r>
                    <m:r>
                      <m:t>E</m:t>
                    </m:r>
                    <m:sSub>
                      <m:e>
                        <m:r>
                          <m:t>I</m:t>
                        </m:r>
                      </m:e>
                      <m:sub>
                        <m:r>
                          <m:rPr>
                            <m:sty m:val="p"/>
                            <m:nor/>
                          </m:rPr>
                          <m:t>ref</m:t>
                        </m:r>
                      </m:sub>
                    </m:sSub>
                    <m:r>
                      <m:t> </m:t>
                    </m:r>
                    <m:sSub>
                      <m:e>
                        <m:r>
                          <m:t>C</m:t>
                        </m:r>
                      </m:e>
                      <m:sub>
                        <m:r>
                          <m:t>m</m:t>
                        </m:r>
                      </m:sub>
                    </m:sSub>
                  </m:num>
                  <m:den>
                    <m:sSup>
                      <m:e>
                        <m:r>
                          <m:t>L</m:t>
                        </m:r>
                      </m:e>
                      <m:sup>
                        <m:r>
                          <m:t>4</m:t>
                        </m:r>
                      </m:sup>
                    </m:sSup>
                  </m:den>
                </m:f>
                <m:r>
                  <m:rPr>
                    <m:sty m:val="p"/>
                  </m:rPr>
                  <m:t>,</m:t>
                </m:r>
              </m:oMath>
            </m:oMathPara>
          </w:p>
        </w:tc>
        <w:tc>
          <w:tcPr>
            <w:tcW w:type="dxa" w:w="907"/>
            <w:vAlign w:val="center"/>
          </w:tcPr>
          <w:p>
            <w:pPr>
              <w:jc w:val="right"/>
            </w:pPr>
            <w:r>
              <w:t xml:space="preserve">(8)</w:t>
            </w:r>
          </w:p>
        </w:tc>
      </w:tr>
    </w:tbl>
    <w:p>
      <w:pPr>
        <w:pStyle w:val="BodyText"/>
      </w:pPr>
      <w:r>
        <w:t xml:space="preserve">with</w:t>
      </w:r>
      <w:r>
        <w:t xml:space="preserve"> </w:t>
      </w:r>
      <m:oMath>
        <m:r>
          <m:t>L</m:t>
        </m:r>
      </m:oMath>
      <w:r>
        <w:t xml:space="preserve"> </w:t>
      </w:r>
      <w:r>
        <w:t xml:space="preserve">the span containing the sensor and</w:t>
      </w:r>
      <w:r>
        <w:t xml:space="preserve"> </w:t>
      </w:r>
      <m:oMath>
        <m:r>
          <m:t>E</m:t>
        </m:r>
        <m:sSub>
          <m:e>
            <m:r>
              <m:t>I</m:t>
            </m:r>
          </m:e>
          <m:sub>
            <m:r>
              <m:rPr>
                <m:sty m:val="p"/>
                <m:nor/>
              </m:rPr>
              <m:t>ref</m:t>
            </m:r>
          </m:sub>
        </m:sSub>
      </m:oMath>
      <w:r>
        <w:t xml:space="preserve"> </w:t>
      </w:r>
      <w:r>
        <w:t xml:space="preserve">a reference rigidity.</w:t>
      </w:r>
      <w:r>
        <w:t xml:space="preserve"> </w:t>
      </w:r>
      <m:oMath>
        <m:sSub>
          <m:e>
            <m:r>
              <m:t>N</m:t>
            </m:r>
          </m:e>
          <m:sub>
            <m:r>
              <m:t>w</m:t>
            </m:r>
          </m:sub>
        </m:sSub>
      </m:oMath>
      <w:r>
        <w:t xml:space="preserve"> </w:t>
      </w:r>
      <w:r>
        <w:t xml:space="preserve">equals 2.5 at mid-span of a simply supported span, where</w:t>
      </w:r>
      <w:r>
        <w:t xml:space="preserve"> </w:t>
      </w:r>
      <m:oMath>
        <m:sSub>
          <m:e>
            <m:r>
              <m:t>N</m:t>
            </m:r>
          </m:e>
          <m:sub>
            <m:r>
              <m:t>M</m:t>
            </m:r>
          </m:sub>
        </m:sSub>
      </m:oMath>
      <w:r>
        <w:t xml:space="preserve"> </w:t>
      </w:r>
      <w:r>
        <w:t xml:space="preserve">equals 1. The rotation and shear indicators (Supplementary Section S3) equal 1 for the simply supported end rotation and end shear. A common threshold of 0.2 is 8 % of the simply supported value for deflection and 20 % for strain; this threshold is a design convention. Because the offset-equivalent load of Eq. (10) scales as</w:t>
      </w:r>
      <w:r>
        <w:t xml:space="preserve"> </w:t>
      </w:r>
      <m:oMath>
        <m:r>
          <m:t>1</m:t>
        </m:r>
        <m:r>
          <m:rPr>
            <m:sty m:val="p"/>
          </m:rPr>
          <m:t>/</m:t>
        </m:r>
        <m:r>
          <m:t>C</m:t>
        </m:r>
      </m:oMath>
      <w:r>
        <w:t xml:space="preserve">, an indicator of 0.2 multiplies it by 12.5 relative to a simply supported mid-span deflection gauge and by 5 relative to a strain gauge there. Supplementary Table S3 gives the near-blind bands for thresholds of 0.1, 0.2 and 0.3. On a non-prismatic girder</w:t>
      </w:r>
      <w:r>
        <w:t xml:space="preserve"> </w:t>
      </w:r>
      <m:oMath>
        <m:sSub>
          <m:e>
            <m:r>
              <m:t>N</m:t>
            </m:r>
          </m:e>
          <m:sub>
            <m:r>
              <m:t>w</m:t>
            </m:r>
          </m:sub>
        </m:sSub>
      </m:oMath>
      <w:r>
        <w:t xml:space="preserve"> </w:t>
      </w:r>
      <w:r>
        <w:t xml:space="preserve">also depends on the choice of</w:t>
      </w:r>
      <w:r>
        <w:t xml:space="preserve"> </w:t>
      </w:r>
      <m:oMath>
        <m:r>
          <m:t>E</m:t>
        </m:r>
        <m:sSub>
          <m:e>
            <m:r>
              <m:t>I</m:t>
            </m:r>
          </m:e>
          <m:sub>
            <m:r>
              <m:rPr>
                <m:sty m:val="p"/>
                <m:nor/>
              </m:rPr>
              <m:t>ref</m:t>
            </m:r>
          </m:sub>
        </m:sSub>
      </m:oMath>
      <w:r>
        <w:t xml:space="preserve">, which, as Section 5 shows, can dominate the result, whereas</w:t>
      </w:r>
      <w:r>
        <w:t xml:space="preserve"> </w:t>
      </w:r>
      <m:oMath>
        <m:sSub>
          <m:e>
            <m:r>
              <m:t>N</m:t>
            </m:r>
          </m:e>
          <m:sub>
            <m:r>
              <m:t>M</m:t>
            </m:r>
          </m:sub>
        </m:sSub>
      </m:oMath>
      <w:r>
        <w:t xml:space="preserve">, the uniform-load moment relative to</w:t>
      </w:r>
      <w:r>
        <w:t xml:space="preserve"> </w:t>
      </w:r>
      <m:oMath>
        <m:sSub>
          <m:e>
            <m:r>
              <m:t>q</m:t>
            </m:r>
          </m:e>
          <m:sub>
            <m:r>
              <m:t>0</m:t>
            </m:r>
          </m:sub>
        </m:sSub>
        <m:sSup>
          <m:e>
            <m:r>
              <m:t>L</m:t>
            </m:r>
          </m:e>
          <m:sup>
            <m:r>
              <m:t>2</m:t>
            </m:r>
          </m:sup>
        </m:sSup>
        <m:r>
          <m:rPr>
            <m:sty m:val="p"/>
          </m:rPr>
          <m:t>/</m:t>
        </m:r>
        <m:r>
          <m:t>8</m:t>
        </m:r>
      </m:oMath>
      <w:r>
        <w:t xml:space="preserve">, needs no reference rigidity. Neither does the cancellation ratio</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r>
                  <m:t>R</m:t>
                </m:r>
                <m:r>
                  <m:rPr>
                    <m:sty m:val="p"/>
                  </m:rPr>
                  <m:t>=</m:t>
                </m:r>
                <m:f>
                  <m:fPr>
                    <m:type m:val="bar"/>
                  </m:fPr>
                  <m:num>
                    <m:r>
                      <m:t>C</m:t>
                    </m:r>
                  </m:num>
                  <m:den>
                    <m:sSup>
                      <m:e>
                        <m:r>
                          <m:t>A</m:t>
                        </m:r>
                      </m:e>
                      <m:sup>
                        <m:r>
                          <m:rPr>
                            <m:nor/>
                          </m:rPr>
                          <m:t>+</m:t>
                        </m:r>
                      </m:sup>
                    </m:sSup>
                  </m:den>
                </m:f>
                <m:r>
                  <m:rPr>
                    <m:sty m:val="p"/>
                  </m:rPr>
                  <m:t>=</m:t>
                </m:r>
                <m:r>
                  <m:t>1</m:t>
                </m:r>
                <m:r>
                  <m:rPr>
                    <m:sty m:val="p"/>
                  </m:rPr>
                  <m:t>−</m:t>
                </m:r>
                <m:f>
                  <m:fPr>
                    <m:type m:val="bar"/>
                  </m:fPr>
                  <m:num>
                    <m:d>
                      <m:dPr>
                        <m:begChr m:val="|"/>
                        <m:endChr m:val="|"/>
                        <m:grow/>
                      </m:dPr>
                      <m:e>
                        <m:sSup>
                          <m:e>
                            <m:r>
                              <m:t>A</m:t>
                            </m:r>
                          </m:e>
                          <m:sup>
                            <m:r>
                              <m:rPr>
                                <m:nor/>
                              </m:rPr>
                              <m:t>−</m:t>
                            </m:r>
                          </m:sup>
                        </m:sSup>
                      </m:e>
                    </m:d>
                  </m:num>
                  <m:den>
                    <m:sSup>
                      <m:e>
                        <m:r>
                          <m:t>A</m:t>
                        </m:r>
                      </m:e>
                      <m:sup>
                        <m:r>
                          <m:rPr>
                            <m:nor/>
                          </m:rPr>
                          <m:t>+</m:t>
                        </m:r>
                      </m:sup>
                    </m:sSup>
                  </m:den>
                </m:f>
                <m:r>
                  <m:rPr>
                    <m:sty m:val="p"/>
                  </m:rPr>
                  <m:t>,</m:t>
                </m:r>
              </m:oMath>
            </m:oMathPara>
          </w:p>
        </w:tc>
        <w:tc>
          <w:tcPr>
            <w:tcW w:type="dxa" w:w="907"/>
            <w:vAlign w:val="center"/>
          </w:tcPr>
          <w:p>
            <w:pPr>
              <w:jc w:val="right"/>
            </w:pPr>
            <w:r>
              <w:t xml:space="preserve">(9)</w:t>
            </w:r>
          </w:p>
        </w:tc>
      </w:tr>
    </w:tbl>
    <w:p>
      <w:pPr>
        <w:pStyle w:val="BodyText"/>
      </w:pPr>
      <w:r>
        <w:t xml:space="preserve">the net influence area divided by its positive part</w:t>
      </w:r>
      <w:r>
        <w:t xml:space="preserve"> </w:t>
      </w:r>
      <m:oMath>
        <m:sSup>
          <m:e>
            <m:r>
              <m:t>A</m:t>
            </m:r>
          </m:e>
          <m:sup>
            <m:r>
              <m:rPr>
                <m:nor/>
              </m:rPr>
              <m:t>+</m:t>
            </m:r>
          </m:sup>
        </m:sSup>
      </m:oMath>
      <w:r>
        <w:t xml:space="preserve"> </w:t>
      </w:r>
      <w:r>
        <w:t xml:space="preserve">(cf. the comparison of net and absolute areas by Deng et al., 2025).</w:t>
      </w:r>
      <w:r>
        <w:t xml:space="preserve"> </w:t>
      </w:r>
      <m:oMath>
        <m:r>
          <m:t>R</m:t>
        </m:r>
      </m:oMath>
      <w:r>
        <w:t xml:space="preserve"> </w:t>
      </w:r>
      <w:r>
        <w:t xml:space="preserve">is defined for</w:t>
      </w:r>
      <w:r>
        <w:t xml:space="preserve"> </w:t>
      </w:r>
      <m:oMath>
        <m:r>
          <m:t>C</m:t>
        </m:r>
        <m:r>
          <m:rPr>
            <m:sty m:val="p"/>
          </m:rPr>
          <m:t>&gt;</m:t>
        </m:r>
        <m:r>
          <m:t>0</m:t>
        </m:r>
      </m:oMath>
      <w:r>
        <w:t xml:space="preserve"> </w:t>
      </w:r>
      <w:r>
        <w:t xml:space="preserve">(for</w:t>
      </w:r>
      <w:r>
        <w:t xml:space="preserve"> </w:t>
      </w:r>
      <m:oMath>
        <m:r>
          <m:t>C</m:t>
        </m:r>
        <m:r>
          <m:rPr>
            <m:sty m:val="p"/>
          </m:rPr>
          <m:t>&lt;</m:t>
        </m:r>
        <m:r>
          <m:t>0</m:t>
        </m:r>
      </m:oMath>
      <w:r>
        <w:t xml:space="preserve">,</w:t>
      </w:r>
      <w:r>
        <w:t xml:space="preserve"> </w:t>
      </w:r>
      <m:oMath>
        <m:sSup>
          <m:e>
            <m:r>
              <m:t>A</m:t>
            </m:r>
          </m:e>
          <m:sup>
            <m:r>
              <m:rPr>
                <m:nor/>
              </m:rPr>
              <m:t>+</m:t>
            </m:r>
          </m:sup>
        </m:sSup>
      </m:oMath>
      <w:r>
        <w:t xml:space="preserve"> </w:t>
      </w:r>
      <w:r>
        <w:t xml:space="preserve">and</w:t>
      </w:r>
      <w:r>
        <w:t xml:space="preserve"> </w:t>
      </w:r>
      <m:oMath>
        <m:sSup>
          <m:e>
            <m:r>
              <m:t>A</m:t>
            </m:r>
          </m:e>
          <m:sup>
            <m:r>
              <m:rPr>
                <m:nor/>
              </m:rPr>
              <m:t>−</m:t>
            </m:r>
          </m:sup>
        </m:sSup>
      </m:oMath>
      <w:r>
        <w:t xml:space="preserve"> </w:t>
      </w:r>
      <w:r>
        <w:t xml:space="preserve">change roles); it equals 1 for a simply supported span and 0 at a blind configuration, so a small indicator with</w:t>
      </w:r>
      <w:r>
        <w:t xml:space="preserve"> </w:t>
      </w:r>
      <m:oMath>
        <m:r>
          <m:t>R</m:t>
        </m:r>
      </m:oMath>
      <w:r>
        <w:t xml:space="preserve"> </w:t>
      </w:r>
      <w:r>
        <w:t xml:space="preserve">near 1 indicates restraint rather than cancellation. At mid-span of two equal spans, strain influence lines cancel less than deflection influence lines (</w:t>
      </w:r>
      <m:oMath>
        <m:sSub>
          <m:e>
            <m:r>
              <m:t>R</m:t>
            </m:r>
          </m:e>
          <m:sub>
            <m:r>
              <m:t>ε</m:t>
            </m:r>
          </m:sub>
        </m:sSub>
        <m:r>
          <m:rPr>
            <m:sty m:val="p"/>
          </m:rPr>
          <m:t>=</m:t>
        </m:r>
        <m:r>
          <m:t>0.667</m:t>
        </m:r>
      </m:oMath>
      <w:r>
        <w:t xml:space="preserve"> </w:t>
      </w:r>
      <w:r>
        <w:t xml:space="preserve">against</w:t>
      </w:r>
      <w:r>
        <w:t xml:space="preserve"> </w:t>
      </w:r>
      <m:oMath>
        <m:sSub>
          <m:e>
            <m:r>
              <m:t>R</m:t>
            </m:r>
          </m:e>
          <m:sub>
            <m:r>
              <m:t>w</m:t>
            </m:r>
          </m:sub>
        </m:sSub>
        <m:r>
          <m:rPr>
            <m:sty m:val="p"/>
          </m:rPr>
          <m:t>=</m:t>
        </m:r>
        <m:r>
          <m:t>0.571</m:t>
        </m:r>
      </m:oMath>
      <w:r>
        <w:t xml:space="preserve">), but near a zero of</w:t>
      </w:r>
      <w:r>
        <w:t xml:space="preserve"> </w:t>
      </w:r>
      <m:oMath>
        <m:sSub>
          <m:e>
            <m:r>
              <m:t>M</m:t>
            </m:r>
          </m:e>
          <m:sub>
            <m:r>
              <m:t>q</m:t>
            </m:r>
          </m:sub>
        </m:sSub>
      </m:oMath>
      <w:r>
        <w:t xml:space="preserve"> </w:t>
      </w:r>
      <w:r>
        <w:t xml:space="preserve">the order reverses.</w:t>
      </w:r>
    </w:p>
    <w:p>
      <w:pPr>
        <w:pStyle w:val="BodyText"/>
      </w:pPr>
      <w:r>
        <w:t xml:space="preserve">A residual offset</w:t>
      </w:r>
      <w:r>
        <w:t xml:space="preserve"> </w:t>
      </w:r>
      <m:oMath>
        <m:sSub>
          <m:e>
            <m:r>
              <m:t>δ</m:t>
            </m:r>
          </m:e>
          <m:sub>
            <m:r>
              <m:t>0</m:t>
            </m:r>
          </m:sub>
        </m:sSub>
      </m:oMath>
      <w:r>
        <w:t xml:space="preserve">, in the units of the channel, left after re-zeroing before and after the crossing, adds</w:t>
      </w:r>
      <w:r>
        <w:t xml:space="preserve"> </w:t>
      </w:r>
      <m:oMath>
        <m:sSub>
          <m:e>
            <m:r>
              <m:t>δ</m:t>
            </m:r>
          </m:e>
          <m:sub>
            <m:r>
              <m:t>0</m:t>
            </m:r>
          </m:sub>
        </m:sSub>
        <m:sSub>
          <m:e>
            <m:r>
              <m:t>L</m:t>
            </m:r>
          </m:e>
          <m:sub>
            <m:r>
              <m:rPr>
                <m:sty m:val="p"/>
                <m:nor/>
              </m:rPr>
              <m:t>tot</m:t>
            </m:r>
          </m:sub>
        </m:sSub>
      </m:oMath>
      <w:r>
        <w:t xml:space="preserve"> </w:t>
      </w:r>
      <w:r>
        <w:t xml:space="preserve">to the integral over a record of length</w:t>
      </w:r>
      <w:r>
        <w:t xml:space="preserve"> </w:t>
      </w:r>
      <m:oMath>
        <m:sSub>
          <m:e>
            <m:r>
              <m:t>L</m:t>
            </m:r>
          </m:e>
          <m:sub>
            <m:r>
              <m:rPr>
                <m:sty m:val="p"/>
                <m:nor/>
              </m:rPr>
              <m:t>tot</m:t>
            </m:r>
          </m:sub>
        </m:sSub>
      </m:oMath>
      <w:r>
        <w:t xml:space="preserve">. With</w:t>
      </w:r>
      <w:r>
        <w:t xml:space="preserve"> </w:t>
      </w:r>
      <m:oMath>
        <m:r>
          <m:t>J</m:t>
        </m:r>
        <m:r>
          <m:rPr>
            <m:sty m:val="p"/>
          </m:rPr>
          <m:t>=</m:t>
        </m:r>
        <m:r>
          <m:t>C</m:t>
        </m:r>
        <m:sSub>
          <m:e>
            <m:r>
              <m:t>P</m:t>
            </m:r>
          </m:e>
          <m:sub>
            <m:r>
              <m:rPr>
                <m:sty m:val="p"/>
                <m:nor/>
              </m:rPr>
              <m:t>tot</m:t>
            </m:r>
          </m:sub>
        </m:sSub>
      </m:oMath>
      <w:r>
        <w:t xml:space="preserve"> </w:t>
      </w:r>
      <w:r>
        <w:t xml:space="preserve">the relative bias</w:t>
      </w:r>
      <w:r>
        <w:t xml:space="preserve"> </w:t>
      </w:r>
      <m:oMath>
        <m:r>
          <m:t>b</m:t>
        </m:r>
      </m:oMath>
      <w:r>
        <w:t xml:space="preserve"> </w:t>
      </w:r>
      <w:r>
        <w:t xml:space="preserve">of the load is</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r>
                  <m:t>b</m:t>
                </m:r>
                <m:r>
                  <m:rPr>
                    <m:sty m:val="p"/>
                  </m:rPr>
                  <m:t>=</m:t>
                </m:r>
                <m:f>
                  <m:fPr>
                    <m:type m:val="bar"/>
                  </m:fPr>
                  <m:num>
                    <m:sSub>
                      <m:e>
                        <m:r>
                          <m:t>P</m:t>
                        </m:r>
                      </m:e>
                      <m:sub>
                        <m:r>
                          <m:t>δ</m:t>
                        </m:r>
                      </m:sub>
                    </m:sSub>
                  </m:num>
                  <m:den>
                    <m:sSub>
                      <m:e>
                        <m:r>
                          <m:t>P</m:t>
                        </m:r>
                      </m:e>
                      <m:sub>
                        <m:r>
                          <m:rPr>
                            <m:sty m:val="p"/>
                            <m:nor/>
                          </m:rPr>
                          <m:t>tot</m:t>
                        </m:r>
                      </m:sub>
                    </m:sSub>
                  </m:den>
                </m:f>
                <m:r>
                  <m:rPr>
                    <m:sty m:val="p"/>
                  </m:rPr>
                  <m:t>,</m:t>
                </m:r>
                <m:r>
                  <m:t>  </m:t>
                </m:r>
                <m:sSub>
                  <m:e>
                    <m:r>
                      <m:t>P</m:t>
                    </m:r>
                  </m:e>
                  <m:sub>
                    <m:r>
                      <m:t>δ</m:t>
                    </m:r>
                  </m:sub>
                </m:sSub>
                <m:r>
                  <m:rPr>
                    <m:sty m:val="p"/>
                  </m:rPr>
                  <m:t>=</m:t>
                </m:r>
                <m:f>
                  <m:fPr>
                    <m:type m:val="bar"/>
                  </m:fPr>
                  <m:num>
                    <m:sSub>
                      <m:e>
                        <m:r>
                          <m:t>δ</m:t>
                        </m:r>
                      </m:e>
                      <m:sub>
                        <m:r>
                          <m:t>0</m:t>
                        </m:r>
                      </m:sub>
                    </m:sSub>
                    <m:sSub>
                      <m:e>
                        <m:r>
                          <m:t>L</m:t>
                        </m:r>
                      </m:e>
                      <m:sub>
                        <m:r>
                          <m:rPr>
                            <m:sty m:val="p"/>
                            <m:nor/>
                          </m:rPr>
                          <m:t>tot</m:t>
                        </m:r>
                      </m:sub>
                    </m:sSub>
                  </m:num>
                  <m:den>
                    <m:r>
                      <m:t>C</m:t>
                    </m:r>
                  </m:den>
                </m:f>
                <m:r>
                  <m:rPr>
                    <m:sty m:val="p"/>
                  </m:rPr>
                  <m:t>.</m:t>
                </m:r>
              </m:oMath>
            </m:oMathPara>
          </w:p>
        </w:tc>
        <w:tc>
          <w:tcPr>
            <w:tcW w:type="dxa" w:w="907"/>
            <w:vAlign w:val="center"/>
          </w:tcPr>
          <w:p>
            <w:pPr>
              <w:jc w:val="right"/>
            </w:pPr>
            <w:r>
              <w:t xml:space="preserve">(10)</w:t>
            </w:r>
          </w:p>
        </w:tc>
      </w:tr>
    </w:tbl>
    <w:p>
      <w:pPr>
        <w:pStyle w:val="BodyText"/>
      </w:pPr>
      <w:r>
        <w:t xml:space="preserve">The offset-equivalent load</w:t>
      </w:r>
      <w:r>
        <w:t xml:space="preserve"> </w:t>
      </w:r>
      <m:oMath>
        <m:sSub>
          <m:e>
            <m:r>
              <m:t>P</m:t>
            </m:r>
          </m:e>
          <m:sub>
            <m:r>
              <m:t>δ</m:t>
            </m:r>
          </m:sub>
        </m:sSub>
      </m:oMath>
      <w:r>
        <w:t xml:space="preserve">, at which the bias reaches 100 %, combines sensor position and baseline stability into one number, to be compared with the lightest vehicle to be screened.</w:t>
      </w:r>
    </w:p>
    <w:bookmarkEnd w:id="33"/>
    <w:bookmarkStart w:id="34" w:name="X7dbba64553acd36396feecc66b288e6fa85cc16"/>
    <w:p>
      <w:pPr>
        <w:pStyle w:val="Heading3"/>
      </w:pPr>
      <w:r>
        <w:t xml:space="preserve">2.4. Multi-channel estimation and sensor placement</w:t>
      </w:r>
    </w:p>
    <w:p>
      <w:pPr>
        <w:pStyle w:val="FirstParagraph"/>
      </w:pPr>
      <w:r>
        <w:t xml:space="preserve">Let channel</w:t>
      </w:r>
      <w:r>
        <w:t xml:space="preserve"> </w:t>
      </w:r>
      <m:oMath>
        <m:r>
          <m:t>j</m:t>
        </m:r>
      </m:oMath>
      <w:r>
        <w:t xml:space="preserve"> </w:t>
      </w:r>
      <w:r>
        <w:t xml:space="preserve">give the integral</w:t>
      </w:r>
      <w:r>
        <w:t xml:space="preserve"> </w:t>
      </w:r>
      <m:oMath>
        <m:sSub>
          <m:e>
            <m:r>
              <m:t>J</m:t>
            </m:r>
          </m:e>
          <m:sub>
            <m:r>
              <m:t>j</m:t>
            </m:r>
          </m:sub>
        </m:sSub>
        <m:r>
          <m:rPr>
            <m:sty m:val="p"/>
          </m:rPr>
          <m:t>=</m:t>
        </m:r>
        <m:sSub>
          <m:e>
            <m:r>
              <m:t>C</m:t>
            </m:r>
          </m:e>
          <m:sub>
            <m:r>
              <m:t>j</m:t>
            </m:r>
          </m:sub>
        </m:sSub>
        <m:sSub>
          <m:e>
            <m:r>
              <m:t>P</m:t>
            </m:r>
          </m:e>
          <m:sub>
            <m:r>
              <m:rPr>
                <m:sty m:val="p"/>
                <m:nor/>
              </m:rPr>
              <m:t>tot</m:t>
            </m:r>
          </m:sub>
        </m:sSub>
        <m:r>
          <m:rPr>
            <m:sty m:val="p"/>
          </m:rPr>
          <m:t>+</m:t>
        </m:r>
        <m:sSub>
          <m:e>
            <m:r>
              <m:t>δ</m:t>
            </m:r>
          </m:e>
          <m:sub>
            <m:r>
              <m:t>0</m:t>
            </m:r>
            <m:r>
              <m:rPr>
                <m:sty m:val="p"/>
              </m:rPr>
              <m:t>,</m:t>
            </m:r>
            <m:r>
              <m:t>j</m:t>
            </m:r>
          </m:sub>
        </m:sSub>
        <m:sSub>
          <m:e>
            <m:r>
              <m:t>L</m:t>
            </m:r>
          </m:e>
          <m:sub>
            <m:r>
              <m:rPr>
                <m:sty m:val="p"/>
                <m:nor/>
              </m:rPr>
              <m:t>tot</m:t>
            </m:r>
          </m:sub>
        </m:sSub>
        <m:r>
          <m:rPr>
            <m:sty m:val="p"/>
          </m:rPr>
          <m:t>+</m:t>
        </m:r>
        <m:sSub>
          <m:e>
            <m:r>
              <m:t>n</m:t>
            </m:r>
          </m:e>
          <m:sub>
            <m:r>
              <m:t>j</m:t>
            </m:r>
          </m:sub>
        </m:sSub>
      </m:oMath>
      <w:r>
        <w:t xml:space="preserve">, with white noise</w:t>
      </w:r>
      <w:r>
        <w:t xml:space="preserve"> </w:t>
      </w:r>
      <m:oMath>
        <m:sSub>
          <m:e>
            <m:r>
              <m:t>n</m:t>
            </m:r>
          </m:e>
          <m:sub>
            <m:r>
              <m:t>j</m:t>
            </m:r>
          </m:sub>
        </m:sSub>
      </m:oMath>
      <w:r>
        <w:t xml:space="preserve"> </w:t>
      </w:r>
      <w:r>
        <w:t xml:space="preserve">and offsets that may be correlated between channels, and let</w:t>
      </w:r>
      <w:r>
        <w:t xml:space="preserve"> </w:t>
      </w:r>
      <m:oMath>
        <m:r>
          <m:t>Σ</m:t>
        </m:r>
      </m:oMath>
      <w:r>
        <w:t xml:space="preserve"> </w:t>
      </w:r>
      <w:r>
        <w:t xml:space="preserve">be the covariance matrix of</w:t>
      </w:r>
      <w:r>
        <w:t xml:space="preserve"> </w:t>
      </w:r>
      <m:oMath>
        <m:r>
          <m:t>J</m:t>
        </m:r>
      </m:oMath>
      <w:r>
        <w:t xml:space="preserve">. A linear estimator</w:t>
      </w:r>
      <w:r>
        <w:t xml:space="preserve"> </w:t>
      </w:r>
      <m:oMath>
        <m:acc>
          <m:accPr>
            <m:chr m:val="̂"/>
          </m:accPr>
          <m:e>
            <m:r>
              <m:t>P</m:t>
            </m:r>
          </m:e>
        </m:acc>
        <m:r>
          <m:rPr>
            <m:sty m:val="p"/>
          </m:rPr>
          <m:t>=</m:t>
        </m:r>
        <m:sSup>
          <m:e>
            <m:r>
              <m:t>a</m:t>
            </m:r>
          </m:e>
          <m:sup>
            <m:r>
              <m:rPr>
                <m:sty m:val="p"/>
              </m:rPr>
              <m:t>⊤</m:t>
            </m:r>
          </m:sup>
        </m:sSup>
        <m:r>
          <m:t>J</m:t>
        </m:r>
      </m:oMath>
      <w:r>
        <w:t xml:space="preserve"> </w:t>
      </w:r>
      <w:r>
        <w:t xml:space="preserve">is unbiased for every axle configuration if and only if</w:t>
      </w:r>
      <w:r>
        <w:t xml:space="preserve"> </w:t>
      </w:r>
      <m:oMath>
        <m:sSup>
          <m:e>
            <m:r>
              <m:t>a</m:t>
            </m:r>
          </m:e>
          <m:sup>
            <m:r>
              <m:rPr>
                <m:sty m:val="p"/>
              </m:rPr>
              <m:t>⊤</m:t>
            </m:r>
          </m:sup>
        </m:sSup>
        <m:r>
          <m:t>C</m:t>
        </m:r>
        <m:r>
          <m:rPr>
            <m:sty m:val="p"/>
          </m:rPr>
          <m:t>=</m:t>
        </m:r>
        <m:r>
          <m:t>1</m:t>
        </m:r>
      </m:oMath>
      <w:r>
        <w:t xml:space="preserve">, and minimizing its variance gives the GLS weights</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sSup>
                  <m:e>
                    <m:r>
                      <m:t>a</m:t>
                    </m:r>
                  </m:e>
                  <m:sup>
                    <m:r>
                      <m:rPr>
                        <m:nor/>
                      </m:rPr>
                      <m:t>⋆</m:t>
                    </m:r>
                  </m:sup>
                </m:sSup>
                <m:r>
                  <m:rPr>
                    <m:sty m:val="p"/>
                  </m:rPr>
                  <m:t>=</m:t>
                </m:r>
                <m:f>
                  <m:fPr>
                    <m:type m:val="bar"/>
                  </m:fPr>
                  <m:num>
                    <m:sSup>
                      <m:e>
                        <m:r>
                          <m:t>Σ</m:t>
                        </m:r>
                      </m:e>
                      <m:sup>
                        <m:r>
                          <m:rPr>
                            <m:sty m:val="p"/>
                          </m:rPr>
                          <m:t>−</m:t>
                        </m:r>
                        <m:r>
                          <m:t>1</m:t>
                        </m:r>
                      </m:sup>
                    </m:sSup>
                    <m:r>
                      <m:t>C</m:t>
                    </m:r>
                  </m:num>
                  <m:den>
                    <m:sSup>
                      <m:e>
                        <m:r>
                          <m:t>C</m:t>
                        </m:r>
                      </m:e>
                      <m:sup>
                        <m:r>
                          <m:rPr>
                            <m:sty m:val="p"/>
                          </m:rPr>
                          <m:t>⊤</m:t>
                        </m:r>
                      </m:sup>
                    </m:sSup>
                    <m:sSup>
                      <m:e>
                        <m:r>
                          <m:t>Σ</m:t>
                        </m:r>
                      </m:e>
                      <m:sup>
                        <m:r>
                          <m:rPr>
                            <m:sty m:val="p"/>
                          </m:rPr>
                          <m:t>−</m:t>
                        </m:r>
                        <m:r>
                          <m:t>1</m:t>
                        </m:r>
                      </m:sup>
                    </m:sSup>
                    <m:r>
                      <m:t>C</m:t>
                    </m:r>
                  </m:den>
                </m:f>
                <m:r>
                  <m:rPr>
                    <m:sty m:val="p"/>
                  </m:rPr>
                  <m:t>,</m:t>
                </m:r>
                <m:r>
                  <m:t>  </m:t>
                </m:r>
                <m:r>
                  <m:rPr>
                    <m:sty m:val="p"/>
                    <m:nor/>
                  </m:rPr>
                  <m:t>Var</m:t>
                </m:r>
                <m:r>
                  <m:t> </m:t>
                </m:r>
                <m:sSup>
                  <m:e>
                    <m:acc>
                      <m:accPr>
                        <m:chr m:val="̂"/>
                      </m:accPr>
                      <m:e>
                        <m:r>
                          <m:t>P</m:t>
                        </m:r>
                      </m:e>
                    </m:acc>
                  </m:e>
                  <m:sup>
                    <m:r>
                      <m:rPr>
                        <m:nor/>
                      </m:rPr>
                      <m:t>⋆</m:t>
                    </m:r>
                  </m:sup>
                </m:sSup>
                <m:r>
                  <m:rPr>
                    <m:sty m:val="p"/>
                  </m:rPr>
                  <m:t>=</m:t>
                </m:r>
                <m:r>
                  <m:rPr>
                    <m:sty m:val="p"/>
                  </m:rPr>
                  <m:t>(</m:t>
                </m:r>
                <m:sSup>
                  <m:e>
                    <m:r>
                      <m:t>C</m:t>
                    </m:r>
                  </m:e>
                  <m:sup>
                    <m:r>
                      <m:rPr>
                        <m:sty m:val="p"/>
                      </m:rPr>
                      <m:t>⊤</m:t>
                    </m:r>
                  </m:sup>
                </m:sSup>
                <m:sSup>
                  <m:e>
                    <m:r>
                      <m:t>Σ</m:t>
                    </m:r>
                  </m:e>
                  <m:sup>
                    <m:r>
                      <m:rPr>
                        <m:sty m:val="p"/>
                      </m:rPr>
                      <m:t>−</m:t>
                    </m:r>
                    <m:r>
                      <m:t>1</m:t>
                    </m:r>
                  </m:sup>
                </m:sSup>
                <m:r>
                  <m:t>C</m:t>
                </m:r>
                <m:sSup>
                  <m:e>
                    <m:r>
                      <m:rPr>
                        <m:sty m:val="p"/>
                      </m:rPr>
                      <m:t>)</m:t>
                    </m:r>
                  </m:e>
                  <m:sup>
                    <m:r>
                      <m:rPr>
                        <m:sty m:val="p"/>
                      </m:rPr>
                      <m:t>−</m:t>
                    </m:r>
                    <m:r>
                      <m:t>1</m:t>
                    </m:r>
                  </m:sup>
                </m:sSup>
                <m:r>
                  <m:rPr>
                    <m:sty m:val="p"/>
                  </m:rPr>
                  <m:t>,</m:t>
                </m:r>
              </m:oMath>
            </m:oMathPara>
          </w:p>
        </w:tc>
        <w:tc>
          <w:tcPr>
            <w:tcW w:type="dxa" w:w="907"/>
            <w:vAlign w:val="center"/>
          </w:tcPr>
          <w:p>
            <w:pPr>
              <w:jc w:val="right"/>
            </w:pPr>
            <w:r>
              <w:t xml:space="preserve">(11)</w:t>
            </w:r>
          </w:p>
        </w:tc>
      </w:tr>
    </w:tbl>
    <w:p>
      <w:pPr>
        <w:pStyle w:val="BodyText"/>
      </w:pPr>
      <w:r>
        <w:t xml:space="preserve">the Gauss–Markov best linear unbiased estimator. A non-uniform weighting function along one record cannot do better, because only uniform weighting keeps the estimate independent of the axle configuration for every structure (Supplementary Section S3). Adding the constraint</w:t>
      </w:r>
      <w:r>
        <w:t xml:space="preserve"> </w:t>
      </w:r>
      <m:oMath>
        <m:nary>
          <m:naryPr>
            <m:chr m:val="∑"/>
            <m:limLoc m:val="undOvr"/>
            <m:subHide m:val="off"/>
            <m:supHide m:val="on"/>
          </m:naryPr>
          <m:sub>
            <m:r>
              <m:t>j</m:t>
            </m:r>
          </m:sub>
          <m:sup>
            <m:r>
              <m:t>​</m:t>
            </m:r>
          </m:sup>
          <m:e>
            <m:sSub>
              <m:e>
                <m:r>
                  <m:t>a</m:t>
                </m:r>
              </m:e>
              <m:sub>
                <m:r>
                  <m:t>j</m:t>
                </m:r>
              </m:sub>
            </m:sSub>
          </m:e>
        </m:nary>
        <m:r>
          <m:rPr>
            <m:sty m:val="p"/>
          </m:rPr>
          <m:t>=</m:t>
        </m:r>
        <m:r>
          <m:t>0</m:t>
        </m:r>
      </m:oMath>
      <w:r>
        <w:t xml:space="preserve"> </w:t>
      </w:r>
      <w:r>
        <w:t xml:space="preserve">within each channel type cancels any disturbance shared by the channels, such as an offset, a drift or motion of the reference frame. With equal statistics in all channels, the variance of this zero-sum estimator is</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r>
                  <m:rPr>
                    <m:sty m:val="p"/>
                    <m:nor/>
                  </m:rPr>
                  <m:t>Var</m:t>
                </m:r>
                <m:r>
                  <m:t> </m:t>
                </m:r>
                <m:sSub>
                  <m:e>
                    <m:acc>
                      <m:accPr>
                        <m:chr m:val="̂"/>
                      </m:accPr>
                      <m:e>
                        <m:r>
                          <m:t>P</m:t>
                        </m:r>
                      </m:e>
                    </m:acc>
                  </m:e>
                  <m:sub>
                    <m:r>
                      <m:rPr>
                        <m:sty m:val="p"/>
                        <m:nor/>
                      </m:rPr>
                      <m:t>zs</m:t>
                    </m:r>
                  </m:sub>
                </m:sSub>
                <m:r>
                  <m:rPr>
                    <m:sty m:val="p"/>
                  </m:rPr>
                  <m:t>=</m:t>
                </m:r>
                <m:f>
                  <m:fPr>
                    <m:type m:val="bar"/>
                  </m:fPr>
                  <m:num>
                    <m:sSup>
                      <m:e>
                        <m:r>
                          <m:t>σ</m:t>
                        </m:r>
                      </m:e>
                      <m:sup>
                        <m:r>
                          <m:t>2</m:t>
                        </m:r>
                      </m:sup>
                    </m:sSup>
                    <m:r>
                      <m:t>Δ</m:t>
                    </m:r>
                    <m:r>
                      <m:t>x</m:t>
                    </m:r>
                    <m:r>
                      <m:t> </m:t>
                    </m:r>
                    <m:sSub>
                      <m:e>
                        <m:r>
                          <m:t>L</m:t>
                        </m:r>
                      </m:e>
                      <m:sub>
                        <m:r>
                          <m:rPr>
                            <m:sty m:val="p"/>
                            <m:nor/>
                          </m:rPr>
                          <m:t>tot</m:t>
                        </m:r>
                      </m:sub>
                    </m:sSub>
                    <m:r>
                      <m:rPr>
                        <m:sty m:val="p"/>
                      </m:rPr>
                      <m:t>+</m:t>
                    </m:r>
                    <m:d>
                      <m:dPr>
                        <m:begChr m:val="("/>
                        <m:endChr m:val=")"/>
                        <m:grow/>
                      </m:dPr>
                      <m:e>
                        <m:r>
                          <m:t>1</m:t>
                        </m:r>
                        <m:r>
                          <m:rPr>
                            <m:sty m:val="p"/>
                          </m:rPr>
                          <m:t>−</m:t>
                        </m:r>
                        <m:r>
                          <m:t>ρ</m:t>
                        </m:r>
                      </m:e>
                    </m:d>
                    <m:sSubSup>
                      <m:e>
                        <m:r>
                          <m:t>δ</m:t>
                        </m:r>
                      </m:e>
                      <m:sub>
                        <m:r>
                          <m:t>0</m:t>
                        </m:r>
                      </m:sub>
                      <m:sup>
                        <m:r>
                          <m:t>2</m:t>
                        </m:r>
                      </m:sup>
                    </m:sSubSup>
                    <m:sSubSup>
                      <m:e>
                        <m:r>
                          <m:t>L</m:t>
                        </m:r>
                      </m:e>
                      <m:sub>
                        <m:r>
                          <m:rPr>
                            <m:sty m:val="p"/>
                            <m:nor/>
                          </m:rPr>
                          <m:t>tot</m:t>
                        </m:r>
                      </m:sub>
                      <m:sup>
                        <m:r>
                          <m:t>2</m:t>
                        </m:r>
                      </m:sup>
                    </m:sSubSup>
                  </m:num>
                  <m:den>
                    <m:nary>
                      <m:naryPr>
                        <m:chr m:val="∑"/>
                        <m:limLoc m:val="undOvr"/>
                        <m:subHide m:val="off"/>
                        <m:supHide m:val="on"/>
                      </m:naryPr>
                      <m:sub>
                        <m:r>
                          <m:t>j</m:t>
                        </m:r>
                      </m:sub>
                      <m:sup>
                        <m:r>
                          <m:t>​</m:t>
                        </m:r>
                      </m:sup>
                      <m:e>
                        <m:sSup>
                          <m:e>
                            <m:d>
                              <m:dPr>
                                <m:begChr m:val="("/>
                                <m:endChr m:val=")"/>
                                <m:grow/>
                              </m:dPr>
                              <m:e>
                                <m:sSub>
                                  <m:e>
                                    <m:r>
                                      <m:t>C</m:t>
                                    </m:r>
                                  </m:e>
                                  <m:sub>
                                    <m:r>
                                      <m:t>j</m:t>
                                    </m:r>
                                  </m:sub>
                                </m:sSub>
                                <m:r>
                                  <m:rPr>
                                    <m:sty m:val="p"/>
                                  </m:rPr>
                                  <m:t>−</m:t>
                                </m:r>
                                <m:acc>
                                  <m:accPr>
                                    <m:chr m:val="¯"/>
                                  </m:accPr>
                                  <m:e>
                                    <m:r>
                                      <m:t>C</m:t>
                                    </m:r>
                                  </m:e>
                                </m:acc>
                              </m:e>
                            </m:d>
                          </m:e>
                          <m:sup>
                            <m:r>
                              <m:t>2</m:t>
                            </m:r>
                          </m:sup>
                        </m:sSup>
                      </m:e>
                    </m:nary>
                  </m:den>
                </m:f>
                <m:r>
                  <m:rPr>
                    <m:sty m:val="p"/>
                  </m:rPr>
                  <m:t>,</m:t>
                </m:r>
              </m:oMath>
            </m:oMathPara>
          </w:p>
        </w:tc>
        <w:tc>
          <w:tcPr>
            <w:tcW w:type="dxa" w:w="907"/>
            <w:vAlign w:val="center"/>
          </w:tcPr>
          <w:p>
            <w:pPr>
              <w:jc w:val="right"/>
            </w:pPr>
            <w:r>
              <w:t xml:space="preserve">(12)</w:t>
            </w:r>
          </w:p>
        </w:tc>
      </w:tr>
    </w:tbl>
    <w:p>
      <w:pPr>
        <w:pStyle w:val="BodyText"/>
      </w:pPr>
      <w:r>
        <w:t xml:space="preserve">with</w:t>
      </w:r>
      <w:r>
        <w:t xml:space="preserve"> </w:t>
      </w:r>
      <m:oMath>
        <m:r>
          <m:t>σ</m:t>
        </m:r>
      </m:oMath>
      <w:r>
        <w:t xml:space="preserve"> </w:t>
      </w:r>
      <w:r>
        <w:t xml:space="preserve">the standard deviation of the white noise,</w:t>
      </w:r>
      <w:r>
        <w:t xml:space="preserve"> </w:t>
      </w:r>
      <m:oMath>
        <m:r>
          <m:t>Δ</m:t>
        </m:r>
        <m:r>
          <m:t>x</m:t>
        </m:r>
      </m:oMath>
      <w:r>
        <w:t xml:space="preserve"> </w:t>
      </w:r>
      <w:r>
        <w:t xml:space="preserve">the sampling interval and</w:t>
      </w:r>
      <w:r>
        <w:t xml:space="preserve"> </w:t>
      </w:r>
      <m:oMath>
        <m:r>
          <m:t>ρ</m:t>
        </m:r>
      </m:oMath>
      <w:r>
        <w:t xml:space="preserve"> </w:t>
      </w:r>
      <w:r>
        <w:t xml:space="preserve">the common-mode fraction of the offset (Supplementary Section S4).</w:t>
      </w:r>
    </w:p>
    <w:p>
      <w:pPr>
        <w:pStyle w:val="BodyText"/>
      </w:pPr>
      <w:r>
        <w:t xml:space="preserve">If the noise statistics do not depend on position,</w:t>
      </w:r>
      <w:r>
        <w:t xml:space="preserve"> </w:t>
      </w:r>
      <m:oMath>
        <m:r>
          <m:t>1</m:t>
        </m:r>
        <m:r>
          <m:rPr>
            <m:sty m:val="p"/>
          </m:rPr>
          <m:t>/</m:t>
        </m:r>
        <m:r>
          <m:rPr>
            <m:sty m:val="p"/>
            <m:nor/>
          </m:rPr>
          <m:t>Var</m:t>
        </m:r>
      </m:oMath>
      <w:r>
        <w:t xml:space="preserve"> </w:t>
      </w:r>
      <w:r>
        <w:t xml:space="preserve">is a convex quadratic in the constants</w:t>
      </w:r>
      <w:r>
        <w:t xml:space="preserve"> </w:t>
      </w:r>
      <m:oMath>
        <m:r>
          <m:t>C</m:t>
        </m:r>
        <m:d>
          <m:dPr>
            <m:begChr m:val="("/>
            <m:endChr m:val=")"/>
            <m:grow/>
          </m:dPr>
          <m:e>
            <m:sSub>
              <m:e>
                <m:r>
                  <m:t>x</m:t>
                </m:r>
              </m:e>
              <m:sub>
                <m:r>
                  <m:t>j</m:t>
                </m:r>
              </m:sub>
            </m:sSub>
          </m:e>
        </m:d>
      </m:oMath>
      <w:r>
        <w:t xml:space="preserve"> </w:t>
      </w:r>
      <w:r>
        <w:t xml:space="preserve">for both Eqs. (11) and (12), and the feasible constants form a box bounded by the smallest and largest</w:t>
      </w:r>
      <w:r>
        <w:t xml:space="preserve"> </w:t>
      </w:r>
      <m:oMath>
        <m:r>
          <m:t>C</m:t>
        </m:r>
        <m:d>
          <m:dPr>
            <m:begChr m:val="("/>
            <m:endChr m:val=")"/>
            <m:grow/>
          </m:dPr>
          <m:e>
            <m:r>
              <m:t>x</m:t>
            </m:r>
          </m:e>
        </m:d>
      </m:oMath>
      <w:r>
        <w:t xml:space="preserve"> </w:t>
      </w:r>
      <w:r>
        <w:t xml:space="preserve">along the girder. A convex function on a box is maximal at a vertex, as in extreme-point optimal design (Elfving, 1952), so optimal sensors lie at the maximum and the minimum of</w:t>
      </w:r>
      <w:r>
        <w:t xml:space="preserve"> </w:t>
      </w:r>
      <m:oMath>
        <m:r>
          <m:t>C</m:t>
        </m:r>
        <m:d>
          <m:dPr>
            <m:begChr m:val="("/>
            <m:endChr m:val=")"/>
            <m:grow/>
          </m:dPr>
          <m:e>
            <m:r>
              <m:t>x</m:t>
            </m:r>
          </m:e>
        </m:d>
      </m:oMath>
      <w:r>
        <w:t xml:space="preserve">: of</w:t>
      </w:r>
      <w:r>
        <w:t xml:space="preserve"> </w:t>
      </w:r>
      <m:oMath>
        <m:sSub>
          <m:e>
            <m:r>
              <m:t>w</m:t>
            </m:r>
          </m:e>
          <m:sub>
            <m:r>
              <m:t>q</m:t>
            </m:r>
          </m:sub>
        </m:sSub>
        <m:d>
          <m:dPr>
            <m:begChr m:val="("/>
            <m:endChr m:val=")"/>
            <m:grow/>
          </m:dPr>
          <m:e>
            <m:r>
              <m:t>x</m:t>
            </m:r>
          </m:e>
        </m:d>
        <m:r>
          <m:rPr>
            <m:sty m:val="p"/>
          </m:rPr>
          <m:t>/</m:t>
        </m:r>
        <m:sSub>
          <m:e>
            <m:r>
              <m:t>q</m:t>
            </m:r>
          </m:e>
          <m:sub>
            <m:r>
              <m:t>0</m:t>
            </m:r>
          </m:sub>
        </m:sSub>
      </m:oMath>
      <w:r>
        <w:t xml:space="preserve"> </w:t>
      </w:r>
      <w:r>
        <w:t xml:space="preserve">for deflection, with</w:t>
      </w:r>
      <w:r>
        <w:t xml:space="preserve"> </w:t>
      </w:r>
      <m:oMath>
        <m:sSub>
          <m:e>
            <m:r>
              <m:t>w</m:t>
            </m:r>
          </m:e>
          <m:sub>
            <m:r>
              <m:t>q</m:t>
            </m:r>
          </m:sub>
        </m:sSub>
      </m:oMath>
      <w:r>
        <w:t xml:space="preserve"> </w:t>
      </w:r>
      <w:r>
        <w:t xml:space="preserve">the uniform-load deflection, and of</w:t>
      </w:r>
      <w:r>
        <w:t xml:space="preserve"> </w:t>
      </w:r>
      <m:oMath>
        <m:r>
          <m:t>c</m:t>
        </m:r>
        <m:r>
          <m:t> </m:t>
        </m:r>
        <m:sSub>
          <m:e>
            <m:r>
              <m:t>M</m:t>
            </m:r>
          </m:e>
          <m:sub>
            <m:r>
              <m:t>q</m:t>
            </m:r>
          </m:sub>
        </m:sSub>
        <m:d>
          <m:dPr>
            <m:begChr m:val="("/>
            <m:endChr m:val=")"/>
            <m:grow/>
          </m:dPr>
          <m:e>
            <m:r>
              <m:t>x</m:t>
            </m:r>
          </m:e>
        </m:d>
        <m:r>
          <m:rPr>
            <m:sty m:val="p"/>
          </m:rPr>
          <m:t>/</m:t>
        </m:r>
        <m:d>
          <m:dPr>
            <m:begChr m:val="("/>
            <m:endChr m:val=")"/>
            <m:grow/>
          </m:dPr>
          <m:e>
            <m:r>
              <m:t>E</m:t>
            </m:r>
            <m:r>
              <m:t>I</m:t>
            </m:r>
            <m:r>
              <m:t> </m:t>
            </m:r>
            <m:sSub>
              <m:e>
                <m:r>
                  <m:t>q</m:t>
                </m:r>
              </m:e>
              <m:sub>
                <m:r>
                  <m:t>0</m:t>
                </m:r>
              </m:sub>
            </m:sSub>
          </m:e>
        </m:d>
      </m:oMath>
      <w:r>
        <w:t xml:space="preserve"> </w:t>
      </w:r>
      <w:r>
        <w:t xml:space="preserve">for strain, whose extremes on a haunched girder differ from those of</w:t>
      </w:r>
      <w:r>
        <w:t xml:space="preserve"> </w:t>
      </w:r>
      <m:oMath>
        <m:sSub>
          <m:e>
            <m:r>
              <m:t>M</m:t>
            </m:r>
          </m:e>
          <m:sub>
            <m:r>
              <m:t>q</m:t>
            </m:r>
          </m:sub>
        </m:sSub>
      </m:oMath>
      <w:r>
        <w:t xml:space="preserve">. With independent offsets every sensor should sit near the extreme of largest</w:t>
      </w:r>
      <w:r>
        <w:t xml:space="preserve"> </w:t>
      </w:r>
      <m:oMath>
        <m:d>
          <m:dPr>
            <m:begChr m:val="|"/>
            <m:endChr m:val="|"/>
            <m:grow/>
          </m:dPr>
          <m:e>
            <m:r>
              <m:t>C</m:t>
            </m:r>
          </m:e>
        </m:d>
      </m:oMath>
      <w:r>
        <w:t xml:space="preserve">; with correlated offsets one sensor should sit at the minimum, because a common offset cancels in the difference. A brute-force search and a Monte Carlo study (Eqs. (11) and (12) within 0.6 %) confirm this (Supplementary Section S4). The zero-sum estimator helps only if the disturbance is common-mode during the crossings themselves, not merely in vehicle-free periods, and Section 4.3 shows that real records can violate this.</w:t>
      </w:r>
    </w:p>
    <w:bookmarkEnd w:id="34"/>
    <w:bookmarkStart w:id="35" w:name="X8083e8107fdbc4fed3b68688169e7e185f6b866"/>
    <w:p>
      <w:pPr>
        <w:pStyle w:val="Heading3"/>
      </w:pPr>
      <w:r>
        <w:t xml:space="preserve">2.5. Identifiability of the constant under boundary uncertainty</w:t>
      </w:r>
    </w:p>
    <w:p>
      <w:pPr>
        <w:pStyle w:val="FirstParagraph"/>
      </w:pPr>
      <w:r>
        <w:t xml:space="preserve">A girder with monolithic piers has the stiffness matrix</w:t>
      </w:r>
      <w:r>
        <w:t xml:space="preserve"> </w:t>
      </w:r>
      <m:oMath>
        <m:r>
          <m:t>α</m:t>
        </m:r>
        <m:sSub>
          <m:e>
            <m:r>
              <m:t>K</m:t>
            </m:r>
          </m:e>
          <m:sub>
            <m:r>
              <m:t>g</m:t>
            </m:r>
          </m:sub>
        </m:sSub>
        <m:r>
          <m:rPr>
            <m:sty m:val="p"/>
          </m:rPr>
          <m:t>+</m:t>
        </m:r>
        <m:r>
          <m:t>k</m:t>
        </m:r>
        <m:sSub>
          <m:e>
            <m:r>
              <m:t>K</m:t>
            </m:r>
          </m:e>
          <m:sub>
            <m:r>
              <m:t>p</m:t>
            </m:r>
          </m:sub>
        </m:sSub>
      </m:oMath>
      <w:r>
        <w:t xml:space="preserve">, where</w:t>
      </w:r>
      <w:r>
        <w:t xml:space="preserve"> </w:t>
      </w:r>
      <m:oMath>
        <m:sSub>
          <m:e>
            <m:r>
              <m:t>K</m:t>
            </m:r>
          </m:e>
          <m:sub>
            <m:r>
              <m:t>g</m:t>
            </m:r>
          </m:sub>
        </m:sSub>
      </m:oMath>
      <w:r>
        <w:t xml:space="preserve"> </w:t>
      </w:r>
      <w:r>
        <w:t xml:space="preserve">and</w:t>
      </w:r>
      <w:r>
        <w:t xml:space="preserve"> </w:t>
      </w:r>
      <m:oMath>
        <m:sSub>
          <m:e>
            <m:r>
              <m:t>K</m:t>
            </m:r>
          </m:e>
          <m:sub>
            <m:r>
              <m:t>p</m:t>
            </m:r>
          </m:sub>
        </m:sSub>
      </m:oMath>
      <w:r>
        <w:t xml:space="preserve"> </w:t>
      </w:r>
      <w:r>
        <w:t xml:space="preserve">are its girder and pier parts,</w:t>
      </w:r>
      <w:r>
        <w:t xml:space="preserve"> </w:t>
      </w:r>
      <m:oMath>
        <m:r>
          <m:t>α</m:t>
        </m:r>
      </m:oMath>
      <w:r>
        <w:t xml:space="preserve"> </w:t>
      </w:r>
      <w:r>
        <w:t xml:space="preserve">is the ratio of effective to design girder rigidity and</w:t>
      </w:r>
      <w:r>
        <w:t xml:space="preserve"> </w:t>
      </w:r>
      <m:oMath>
        <m:r>
          <m:t>k</m:t>
        </m:r>
      </m:oMath>
      <w:r>
        <w:t xml:space="preserve"> </w:t>
      </w:r>
      <w:r>
        <w:t xml:space="preserve">is the rotational stiffness of each pier. Every static response therefore has the form</w:t>
      </w:r>
      <w:r>
        <w:t xml:space="preserve"> </w:t>
      </w:r>
      <m:oMath>
        <m:r>
          <m:t>f</m:t>
        </m:r>
        <m:d>
          <m:dPr>
            <m:begChr m:val="("/>
            <m:endChr m:val=")"/>
            <m:grow/>
          </m:dPr>
          <m:e>
            <m:r>
              <m:t>κ</m:t>
            </m:r>
          </m:e>
        </m:d>
        <m:r>
          <m:rPr>
            <m:sty m:val="p"/>
          </m:rPr>
          <m:t>/</m:t>
        </m:r>
        <m:r>
          <m:t>α</m:t>
        </m:r>
      </m:oMath>
      <w:r>
        <w:t xml:space="preserve">, where</w:t>
      </w:r>
      <w:r>
        <w:t xml:space="preserve"> </w:t>
      </w:r>
      <m:oMath>
        <m:r>
          <m:t>κ</m:t>
        </m:r>
        <m:r>
          <m:rPr>
            <m:sty m:val="p"/>
          </m:rPr>
          <m:t>=</m:t>
        </m:r>
        <m:r>
          <m:t>k</m:t>
        </m:r>
        <m:r>
          <m:rPr>
            <m:sty m:val="p"/>
          </m:rPr>
          <m:t>/</m:t>
        </m:r>
        <m:r>
          <m:t>α</m:t>
        </m:r>
      </m:oMath>
      <w:r>
        <w:t xml:space="preserve"> </w:t>
      </w:r>
      <w:r>
        <w:t xml:space="preserve">is the scaled pier stiffness. Only the ratio of two static readings, which is independent of</w:t>
      </w:r>
      <w:r>
        <w:t xml:space="preserve"> </w:t>
      </w:r>
      <m:oMath>
        <m:r>
          <m:t>α</m:t>
        </m:r>
      </m:oMath>
      <w:r>
        <w:t xml:space="preserve">, informs</w:t>
      </w:r>
      <w:r>
        <w:t xml:space="preserve"> </w:t>
      </w:r>
      <m:oMath>
        <m:r>
          <m:t>κ</m:t>
        </m:r>
      </m:oMath>
      <w:r>
        <w:t xml:space="preserve">. Identifiability is meant here in the sense of Katafygiotis and Beck (1998), and the Fisher-information criteria used for sensor placement (Udwadia, 1994; Papadimitriou, 2004) are applied in Section 5.3 to the single scalar</w:t>
      </w:r>
      <w:r>
        <w:t xml:space="preserve"> </w:t>
      </w:r>
      <m:oMath>
        <m:r>
          <m:t>C</m:t>
        </m:r>
      </m:oMath>
      <w:r>
        <w:t xml:space="preserve">. For a mirror-symmetric girder with equal piers, the uniform load rotates the two inner piers by equal and opposite amounts (</w:t>
      </w:r>
      <m:oMath>
        <m:sSub>
          <m:e>
            <m:r>
              <m:t>θ</m:t>
            </m:r>
          </m:e>
          <m:sub>
            <m:r>
              <m:t>6</m:t>
            </m:r>
          </m:sub>
        </m:sSub>
        <m:r>
          <m:rPr>
            <m:sty m:val="p"/>
          </m:rPr>
          <m:t>=</m:t>
        </m:r>
        <m:r>
          <m:rPr>
            <m:sty m:val="p"/>
          </m:rPr>
          <m:t>−</m:t>
        </m:r>
        <m:sSub>
          <m:e>
            <m:r>
              <m:t>θ</m:t>
            </m:r>
          </m:e>
          <m:sub>
            <m:r>
              <m:t>7</m:t>
            </m:r>
          </m:sub>
        </m:sSub>
      </m:oMath>
      <w:r>
        <w:t xml:space="preserve">) and excites no other pattern of pier rotation, and the Sherman–Morrison formula gives (Supplementary Section S5)</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sSub>
                  <m:e>
                    <m:r>
                      <m:t>C</m:t>
                    </m:r>
                  </m:e>
                  <m:sub>
                    <m:r>
                      <m:t>m</m:t>
                    </m:r>
                  </m:sub>
                </m:sSub>
                <m:d>
                  <m:dPr>
                    <m:begChr m:val="("/>
                    <m:endChr m:val=")"/>
                    <m:grow/>
                  </m:dPr>
                  <m:e>
                    <m:r>
                      <m:t>α</m:t>
                    </m:r>
                    <m:r>
                      <m:rPr>
                        <m:sty m:val="p"/>
                      </m:rPr>
                      <m:t>,</m:t>
                    </m:r>
                    <m:r>
                      <m:t>κ</m:t>
                    </m:r>
                  </m:e>
                </m:d>
                <m:r>
                  <m:rPr>
                    <m:sty m:val="p"/>
                  </m:rPr>
                  <m:t>=</m:t>
                </m:r>
                <m:f>
                  <m:fPr>
                    <m:type m:val="bar"/>
                  </m:fPr>
                  <m:num>
                    <m:r>
                      <m:t>1</m:t>
                    </m:r>
                  </m:num>
                  <m:den>
                    <m:r>
                      <m:t>α</m:t>
                    </m:r>
                  </m:den>
                </m:f>
                <m:d>
                  <m:dPr>
                    <m:begChr m:val="["/>
                    <m:endChr m:val="]"/>
                    <m:grow/>
                  </m:dPr>
                  <m:e>
                    <m:sSub>
                      <m:e>
                        <m:r>
                          <m:t>C</m:t>
                        </m:r>
                      </m:e>
                      <m:sub>
                        <m:r>
                          <m:rPr>
                            <m:sty m:val="p"/>
                          </m:rPr>
                          <m:t>∞</m:t>
                        </m:r>
                      </m:sub>
                    </m:sSub>
                    <m:r>
                      <m:rPr>
                        <m:sty m:val="p"/>
                      </m:rPr>
                      <m:t>+</m:t>
                    </m:r>
                    <m:f>
                      <m:fPr>
                        <m:type m:val="bar"/>
                      </m:fPr>
                      <m:num>
                        <m:sSub>
                          <m:e>
                            <m:r>
                              <m:t>C</m:t>
                            </m:r>
                          </m:e>
                          <m:sub>
                            <m:r>
                              <m:t>0</m:t>
                            </m:r>
                          </m:sub>
                        </m:sSub>
                        <m:r>
                          <m:rPr>
                            <m:sty m:val="p"/>
                          </m:rPr>
                          <m:t>−</m:t>
                        </m:r>
                        <m:sSub>
                          <m:e>
                            <m:r>
                              <m:t>C</m:t>
                            </m:r>
                          </m:e>
                          <m:sub>
                            <m:r>
                              <m:rPr>
                                <m:sty m:val="p"/>
                              </m:rPr>
                              <m:t>∞</m:t>
                            </m:r>
                          </m:sub>
                        </m:sSub>
                      </m:num>
                      <m:den>
                        <m:r>
                          <m:t>1</m:t>
                        </m:r>
                        <m:r>
                          <m:rPr>
                            <m:sty m:val="p"/>
                          </m:rPr>
                          <m:t>+</m:t>
                        </m:r>
                        <m:r>
                          <m:t>κ</m:t>
                        </m:r>
                        <m:r>
                          <m:rPr>
                            <m:sty m:val="p"/>
                          </m:rPr>
                          <m:t>/</m:t>
                        </m:r>
                        <m:sSub>
                          <m:e>
                            <m:r>
                              <m:t>k</m:t>
                            </m:r>
                          </m:e>
                          <m:sub>
                            <m:r>
                              <m:t>g</m:t>
                            </m:r>
                          </m:sub>
                        </m:sSub>
                      </m:den>
                    </m:f>
                  </m:e>
                </m:d>
                <m:r>
                  <m:rPr>
                    <m:sty m:val="p"/>
                  </m:rPr>
                  <m:t>.</m:t>
                </m:r>
              </m:oMath>
            </m:oMathPara>
          </w:p>
        </w:tc>
        <w:tc>
          <w:tcPr>
            <w:tcW w:type="dxa" w:w="907"/>
            <w:vAlign w:val="center"/>
          </w:tcPr>
          <w:p>
            <w:pPr>
              <w:jc w:val="right"/>
            </w:pPr>
            <w:r>
              <w:t xml:space="preserve">(13)</w:t>
            </w:r>
          </w:p>
        </w:tc>
      </w:tr>
    </w:tbl>
    <w:p>
      <w:pPr>
        <w:pStyle w:val="BodyText"/>
      </w:pPr>
      <m:oMath>
        <m:sSub>
          <m:e>
            <m:r>
              <m:t>C</m:t>
            </m:r>
          </m:e>
          <m:sub>
            <m:r>
              <m:t>0</m:t>
            </m:r>
          </m:sub>
        </m:sSub>
      </m:oMath>
      <w:r>
        <w:t xml:space="preserve"> </w:t>
      </w:r>
      <w:r>
        <w:t xml:space="preserve">and</w:t>
      </w:r>
      <w:r>
        <w:t xml:space="preserve"> </w:t>
      </w:r>
      <m:oMath>
        <m:sSub>
          <m:e>
            <m:r>
              <m:t>C</m:t>
            </m:r>
          </m:e>
          <m:sub>
            <m:r>
              <m:rPr>
                <m:sty m:val="p"/>
              </m:rPr>
              <m:t>∞</m:t>
            </m:r>
          </m:sub>
        </m:sSub>
      </m:oMath>
      <w:r>
        <w:t xml:space="preserve"> </w:t>
      </w:r>
      <w:r>
        <w:t xml:space="preserve">are the constants for pinned and for fixed piers at</w:t>
      </w:r>
      <w:r>
        <w:t xml:space="preserve"> </w:t>
      </w:r>
      <m:oMath>
        <m:r>
          <m:t>α</m:t>
        </m:r>
        <m:r>
          <m:rPr>
            <m:sty m:val="p"/>
          </m:rPr>
          <m:t>=</m:t>
        </m:r>
        <m:r>
          <m:t>1</m:t>
        </m:r>
      </m:oMath>
      <w:r>
        <w:t xml:space="preserve">, and</w:t>
      </w:r>
      <w:r>
        <w:t xml:space="preserve"> </w:t>
      </w:r>
      <m:oMath>
        <m:sSub>
          <m:e>
            <m:r>
              <m:t>k</m:t>
            </m:r>
          </m:e>
          <m:sub>
            <m:r>
              <m:t>g</m:t>
            </m:r>
          </m:sub>
        </m:sSub>
      </m:oMath>
      <w:r>
        <w:t xml:space="preserve"> </w:t>
      </w:r>
      <w:r>
        <w:t xml:space="preserve">is the girder’s own stiffness against this pattern of pier rotation (</w:t>
      </w:r>
      <m:oMath>
        <m:sSub>
          <m:e>
            <m:r>
              <m:t>θ</m:t>
            </m:r>
          </m:e>
          <m:sub>
            <m:r>
              <m:t>6</m:t>
            </m:r>
          </m:sub>
        </m:sSub>
        <m:r>
          <m:rPr>
            <m:sty m:val="p"/>
          </m:rPr>
          <m:t>=</m:t>
        </m:r>
        <m:r>
          <m:rPr>
            <m:sty m:val="p"/>
          </m:rPr>
          <m:t>−</m:t>
        </m:r>
        <m:sSub>
          <m:e>
            <m:r>
              <m:t>θ</m:t>
            </m:r>
          </m:e>
          <m:sub>
            <m:r>
              <m:t>7</m:t>
            </m:r>
          </m:sub>
        </m:sSub>
      </m:oMath>
      <w:r>
        <w:t xml:space="preserve">). Equation (13) is referred to below as the Möbius law. The ratio</w:t>
      </w:r>
      <w:r>
        <w:t xml:space="preserve"> </w:t>
      </w:r>
      <m:oMath>
        <m:sSub>
          <m:e>
            <m:r>
              <m:t>C</m:t>
            </m:r>
          </m:e>
          <m:sub>
            <m:r>
              <m:rPr>
                <m:sty m:val="p"/>
              </m:rPr>
              <m:t>∞</m:t>
            </m:r>
          </m:sub>
        </m:sSub>
        <m:r>
          <m:rPr>
            <m:sty m:val="p"/>
          </m:rPr>
          <m:t>/</m:t>
        </m:r>
        <m:sSub>
          <m:e>
            <m:r>
              <m:t>C</m:t>
            </m:r>
          </m:e>
          <m:sub>
            <m:r>
              <m:t>0</m:t>
            </m:r>
          </m:sub>
        </m:sSub>
      </m:oMath>
      <w:r>
        <w:t xml:space="preserve"> </w:t>
      </w:r>
      <w:r>
        <w:t xml:space="preserve">is the full change that pier fixity can produce at a gauge, and the boundary sensitivity</w:t>
      </w:r>
      <w:r>
        <w:t xml:space="preserve"> </w:t>
      </w:r>
      <m:oMath>
        <m:sSub>
          <m:e>
            <m:r>
              <m:t>B</m:t>
            </m:r>
          </m:e>
          <m:sub>
            <m:r>
              <m:t>m</m:t>
            </m:r>
          </m:sub>
        </m:sSub>
        <m:r>
          <m:rPr>
            <m:sty m:val="p"/>
          </m:rPr>
          <m:t>=</m:t>
        </m:r>
        <m:d>
          <m:dPr>
            <m:begChr m:val="|"/>
            <m:endChr m:val="|"/>
            <m:grow/>
          </m:dPr>
          <m:e>
            <m:r>
              <m:rPr>
                <m:sty m:val="p"/>
              </m:rPr>
              <m:t>∂</m:t>
            </m:r>
            <m:r>
              <m:rPr>
                <m:sty m:val="p"/>
                <m:nor/>
              </m:rPr>
              <m:t>ln</m:t>
            </m:r>
            <m:sSub>
              <m:e>
                <m:r>
                  <m:t>C</m:t>
                </m:r>
              </m:e>
              <m:sub>
                <m:r>
                  <m:t>m</m:t>
                </m:r>
              </m:sub>
            </m:sSub>
            <m:r>
              <m:rPr>
                <m:sty m:val="p"/>
              </m:rPr>
              <m:t>/</m:t>
            </m:r>
            <m:r>
              <m:rPr>
                <m:sty m:val="p"/>
              </m:rPr>
              <m:t>∂</m:t>
            </m:r>
            <m:r>
              <m:rPr>
                <m:sty m:val="p"/>
                <m:nor/>
              </m:rPr>
              <m:t>ln</m:t>
            </m:r>
            <m:r>
              <m:t>κ</m:t>
            </m:r>
          </m:e>
        </m:d>
      </m:oMath>
      <w:r>
        <w:t xml:space="preserve"> </w:t>
      </w:r>
      <w:r>
        <w:t xml:space="preserve">is the local slope of the Möbius curve</w:t>
      </w:r>
      <w:r>
        <w:t xml:space="preserve"> </w:t>
      </w:r>
      <m:oMath>
        <m:sSub>
          <m:e>
            <m:r>
              <m:t>C</m:t>
            </m:r>
          </m:e>
          <m:sub>
            <m:r>
              <m:t>m</m:t>
            </m:r>
          </m:sub>
        </m:sSub>
        <m:d>
          <m:dPr>
            <m:begChr m:val="("/>
            <m:endChr m:val=")"/>
            <m:grow/>
          </m:dPr>
          <m:e>
            <m:r>
              <m:t>κ</m:t>
            </m:r>
          </m:e>
        </m:d>
      </m:oMath>
      <w:r>
        <w:t xml:space="preserve">.</w:t>
      </w:r>
    </w:p>
    <w:p>
      <w:pPr>
        <w:pStyle w:val="BodyText"/>
      </w:pPr>
      <w:r>
        <w:t xml:space="preserve">For a symmetric prismatic three-span beam with rotational springs</w:t>
      </w:r>
      <w:r>
        <w:t xml:space="preserve"> </w:t>
      </w:r>
      <m:oMath>
        <m:r>
          <m:t>k</m:t>
        </m:r>
      </m:oMath>
      <w:r>
        <w:t xml:space="preserve"> </w:t>
      </w:r>
      <w:r>
        <w:t xml:space="preserve">at the piers, the slope-deflection method gives, with</w:t>
      </w:r>
      <w:r>
        <w:t xml:space="preserve"> </w:t>
      </w:r>
      <m:oMath>
        <m:acc>
          <m:accPr>
            <m:chr m:val="̂"/>
          </m:accPr>
          <m:e>
            <m:r>
              <m:t>k</m:t>
            </m:r>
          </m:e>
        </m:acc>
      </m:oMath>
      <w:r>
        <w:t xml:space="preserve"> </w:t>
      </w:r>
      <w:r>
        <w:t xml:space="preserve">the pier stiffness relative to the side-span rigidity,</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r>
                  <m:t>μ</m:t>
                </m:r>
                <m:d>
                  <m:dPr>
                    <m:begChr m:val="("/>
                    <m:endChr m:val=")"/>
                    <m:grow/>
                  </m:dPr>
                  <m:e>
                    <m:acc>
                      <m:accPr>
                        <m:chr m:val="̂"/>
                      </m:accPr>
                      <m:e>
                        <m:r>
                          <m:t>k</m:t>
                        </m:r>
                      </m:e>
                    </m:acc>
                  </m:e>
                </m:d>
                <m:r>
                  <m:rPr>
                    <m:sty m:val="p"/>
                  </m:rPr>
                  <m:t>=</m:t>
                </m:r>
                <m:r>
                  <m:t>1</m:t>
                </m:r>
                <m:r>
                  <m:rPr>
                    <m:sty m:val="p"/>
                  </m:rPr>
                  <m:t>+</m:t>
                </m:r>
                <m:f>
                  <m:fPr>
                    <m:type m:val="bar"/>
                  </m:fPr>
                  <m:num>
                    <m:r>
                      <m:t>β</m:t>
                    </m:r>
                    <m:d>
                      <m:dPr>
                        <m:begChr m:val="("/>
                        <m:endChr m:val=")"/>
                        <m:grow/>
                      </m:dPr>
                      <m:e>
                        <m:r>
                          <m:t>2</m:t>
                        </m:r>
                        <m:sSup>
                          <m:e>
                            <m:r>
                              <m:t>β</m:t>
                            </m:r>
                          </m:e>
                          <m:sup>
                            <m:r>
                              <m:t>2</m:t>
                            </m:r>
                          </m:sup>
                        </m:sSup>
                        <m:r>
                          <m:rPr>
                            <m:sty m:val="p"/>
                          </m:rPr>
                          <m:t>−</m:t>
                        </m:r>
                        <m:r>
                          <m:t>3</m:t>
                        </m:r>
                      </m:e>
                    </m:d>
                  </m:num>
                  <m:den>
                    <m:r>
                      <m:t>3</m:t>
                    </m:r>
                    <m:r>
                      <m:t>β</m:t>
                    </m:r>
                    <m:r>
                      <m:rPr>
                        <m:sty m:val="p"/>
                      </m:rPr>
                      <m:t>+</m:t>
                    </m:r>
                    <m:r>
                      <m:t>2</m:t>
                    </m:r>
                    <m:r>
                      <m:t>γ</m:t>
                    </m:r>
                    <m:r>
                      <m:rPr>
                        <m:sty m:val="p"/>
                      </m:rPr>
                      <m:t>+</m:t>
                    </m:r>
                    <m:r>
                      <m:t>β</m:t>
                    </m:r>
                    <m:acc>
                      <m:accPr>
                        <m:chr m:val="̂"/>
                      </m:accPr>
                      <m:e>
                        <m:r>
                          <m:t>k</m:t>
                        </m:r>
                      </m:e>
                    </m:acc>
                  </m:den>
                </m:f>
                <m:r>
                  <m:rPr>
                    <m:sty m:val="p"/>
                  </m:rPr>
                  <m:t>,</m:t>
                </m:r>
                <m:r>
                  <m:t>  </m:t>
                </m:r>
                <m:acc>
                  <m:accPr>
                    <m:chr m:val="̂"/>
                  </m:accPr>
                  <m:e>
                    <m:r>
                      <m:t>k</m:t>
                    </m:r>
                  </m:e>
                </m:acc>
                <m:r>
                  <m:rPr>
                    <m:sty m:val="p"/>
                  </m:rPr>
                  <m:t>=</m:t>
                </m:r>
                <m:f>
                  <m:fPr>
                    <m:type m:val="bar"/>
                  </m:fPr>
                  <m:num>
                    <m:r>
                      <m:t>k</m:t>
                    </m:r>
                    <m:sSub>
                      <m:e>
                        <m:r>
                          <m:t>L</m:t>
                        </m:r>
                      </m:e>
                      <m:sub>
                        <m:r>
                          <m:rPr>
                            <m:sty m:val="p"/>
                            <m:nor/>
                          </m:rPr>
                          <m:t>side</m:t>
                        </m:r>
                      </m:sub>
                    </m:sSub>
                  </m:num>
                  <m:den>
                    <m:r>
                      <m:t>E</m:t>
                    </m:r>
                    <m:sSub>
                      <m:e>
                        <m:r>
                          <m:t>I</m:t>
                        </m:r>
                      </m:e>
                      <m:sub>
                        <m:r>
                          <m:rPr>
                            <m:sty m:val="p"/>
                            <m:nor/>
                          </m:rPr>
                          <m:t>side</m:t>
                        </m:r>
                      </m:sub>
                    </m:sSub>
                  </m:den>
                </m:f>
                <m:r>
                  <m:rPr>
                    <m:sty m:val="p"/>
                  </m:rPr>
                  <m:t>.</m:t>
                </m:r>
              </m:oMath>
            </m:oMathPara>
          </w:p>
        </w:tc>
        <w:tc>
          <w:tcPr>
            <w:tcW w:type="dxa" w:w="907"/>
            <w:vAlign w:val="center"/>
          </w:tcPr>
          <w:p>
            <w:pPr>
              <w:jc w:val="right"/>
            </w:pPr>
            <w:r>
              <w:t xml:space="preserve">(14)</w:t>
            </w:r>
          </w:p>
        </w:tc>
      </w:tr>
    </w:tbl>
    <w:p>
      <w:pPr>
        <w:pStyle w:val="BodyText"/>
      </w:pPr>
      <w:r>
        <w:t xml:space="preserve">Equation (14) replaces</w:t>
      </w:r>
      <w:r>
        <w:t xml:space="preserve"> </w:t>
      </w:r>
      <m:oMath>
        <m:sSub>
          <m:e>
            <m:r>
              <m:t>μ</m:t>
            </m:r>
          </m:e>
          <m:sub>
            <m:r>
              <m:rPr>
                <m:sty m:val="p"/>
              </m:rPr>
              <m:t>3</m:t>
            </m:r>
            <m:r>
              <m:rPr>
                <m:sty m:val="p"/>
                <m:nor/>
              </m:rPr>
              <m:t>span</m:t>
            </m:r>
          </m:sub>
        </m:sSub>
      </m:oMath>
      <w:r>
        <w:t xml:space="preserve"> </w:t>
      </w:r>
      <w:r>
        <w:t xml:space="preserve">in Eq. (5). In the main span the end-moment parameter becomes</w:t>
      </w:r>
      <w:r>
        <w:t xml:space="preserve"> </w:t>
      </w:r>
      <m:oMath>
        <m:sSub>
          <m:e>
            <m:acc>
              <m:accPr>
                <m:chr m:val="¯"/>
              </m:accPr>
              <m:e>
                <m:r>
                  <m:t>M</m:t>
                </m:r>
              </m:e>
            </m:acc>
          </m:e>
          <m:sub>
            <m:r>
              <m:rPr>
                <m:sty m:val="p"/>
                <m:nor/>
              </m:rPr>
              <m:t>main</m:t>
            </m:r>
          </m:sub>
        </m:sSub>
        <m:r>
          <m:rPr>
            <m:sty m:val="p"/>
          </m:rPr>
          <m:t>=</m:t>
        </m:r>
        <m:r>
          <m:t>2</m:t>
        </m:r>
        <m:d>
          <m:dPr>
            <m:begChr m:val="("/>
            <m:endChr m:val=")"/>
            <m:grow/>
          </m:dPr>
          <m:e>
            <m:sSup>
              <m:e>
                <m:r>
                  <m:t>β</m:t>
                </m:r>
              </m:e>
              <m:sup>
                <m:r>
                  <m:t>3</m:t>
                </m:r>
              </m:sup>
            </m:sSup>
            <m:acc>
              <m:accPr>
                <m:chr m:val="̂"/>
              </m:accPr>
              <m:e>
                <m:r>
                  <m:t>k</m:t>
                </m:r>
              </m:e>
            </m:acc>
            <m:r>
              <m:rPr>
                <m:sty m:val="p"/>
              </m:rPr>
              <m:t>+</m:t>
            </m:r>
            <m:r>
              <m:t>3</m:t>
            </m:r>
            <m:sSup>
              <m:e>
                <m:r>
                  <m:t>β</m:t>
                </m:r>
              </m:e>
              <m:sup>
                <m:r>
                  <m:t>3</m:t>
                </m:r>
              </m:sup>
            </m:sSup>
            <m:r>
              <m:rPr>
                <m:sty m:val="p"/>
              </m:rPr>
              <m:t>+</m:t>
            </m:r>
            <m:r>
              <m:t>3</m:t>
            </m:r>
            <m:r>
              <m:t>γ</m:t>
            </m:r>
          </m:e>
        </m:d>
        <m:r>
          <m:rPr>
            <m:sty m:val="p"/>
          </m:rPr>
          <m:t>/</m:t>
        </m:r>
        <m:d>
          <m:dPr>
            <m:begChr m:val="["/>
            <m:endChr m:val="]"/>
            <m:grow/>
          </m:dPr>
          <m:e>
            <m:r>
              <m:t>3</m:t>
            </m:r>
            <m:sSup>
              <m:e>
                <m:r>
                  <m:t>β</m:t>
                </m:r>
              </m:e>
              <m:sup>
                <m:r>
                  <m:t>2</m:t>
                </m:r>
              </m:sup>
            </m:sSup>
            <m:d>
              <m:dPr>
                <m:begChr m:val="("/>
                <m:endChr m:val=")"/>
                <m:grow/>
              </m:dPr>
              <m:e>
                <m:r>
                  <m:t>β</m:t>
                </m:r>
                <m:acc>
                  <m:accPr>
                    <m:chr m:val="̂"/>
                  </m:accPr>
                  <m:e>
                    <m:r>
                      <m:t>k</m:t>
                    </m:r>
                  </m:e>
                </m:acc>
                <m:r>
                  <m:rPr>
                    <m:sty m:val="p"/>
                  </m:rPr>
                  <m:t>+</m:t>
                </m:r>
                <m:r>
                  <m:t>3</m:t>
                </m:r>
                <m:r>
                  <m:t>β</m:t>
                </m:r>
                <m:r>
                  <m:rPr>
                    <m:sty m:val="p"/>
                  </m:rPr>
                  <m:t>+</m:t>
                </m:r>
                <m:r>
                  <m:t>2</m:t>
                </m:r>
                <m:r>
                  <m:t>γ</m:t>
                </m:r>
              </m:e>
            </m:d>
          </m:e>
        </m:d>
      </m:oMath>
      <w:r>
        <w:t xml:space="preserve">, which reduces to</w:t>
      </w:r>
      <w:r>
        <w:t xml:space="preserve"> </w:t>
      </w:r>
      <m:oMath>
        <m:r>
          <m:t>μ</m:t>
        </m:r>
        <m:r>
          <m:rPr>
            <m:sty m:val="p"/>
          </m:rPr>
          <m:t>/</m:t>
        </m:r>
        <m:sSup>
          <m:e>
            <m:r>
              <m:t>β</m:t>
            </m:r>
          </m:e>
          <m:sup>
            <m:r>
              <m:t>2</m:t>
            </m:r>
          </m:sup>
        </m:sSup>
      </m:oMath>
      <w:r>
        <w:t xml:space="preserve"> </w:t>
      </w:r>
      <w:r>
        <w:t xml:space="preserve">for pinned piers. For</w:t>
      </w:r>
      <w:r>
        <w:t xml:space="preserve"> </w:t>
      </w:r>
      <m:oMath>
        <m:r>
          <m:t>β</m:t>
        </m:r>
        <m:r>
          <m:rPr>
            <m:sty m:val="p"/>
          </m:rPr>
          <m:t>=</m:t>
        </m:r>
        <m:r>
          <m:t>90</m:t>
        </m:r>
        <m:r>
          <m:rPr>
            <m:sty m:val="p"/>
          </m:rPr>
          <m:t>/</m:t>
        </m:r>
        <m:r>
          <m:t>55</m:t>
        </m:r>
        <m:r>
          <m:rPr>
            <m:sty m:val="p"/>
          </m:rPr>
          <m:t>=</m:t>
        </m:r>
        <m:r>
          <m:t>1.636</m:t>
        </m:r>
      </m:oMath>
      <w:r>
        <w:t xml:space="preserve">, the span ratio of the bridge in Section 5, the side-span indicator at</w:t>
      </w:r>
      <w:r>
        <w:t xml:space="preserve"> </w:t>
      </w:r>
      <m:oMath>
        <m:r>
          <m:t>ξ</m:t>
        </m:r>
        <m:r>
          <m:rPr>
            <m:sty m:val="p"/>
          </m:rPr>
          <m:t>=</m:t>
        </m:r>
        <m:r>
          <m:t>0.4</m:t>
        </m:r>
      </m:oMath>
      <w:r>
        <w:t xml:space="preserve"> </w:t>
      </w:r>
      <w:r>
        <w:t xml:space="preserve">rises from 0.287 with pinned piers to 1.037 with fixed piers, while the mid main-span indicator falls from 0.755 to 0.500. Rotational restraint thus moves the side-span gauge away from blindness but makes its constant strongly dependent on</w:t>
      </w:r>
      <w:r>
        <w:t xml:space="preserve"> </w:t>
      </w:r>
      <m:oMath>
        <m:r>
          <m:t>k</m:t>
        </m:r>
      </m:oMath>
      <w:r>
        <w:t xml:space="preserve">.</w:t>
      </w:r>
    </w:p>
    <w:bookmarkEnd w:id="35"/>
    <w:bookmarkEnd w:id="36"/>
    <w:bookmarkStart w:id="37" w:name="laboratory-check-of-the-identity"/>
    <w:p>
      <w:pPr>
        <w:pStyle w:val="Heading2"/>
      </w:pPr>
      <w:r>
        <w:t xml:space="preserve">3. Laboratory check of the identity</w:t>
      </w:r>
    </w:p>
    <w:p>
      <w:pPr>
        <w:pStyle w:val="FirstParagraph"/>
      </w:pPr>
      <w:r>
        <w:t xml:space="preserve">A static test on a two-span beam checks the model and the algorithm, not performance under moving traffic. A steel hollow square tube, 25 mm × 25 mm × 2.03 mm (</w:t>
      </w:r>
      <m:oMath>
        <m:r>
          <m:t>I</m:t>
        </m:r>
        <m:r>
          <m:rPr>
            <m:sty m:val="p"/>
          </m:rPr>
          <m:t>=</m:t>
        </m:r>
        <m:r>
          <m:t>16</m:t>
        </m:r>
        <m:r>
          <m:t> </m:t>
        </m:r>
        <m:r>
          <m:t>530</m:t>
        </m:r>
      </m:oMath>
      <w:r>
        <w:t xml:space="preserve"> </w:t>
      </w:r>
      <w:r>
        <w:t xml:space="preserve">mm⁴,</w:t>
      </w:r>
      <w:r>
        <w:t xml:space="preserve"> </w:t>
      </w:r>
      <m:oMath>
        <m:r>
          <m:t>E</m:t>
        </m:r>
        <m:r>
          <m:rPr>
            <m:sty m:val="p"/>
          </m:rPr>
          <m:t>=</m:t>
        </m:r>
        <m:r>
          <m:t>200</m:t>
        </m:r>
      </m:oMath>
      <w:r>
        <w:t xml:space="preserve"> </w:t>
      </w:r>
      <w:r>
        <w:t xml:space="preserve">GPa), formed two equal spans of 2500 mm, giving</w:t>
      </w:r>
      <w:r>
        <w:t xml:space="preserve"> </w:t>
      </w:r>
      <m:oMath>
        <m:sSub>
          <m:e>
            <m:r>
              <m:t>C</m:t>
            </m:r>
          </m:e>
          <m:sub>
            <m:r>
              <m:t>m</m:t>
            </m:r>
          </m:sub>
        </m:sSub>
        <m:r>
          <m:rPr>
            <m:sty m:val="p"/>
          </m:rPr>
          <m:t>=</m:t>
        </m:r>
        <m:sSup>
          <m:e>
            <m:r>
              <m:t>L</m:t>
            </m:r>
          </m:e>
          <m:sup>
            <m:r>
              <m:t>4</m:t>
            </m:r>
          </m:sup>
        </m:sSup>
        <m:r>
          <m:rPr>
            <m:sty m:val="p"/>
          </m:rPr>
          <m:t>/</m:t>
        </m:r>
        <m:d>
          <m:dPr>
            <m:begChr m:val="("/>
            <m:endChr m:val=")"/>
            <m:grow/>
          </m:dPr>
          <m:e>
            <m:r>
              <m:t>192</m:t>
            </m:r>
            <m:r>
              <m:t>E</m:t>
            </m:r>
            <m:r>
              <m:t>I</m:t>
            </m:r>
          </m:e>
        </m:d>
        <m:r>
          <m:rPr>
            <m:sty m:val="p"/>
          </m:rPr>
          <m:t>=</m:t>
        </m:r>
        <m:r>
          <m:t>61.54</m:t>
        </m:r>
      </m:oMath>
      <w:r>
        <w:t xml:space="preserve"> </w:t>
      </w:r>
      <w:r>
        <w:t xml:space="preserve">mm²/N at mid-span of the first span (</w:t>
      </w:r>
      <m:oMath>
        <m:r>
          <m:t>L</m:t>
        </m:r>
      </m:oMath>
      <w:r>
        <w:t xml:space="preserve"> </w:t>
      </w:r>
      <w:r>
        <w:t xml:space="preserve">the span length). Deflection there was measured with 0.005 mm resolution while calibrated weights of the International Organization of Legal Metrology (OIML) class M1 were suspended at 250 mm steps: a single 40.64 N reference load, two loads 250 mm apart, and three loads. The order of the three loads was not recorded; the order used fits the record best (root-mean-square residual 0.030 mm against 0.55 mm for the reversed order), so the three-load result is not a fully independent test.</w:t>
      </w:r>
    </w:p>
    <w:p>
      <w:pPr>
        <w:pStyle w:val="BodyText"/>
      </w:pPr>
      <w:r>
        <w:t xml:space="preserve">The analytical influence line matched the single-load record within 0.0126 mm, 0.44 % of the peak. With the trapezoidal rule, BPM overestimated the weighed totals of 66.99 N and 125.08 N by 1.10 % and 1.19 %, and SLM by 0.61 % and 0.70 % (Supplementary Table S4). The BPM-to-SLM ratio equals 1.0049, the ratio of the measured reference integral to its exact value: SLM absorbs the calibration error of the reference record, whereas BPM does not (Supplementary Section S6). The test supports the invariance of Eq. (2) only indirectly.</w:t>
      </w:r>
    </w:p>
    <w:bookmarkEnd w:id="37"/>
    <w:bookmarkStart w:id="47" w:name="Xe1311ac215d3e8813c764a8efcfd513d49f2fa4"/>
    <w:p>
      <w:pPr>
        <w:pStyle w:val="Heading2"/>
      </w:pPr>
      <w:r>
        <w:t xml:space="preserve">4. Assumptions and noise model on public moving-truck records</w:t>
      </w:r>
    </w:p>
    <w:p>
      <w:pPr>
        <w:pStyle w:val="FirstParagraph"/>
      </w:pPr>
      <w:r>
        <w:t xml:space="preserve">Public records test the assumptions of the identity and the noise model of Section 2.4, with 95 % confidence intervals (CIs).</w:t>
      </w:r>
    </w:p>
    <w:bookmarkStart w:id="41" w:name="data-and-processing"/>
    <w:p>
      <w:pPr>
        <w:pStyle w:val="Heading3"/>
      </w:pPr>
      <w:r>
        <w:t xml:space="preserve">4.1. Data and processing</w:t>
      </w:r>
    </w:p>
    <w:p>
      <w:pPr>
        <w:pStyle w:val="FirstParagraph"/>
      </w:pPr>
      <w:r>
        <w:t xml:space="preserve">The Nothing-on-Road BWIM (NOR-BWIM) dataset (Moghadam and Sarlo, 2024) contains strain records of the Virginia Smart Road Bridge (Moghadam, 2022; Moghadam et al., 2022, 2023a, 2023b), a post-tensioned concrete box girder continuous over five spans of 86.5 + 3 × 144 + 86.5 m = 605 m, from transducers on the top-slab soffit near mid-span of span 2. Day 1 has 12 channels (names beginning</w:t>
      </w:r>
      <w:r>
        <w:t xml:space="preserve"> </w:t>
      </w:r>
      <w:r>
        <w:t xml:space="preserve">“</w:t>
      </w:r>
      <w:r>
        <w:t xml:space="preserve">ch</w:t>
      </w:r>
      <w:r>
        <w:t xml:space="preserve">”</w:t>
      </w:r>
      <w:r>
        <w:t xml:space="preserve">), four of them without axle spikes; day 2 has four channels in one line under the wheel path (names beginning</w:t>
      </w:r>
      <w:r>
        <w:t xml:space="preserve"> </w:t>
      </w:r>
      <w:r>
        <w:t xml:space="preserve">“</w:t>
      </w:r>
      <w:r>
        <w:t xml:space="preserve">st</w:t>
      </w:r>
      <w:r>
        <w:t xml:space="preserve">”</w:t>
      </w:r>
      <w:r>
        <w:t xml:space="preserve">). On day 1, two 3-axle trucks with driver-reported gross weights ran in the instrumented lane (Moghadam, 2022). On day 2, a 3-axle truck of 26.8 t and a 5-axle truck of 25.9 t, weighed on a static scale, ran in the instrumented lane (lane A), in the other lane (lane B), and in two runs one behind the other. Each record was re-zeroed with a linear baseline fitted to vehicle-free segments before and after the crossing, integrated over the whole crossing and converted to</w:t>
      </w:r>
      <w:r>
        <w:t xml:space="preserve"> </w:t>
      </w:r>
      <m:oMath>
        <m:r>
          <m:rPr>
            <m:sty m:val="p"/>
          </m:rPr>
          <m:t>∫</m:t>
        </m:r>
        <m:r>
          <m:t>ε</m:t>
        </m:r>
        <m:r>
          <m:t> </m:t>
        </m:r>
        <m:r>
          <m:rPr>
            <m:sty m:val="p"/>
            <m:nor/>
          </m:rPr>
          <m:t>d</m:t>
        </m:r>
        <m:r>
          <m:t>x</m:t>
        </m:r>
      </m:oMath>
      <w:r>
        <w:t xml:space="preserve"> </w:t>
      </w:r>
      <w:r>
        <w:t xml:space="preserve">with the speed from the axle spikes (Fig. 4); the noise of the integral came from vehicle-free windows of crossing length.</w:t>
      </w:r>
    </w:p>
    <w:p>
      <w:pPr>
        <w:pStyle w:val="Figure"/>
      </w:pPr>
      <w:r>
        <w:drawing>
          <wp:inline>
            <wp:extent cx="4147199" cy="4319999"/>
            <wp:effectExtent b="0" l="0" r="0" t="0"/>
            <wp:docPr descr="" title="" id="39" name="Picture"/>
            <a:graphic>
              <a:graphicData uri="http://schemas.openxmlformats.org/drawingml/2006/picture">
                <pic:pic>
                  <pic:nvPicPr>
                    <pic:cNvPr descr="/home/user/SHM-Paper1-1D/manuscript/ase/figures/Fig4_norbwim_crossings.png" id="40" name="Picture"/>
                    <pic:cNvPicPr>
                      <a:picLocks noChangeArrowheads="1" noChangeAspect="1"/>
                    </pic:cNvPicPr>
                  </pic:nvPicPr>
                  <pic:blipFill>
                    <a:blip r:embed="rId38"/>
                    <a:stretch>
                      <a:fillRect/>
                    </a:stretch>
                  </pic:blipFill>
                  <pic:spPr bwMode="auto">
                    <a:xfrm>
                      <a:off x="0" y="0"/>
                      <a:ext cx="4147199" cy="4319999"/>
                    </a:xfrm>
                    <a:prstGeom prst="rect">
                      <a:avLst/>
                    </a:prstGeom>
                    <a:noFill/>
                    <a:ln w="9525">
                      <a:noFill/>
                      <a:headEnd/>
                      <a:tailEnd/>
                    </a:ln>
                  </pic:spPr>
                </pic:pic>
              </a:graphicData>
            </a:graphic>
          </wp:inline>
        </w:drawing>
      </w:r>
    </w:p>
    <w:p>
      <w:pPr>
        <w:pStyle w:val="Captionjustified"/>
        <w:keepLines/>
      </w:pPr>
      <w:r>
        <w:rPr>
          <w:bCs/>
          <w:b/>
        </w:rPr>
        <w:t xml:space="preserve">Figure 4.</w:t>
      </w:r>
      <w:r>
        <w:t xml:space="preserve"> </w:t>
      </w:r>
      <w:r>
        <w:t xml:space="preserve">NOR-BWIM strain records of three single-truck crossings of the five-span girder, against time; the integrals are converted to space with the measured speed. Thin traces: the same gauges unfiltered; thick traces: low-pass filtered at 0.5 Hz; vertical lines: entry and exit of the truck. Shaded: integration window; dashed: beam-model shape; legend values: integral</w:t>
      </w:r>
      <w:r>
        <w:t xml:space="preserve"> </w:t>
      </w:r>
      <m:oMath>
        <m:r>
          <m:rPr>
            <m:sty m:val="p"/>
          </m:rPr>
          <m:t>∫</m:t>
        </m:r>
        <m:r>
          <m:t>ε</m:t>
        </m:r>
        <m:r>
          <m:t> </m:t>
        </m:r>
        <m:r>
          <m:rPr>
            <m:sty m:val="p"/>
            <m:nor/>
          </m:rPr>
          <m:t>d</m:t>
        </m:r>
        <m:r>
          <m:t>x</m:t>
        </m:r>
      </m:oMath>
      <w:r>
        <w:t xml:space="preserve"> </w:t>
      </w:r>
      <w:r>
        <w:t xml:space="preserve">per gauge, in µε m.</w:t>
      </w:r>
    </w:p>
    <w:bookmarkEnd w:id="41"/>
    <w:bookmarkStart w:id="45" w:name="invariance-lanes-and-gauges"/>
    <w:p>
      <w:pPr>
        <w:pStyle w:val="Heading3"/>
      </w:pPr>
      <w:r>
        <w:t xml:space="preserve">4.2. Invariance, lanes and gauges</w:t>
      </w:r>
    </w:p>
    <w:p>
      <w:pPr>
        <w:pStyle w:val="FirstParagraph"/>
      </w:pPr>
      <w:r>
        <w:t xml:space="preserve">The records show invariance between trucks only within margins of 12 % (day 1) to 27 % (day 2). On day 2, the ratio of the gauge-average constants of the 5-axle and the 3-axle truck is 0.98 (95 % CI 0.70–1.37; Fig. 5b): consistent with Eq. (2), but with eight runs an equivalence test (90 % CI 0.76–1.27) cannot exclude differences of up to about 27 %, so it is a coarse check of linearity and processing. On day 1, the four gauges without axle spikes give constants 22–26 % lower for the second truck, but speed and truck are almost perfectly confounded, so wheel path, local deck action or speed may cause this. Per-gauge tests (Fig. 5a), the confounding and the speed effect are treated in Supplementary Section S7 (Tables S6 and S7, Fig. S9).</w:t>
      </w:r>
    </w:p>
    <w:p>
      <w:pPr>
        <w:pStyle w:val="Figure"/>
      </w:pPr>
      <w:r>
        <w:drawing>
          <wp:inline>
            <wp:extent cx="5039999" cy="2239999"/>
            <wp:effectExtent b="0" l="0" r="0" t="0"/>
            <wp:docPr descr="" title="" id="43" name="Picture"/>
            <a:graphic>
              <a:graphicData uri="http://schemas.openxmlformats.org/drawingml/2006/picture">
                <pic:pic>
                  <pic:nvPicPr>
                    <pic:cNvPr descr="/home/user/SHM-Paper1-1D/manuscript/ase/figures/Fig5_norbwim_invariance.png" id="44" name="Picture"/>
                    <pic:cNvPicPr>
                      <a:picLocks noChangeArrowheads="1" noChangeAspect="1"/>
                    </pic:cNvPicPr>
                  </pic:nvPicPr>
                  <pic:blipFill>
                    <a:blip r:embed="rId42"/>
                    <a:stretch>
                      <a:fillRect/>
                    </a:stretch>
                  </pic:blipFill>
                  <pic:spPr bwMode="auto">
                    <a:xfrm>
                      <a:off x="0" y="0"/>
                      <a:ext cx="5039999" cy="2239999"/>
                    </a:xfrm>
                    <a:prstGeom prst="rect">
                      <a:avLst/>
                    </a:prstGeom>
                    <a:noFill/>
                    <a:ln w="9525">
                      <a:noFill/>
                      <a:headEnd/>
                      <a:tailEnd/>
                    </a:ln>
                  </pic:spPr>
                </pic:pic>
              </a:graphicData>
            </a:graphic>
          </wp:inline>
        </w:drawing>
      </w:r>
    </w:p>
    <w:p>
      <w:pPr>
        <w:pStyle w:val="Captionjustified"/>
        <w:keepLines/>
      </w:pPr>
      <w:r>
        <w:rPr>
          <w:bCs/>
          <w:b/>
        </w:rPr>
        <w:t xml:space="preserve">Figure 5.</w:t>
      </w:r>
      <w:r>
        <w:t xml:space="preserve"> </w:t>
      </w:r>
      <w:r>
        <w:t xml:space="preserve">Ratio of the integral constants of two trucks, per gauge and gauge average, with 95 % confidence intervals: (a) day 1, second to first 3-axle truck, gauge average over the four wheel-path gauges; (b) day 2, 5-axle to 3-axle truck; the CI of st40 in (b) extends beyond the axis. Gray band: ±10 %. Red: invariance rejected; blue: equivalent within ±10 %; orange: inconclusive.</w:t>
      </w:r>
    </w:p>
    <w:p>
      <w:pPr>
        <w:pStyle w:val="BodyText"/>
      </w:pPr>
      <w:r>
        <w:t xml:space="preserve">The evidence favors lane-specific constants. For the gauge average, return trips in lane B gave constants 0.79 times those of lane A (95 % CI 0.59–1.00), as on another continuous girder (Wu et al., 2020), but the lane effect is clearly resolved for one gauge only (st36; Supplementary Section S7). For the gauge average, the two runs with the trucks one behind the other gave 0.92 of the summed single-truck predictions (pooled 95 % CI 0.77–1.06), consistent with superposition although both runs fall below the prediction.</w:t>
      </w:r>
    </w:p>
    <w:p>
      <w:pPr>
        <w:pStyle w:val="BodyText"/>
      </w:pPr>
      <w:r>
        <w:t xml:space="preserve">Each deck gauge needs its own constant, from a weighed vehicle or a three-dimensional model, because the deck-soffit gauges also respond to slab bending and shear lag. The constant of ch11 is 3.9 times that of ch8, although the gauges are within 6 m of each other and a one-dimensional beam model predicts nearly equal constants, and the st36-to-st40 ratio changes with the lane (Supplementary Section S7); both observations make a spread of gauge factors an unlikely cause. A beam model still reproduces the global shape of the strain histories and confirms two points of Section 2: the gauges are not blind, since the zeros of the uniform-load moment diagram in span 2 lie about 35 m away, and the whole 605 m crossing must be integrated, since span 2 contributes about 170 % of the net integral (Supplementary Section S7).</w:t>
      </w:r>
    </w:p>
    <w:bookmarkEnd w:id="45"/>
    <w:bookmarkStart w:id="46" w:name="noise-model-and-multi-channel-estimators"/>
    <w:p>
      <w:pPr>
        <w:pStyle w:val="Heading3"/>
      </w:pPr>
      <w:r>
        <w:t xml:space="preserve">4.3. Noise model and multi-channel estimators</w:t>
      </w:r>
    </w:p>
    <w:p>
      <w:pPr>
        <w:pStyle w:val="FirstParagraph"/>
      </w:pPr>
      <w:r>
        <w:t xml:space="preserve">Single gauges, the gauge average, GLS (Eq. (11)) and the zero-sum estimator (Eq. (12)) were compared by leave-one-run-out cross-validation with</w:t>
      </w:r>
      <w:r>
        <w:t xml:space="preserve"> </w:t>
      </w:r>
      <m:oMath>
        <m:r>
          <m:t>Σ</m:t>
        </m:r>
      </m:oMath>
      <w:r>
        <w:t xml:space="preserve"> </w:t>
      </w:r>
      <w:r>
        <w:t xml:space="preserve">from vehicle-free windows (Table 2; further results in Supplementary Table S8 and Fig. S10).</w:t>
      </w:r>
    </w:p>
    <w:p>
      <w:pPr>
        <w:pStyle w:val="BodyText"/>
        <w:keepNext/>
        <w:keepLines/>
      </w:pPr>
      <w:r>
        <w:rPr>
          <w:bCs/>
          <w:b/>
        </w:rPr>
        <w:t xml:space="preserve">Table 2.</w:t>
      </w:r>
      <w:r>
        <w:t xml:space="preserve"> </w:t>
      </w:r>
      <w:r>
        <w:t xml:space="preserve">Mean absolute error (MAE) of the gross weight (% of gross vehicle weight), leave-one-run-out, with 95 % percentile bootstrap CIs (10 000 resamples of the test runs; 8 runs on day 2, 7 on day 1). GLS uses</w:t>
      </w:r>
      <w:r>
        <w:t xml:space="preserve"> </w:t>
      </w:r>
      <m:oMath>
        <m:r>
          <m:t>Σ</m:t>
        </m:r>
      </m:oMath>
      <w:r>
        <w:t xml:space="preserve"> </w:t>
      </w:r>
      <w:r>
        <w:t xml:space="preserve">measured in vehicle-free windows. With so few runs, percentile intervals may under-cover.</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3981"/>
        <w:gridCol w:w="2765"/>
        <w:gridCol w:w="2322"/>
      </w:tblGrid>
      <w:tr>
        <w:trPr>
          <w:tblHeader w:val="true"/>
          <w:tblHeader w:val="true"/>
          <w:cantSplit/>
        </w:trPr>
        <w:tc>
          <w:tcPr>
            <w:tcW w:type="dxa" w:w="3981"/>
            <w:tcBorders>
              <w:top w:val="nil"/>
              <w:left w:val="nil"/>
              <w:bottom w:val="single" w:sz="6" w:space="0" w:color="000000"/>
              <w:right w:val="nil"/>
            </w:tcBorders>
          </w:tcPr>
          <w:p>
            <w:pPr>
              <w:keepNext/>
              <w:pStyle w:val="Compact"/>
              <w:jc w:val="left"/>
            </w:pPr>
            <w:r>
              <w:t xml:space="preserve">Estimator</w:t>
            </w:r>
          </w:p>
        </w:tc>
        <w:tc>
          <w:tcPr>
            <w:tcW w:type="dxa" w:w="2765"/>
            <w:tcBorders>
              <w:top w:val="nil"/>
              <w:left w:val="nil"/>
              <w:bottom w:val="single" w:sz="6" w:space="0" w:color="000000"/>
              <w:right w:val="nil"/>
            </w:tcBorders>
          </w:tcPr>
          <w:p>
            <w:pPr>
              <w:keepNext/>
              <w:pStyle w:val="Compact"/>
              <w:jc w:val="right"/>
            </w:pPr>
            <w:r>
              <w:t xml:space="preserve">Day 2, 4 gauges</w:t>
            </w:r>
          </w:p>
        </w:tc>
        <w:tc>
          <w:tcPr>
            <w:tcW w:type="dxa" w:w="2322"/>
            <w:tcBorders>
              <w:top w:val="nil"/>
              <w:left w:val="nil"/>
              <w:bottom w:val="single" w:sz="6" w:space="0" w:color="000000"/>
              <w:right w:val="nil"/>
            </w:tcBorders>
          </w:tcPr>
          <w:p>
            <w:pPr>
              <w:keepNext/>
              <w:pStyle w:val="Compact"/>
              <w:jc w:val="right"/>
            </w:pPr>
            <w:r>
              <w:t xml:space="preserve">Day 1, 12 gauges</w:t>
            </w:r>
          </w:p>
        </w:tc>
      </w:tr>
      <w:tr>
        <w:trPr>
          <w:cantSplit/>
        </w:trPr>
        <w:tc>
          <w:tcPr>
            <w:tcW w:type="dxa" w:w="3981"/>
          </w:tcPr>
          <w:p>
            <w:pPr>
              <w:keepNext/>
              <w:pStyle w:val="Compact"/>
              <w:jc w:val="left"/>
            </w:pPr>
            <w:r>
              <w:t xml:space="preserve">Gauge average</w:t>
            </w:r>
          </w:p>
        </w:tc>
        <w:tc>
          <w:tcPr>
            <w:tcW w:type="dxa" w:w="2765"/>
          </w:tcPr>
          <w:p>
            <w:pPr>
              <w:keepNext/>
              <w:pStyle w:val="Compact"/>
              <w:jc w:val="right"/>
            </w:pPr>
            <w:r>
              <w:t xml:space="preserve">11.9 (6.0–18.6)</w:t>
            </w:r>
          </w:p>
        </w:tc>
        <w:tc>
          <w:tcPr>
            <w:tcW w:type="dxa" w:w="2322"/>
          </w:tcPr>
          <w:p>
            <w:pPr>
              <w:keepNext/>
              <w:pStyle w:val="Compact"/>
              <w:jc w:val="right"/>
            </w:pPr>
            <w:r>
              <w:t xml:space="preserve">5.3 (2.5–7.8)</w:t>
            </w:r>
          </w:p>
        </w:tc>
      </w:tr>
      <w:tr>
        <w:trPr>
          <w:cantSplit/>
        </w:trPr>
        <w:tc>
          <w:tcPr>
            <w:tcW w:type="dxa" w:w="3981"/>
          </w:tcPr>
          <w:p>
            <w:pPr>
              <w:keepNext/>
              <w:pStyle w:val="Compact"/>
              <w:jc w:val="left"/>
            </w:pPr>
            <w:r>
              <w:t xml:space="preserve">GLS, measured</w:t>
            </w:r>
            <w:r>
              <w:t xml:space="preserve"> </w:t>
            </w:r>
            <m:oMath>
              <m:r>
                <m:t>Σ</m:t>
              </m:r>
            </m:oMath>
          </w:p>
        </w:tc>
        <w:tc>
          <w:tcPr>
            <w:tcW w:type="dxa" w:w="2765"/>
          </w:tcPr>
          <w:p>
            <w:pPr>
              <w:keepNext/>
              <w:pStyle w:val="Compact"/>
              <w:jc w:val="right"/>
            </w:pPr>
            <w:r>
              <w:t xml:space="preserve">20.4 (12.3–28.8)</w:t>
            </w:r>
          </w:p>
        </w:tc>
        <w:tc>
          <w:tcPr>
            <w:tcW w:type="dxa" w:w="2322"/>
          </w:tcPr>
          <w:p>
            <w:pPr>
              <w:keepNext/>
              <w:pStyle w:val="Compact"/>
              <w:jc w:val="right"/>
            </w:pPr>
            <w:r>
              <w:t xml:space="preserve">5.8 (3.5–8.1)</w:t>
            </w:r>
          </w:p>
        </w:tc>
      </w:tr>
      <w:tr>
        <w:trPr>
          <w:cantSplit/>
        </w:trPr>
        <w:tc>
          <w:tcPr>
            <w:tcW w:type="dxa" w:w="3981"/>
          </w:tcPr>
          <w:p>
            <w:pPr>
              <w:keepNext/>
              <w:pStyle w:val="Compact"/>
              <w:jc w:val="left"/>
            </w:pPr>
            <w:r>
              <w:t xml:space="preserve">Best single gauge (chosen after the fact)</w:t>
            </w:r>
          </w:p>
        </w:tc>
        <w:tc>
          <w:tcPr>
            <w:tcW w:type="dxa" w:w="2765"/>
          </w:tcPr>
          <w:p>
            <w:pPr>
              <w:keepNext/>
              <w:pStyle w:val="Compact"/>
              <w:jc w:val="right"/>
            </w:pPr>
            <w:r>
              <w:t xml:space="preserve">8.4 (2.9–15.3)</w:t>
            </w:r>
          </w:p>
        </w:tc>
        <w:tc>
          <w:tcPr>
            <w:tcW w:type="dxa" w:w="2322"/>
          </w:tcPr>
          <w:p>
            <w:pPr>
              <w:keepNext/>
              <w:pStyle w:val="Compact"/>
              <w:jc w:val="right"/>
            </w:pPr>
            <w:r>
              <w:t xml:space="preserve">4.8 (1.8–7.9)</w:t>
            </w:r>
          </w:p>
        </w:tc>
      </w:tr>
      <w:tr>
        <w:trPr>
          <w:cantSplit/>
        </w:trPr>
        <w:tc>
          <w:tcPr>
            <w:tcW w:type="dxa" w:w="3981"/>
          </w:tcPr>
          <w:p>
            <w:pPr>
              <w:pStyle w:val="Compact"/>
              <w:jc w:val="left"/>
            </w:pPr>
            <w:r>
              <w:t xml:space="preserve">Mean-weight predictor (mean of the calibration runs)</w:t>
            </w:r>
          </w:p>
        </w:tc>
        <w:tc>
          <w:tcPr>
            <w:tcW w:type="dxa" w:w="2765"/>
          </w:tcPr>
          <w:p>
            <w:pPr>
              <w:pStyle w:val="Compact"/>
              <w:jc w:val="right"/>
            </w:pPr>
            <w:r>
              <w:t xml:space="preserve">2.0 (1.9–2.0)</w:t>
            </w:r>
          </w:p>
        </w:tc>
        <w:tc>
          <w:tcPr>
            <w:tcW w:type="dxa" w:w="2322"/>
          </w:tcPr>
          <w:p>
            <w:pPr>
              <w:pStyle w:val="Compact"/>
              <w:jc w:val="right"/>
            </w:pPr>
            <w:r>
              <w:t xml:space="preserve">2.2 (1.1–3.5)</w:t>
            </w:r>
          </w:p>
        </w:tc>
      </w:tr>
    </w:tbl>
    <w:p>
      <w:pPr>
        <w:pStyle w:val="BodyText"/>
      </w:pPr>
      <w:r>
        <w:t xml:space="preserve">On day 2, GLS was worse than the gauge average, 20.4 % against 11.9 % MAE, with a paired difference of +8.5 percentage points (95 % CI +2.3 to +15.1); the zero-sum estimator (20.3 %) was worse as well. On day 1 the estimators cannot be told apart. A predictor that always returns the mean calibration weight beats every estimator on both days, so the records cannot show weight discrimination.</w:t>
      </w:r>
    </w:p>
    <w:p>
      <w:pPr>
        <w:pStyle w:val="BodyText"/>
      </w:pPr>
      <w:r>
        <w:t xml:space="preserve">The vehicle-free noise of the four day-2 channels is strongly common-mode, but the crossing residuals (deviations of each crossing’s integral from its calibrated value) are much less correlated between gauges: 0.63 against 0.90 for vehicle-free noise at the same window length. The vehicle-free covariance therefore predicted GLS to beat the average; the residual covariance reproduces the observed order, an in-sample consistency check only (Supplementary Section S7). The gauge-specific component of each crossing, plausibly from the wheel path and local slab action, is amplified by the large GLS weights of opposite sign on st40 and st36. Vehicle-free windows are therefore not enough to estimate</w:t>
      </w:r>
      <w:r>
        <w:t xml:space="preserve"> </w:t>
      </w:r>
      <m:oMath>
        <m:r>
          <m:t>Σ</m:t>
        </m:r>
      </m:oMath>
      <w:r>
        <w:t xml:space="preserve">, and hence</w:t>
      </w:r>
      <w:r>
        <w:t xml:space="preserve"> </w:t>
      </w:r>
      <m:oMath>
        <m:r>
          <m:t>ρ</m:t>
        </m:r>
      </m:oMath>
      <w:r>
        <w:t xml:space="preserve">. Crossing residuals are the better basis but were not sufficient here: with eight runs,</w:t>
      </w:r>
      <w:r>
        <w:t xml:space="preserve"> </w:t>
      </w:r>
      <m:oMath>
        <m:r>
          <m:t>Σ</m:t>
        </m:r>
      </m:oMath>
      <w:r>
        <w:t xml:space="preserve"> </w:t>
      </w:r>
      <w:r>
        <w:t xml:space="preserve">estimated from them over-fitted (MAE 8.5 % in sample against 23.4 % out of sample; Supplementary Section S7), so enough calibration crossings and an out-of-sample check are needed.</w:t>
      </w:r>
    </w:p>
    <w:bookmarkEnd w:id="46"/>
    <w:bookmarkEnd w:id="47"/>
    <w:bookmarkStart w:id="57" w:name="X905b9edee6dff7c6c26aae9854d3fe45787768b"/>
    <w:p>
      <w:pPr>
        <w:pStyle w:val="Heading2"/>
      </w:pPr>
      <w:r>
        <w:t xml:space="preserve">5. Design case: an in-service three-span box girder</w:t>
      </w:r>
    </w:p>
    <w:bookmarkStart w:id="51" w:name="bridge-data-and-model"/>
    <w:p>
      <w:pPr>
        <w:pStyle w:val="Heading3"/>
      </w:pPr>
      <w:r>
        <w:t xml:space="preserve">5.1. Bridge, data and model</w:t>
      </w:r>
    </w:p>
    <w:p>
      <w:pPr>
        <w:pStyle w:val="FirstParagraph"/>
      </w:pPr>
      <w:r>
        <w:t xml:space="preserve">The Mây Bridge crosses the Kinh Môn River in Hải Dương, Viet Nam. Its main bridge is a 55 + 90 + 55 m continuous prestressed concrete box girder built by balanced cantilever (</w:t>
      </w:r>
      <m:oMath>
        <m:r>
          <m:t>β</m:t>
        </m:r>
        <m:r>
          <m:rPr>
            <m:sty m:val="p"/>
          </m:rPr>
          <m:t>=</m:t>
        </m:r>
        <m:r>
          <m:t>1.636</m:t>
        </m:r>
      </m:oMath>
      <w:r>
        <w:t xml:space="preserve">), 2.40 m deep at mid-span and 5.40 m at the piers. The inner piers T6 and T7 are monolithic with the girder; the end supports T5 and T8 carry pot bearings. In the June 2020 acceptance test, 3-axle trucks with a mean weighed gross weight of 25.06 t stood in the side and main spans, and dial gauges read the peak deflection at N8, in the side span at 0.4</w:t>
      </w:r>
      <m:oMath>
        <m:r>
          <m:t>L</m:t>
        </m:r>
      </m:oMath>
      <w:r>
        <w:t xml:space="preserve"> </w:t>
      </w:r>
      <w:r>
        <w:t xml:space="preserve">(22 m) from T8, and at N7, mid main span. Each section has six readings (three points across, central and eccentric arrangements), with means of 5.55 mm at N8 and 15.43 mm at N7 (Supplementary Tables S11 and S12; axle positions in Table S16).</w:t>
      </w:r>
    </w:p>
    <w:p>
      <w:pPr>
        <w:pStyle w:val="BodyText"/>
      </w:pPr>
      <w:r>
        <w:t xml:space="preserve">The Euler–Bernoulli model has a parabolic depth variation over</w:t>
      </w:r>
      <w:r>
        <w:t xml:space="preserve"> </w:t>
      </w:r>
      <m:oMath>
        <m:sSub>
          <m:e>
            <m:r>
              <m:t>L</m:t>
            </m:r>
          </m:e>
          <m:sub>
            <m:r>
              <m:rPr>
                <m:sty m:val="p"/>
                <m:nor/>
              </m:rPr>
              <m:t>v</m:t>
            </m:r>
          </m:sub>
        </m:sSub>
        <m:r>
          <m:rPr>
            <m:sty m:val="p"/>
          </m:rPr>
          <m:t>=</m:t>
        </m:r>
        <m:r>
          <m:t>44</m:t>
        </m:r>
      </m:oMath>
      <w:r>
        <w:t xml:space="preserve"> </w:t>
      </w:r>
      <w:r>
        <w:t xml:space="preserve">m from each inner pier, a second moment proportional to</w:t>
      </w:r>
      <w:r>
        <w:t xml:space="preserve"> </w:t>
      </w:r>
      <m:oMath>
        <m:sSup>
          <m:e>
            <m:r>
              <m:t>h</m:t>
            </m:r>
          </m:e>
          <m:sup>
            <m:r>
              <m:t>2.943</m:t>
            </m:r>
          </m:sup>
        </m:sSup>
      </m:oMath>
      <w:r>
        <w:t xml:space="preserve">, where</w:t>
      </w:r>
      <w:r>
        <w:t xml:space="preserve"> </w:t>
      </w:r>
      <m:oMath>
        <m:r>
          <m:t>h</m:t>
        </m:r>
      </m:oMath>
      <w:r>
        <w:t xml:space="preserve"> </w:t>
      </w:r>
      <w:r>
        <w:t xml:space="preserve">is the girder depth, and a rotational spring</w:t>
      </w:r>
      <w:r>
        <w:t xml:space="preserve"> </w:t>
      </w:r>
      <m:oMath>
        <m:r>
          <m:t>k</m:t>
        </m:r>
      </m:oMath>
      <w:r>
        <w:t xml:space="preserve"> </w:t>
      </w:r>
      <w:r>
        <w:t xml:space="preserve">at each inner pier; other haunch lengths and exponents and a rigid pier zone were tested as model-form variants (Supplementary Section S8). Calibration A, the design model, has</w:t>
      </w:r>
      <w:r>
        <w:t xml:space="preserve"> </w:t>
      </w:r>
      <m:oMath>
        <m:r>
          <m:t>α</m:t>
        </m:r>
        <m:r>
          <m:rPr>
            <m:sty m:val="p"/>
          </m:rPr>
          <m:t>=</m:t>
        </m:r>
        <m:r>
          <m:t>1</m:t>
        </m:r>
      </m:oMath>
      <w:r>
        <w:t xml:space="preserve"> </w:t>
      </w:r>
      <w:r>
        <w:t xml:space="preserve">and</w:t>
      </w:r>
      <w:r>
        <w:t xml:space="preserve"> </w:t>
      </w:r>
      <m:oMath>
        <m:r>
          <m:t>k</m:t>
        </m:r>
        <m:r>
          <m:rPr>
            <m:sty m:val="p"/>
          </m:rPr>
          <m:t>=</m:t>
        </m:r>
        <m:r>
          <m:t>2.75</m:t>
        </m:r>
        <m:r>
          <m:rPr>
            <m:sty m:val="p"/>
          </m:rPr>
          <m:t>×</m:t>
        </m:r>
        <m:sSup>
          <m:e>
            <m:r>
              <m:t>10</m:t>
            </m:r>
          </m:e>
          <m:sup>
            <m:r>
              <m:t>7</m:t>
            </m:r>
          </m:sup>
        </m:sSup>
      </m:oMath>
      <w:r>
        <w:t xml:space="preserve"> </w:t>
      </w:r>
      <w:r>
        <w:t xml:space="preserve">kN m/rad fitted to the designer’s FE output and deviates from the measurements by +2.4 % at N8 and +12.3 % at N7. Calibration B, the joint least-squares fit, has</w:t>
      </w:r>
      <w:r>
        <w:t xml:space="preserve"> </w:t>
      </w:r>
      <m:oMath>
        <m:r>
          <m:t>α</m:t>
        </m:r>
        <m:r>
          <m:rPr>
            <m:sty m:val="p"/>
          </m:rPr>
          <m:t>=</m:t>
        </m:r>
        <m:r>
          <m:t>0.716</m:t>
        </m:r>
      </m:oMath>
      <w:r>
        <w:t xml:space="preserve"> </w:t>
      </w:r>
      <w:r>
        <w:t xml:space="preserve">and</w:t>
      </w:r>
      <w:r>
        <w:t xml:space="preserve"> </w:t>
      </w:r>
      <m:oMath>
        <m:r>
          <m:t>k</m:t>
        </m:r>
        <m:r>
          <m:rPr>
            <m:sty m:val="p"/>
          </m:rPr>
          <m:t>=</m:t>
        </m:r>
        <m:r>
          <m:t>1.2</m:t>
        </m:r>
        <m:r>
          <m:rPr>
            <m:sty m:val="p"/>
          </m:rPr>
          <m:t>×</m:t>
        </m:r>
        <m:sSup>
          <m:e>
            <m:r>
              <m:t>10</m:t>
            </m:r>
          </m:e>
          <m:sup>
            <m:r>
              <m:t>8</m:t>
            </m:r>
          </m:sup>
        </m:sSup>
      </m:oMath>
      <w:r>
        <w:t xml:space="preserve"> </w:t>
      </w:r>
      <w:r>
        <w:t xml:space="preserve">kN m/rad, with misfits of −2.8 % and +2.9 %. A lies at</w:t>
      </w:r>
      <w:r>
        <w:t xml:space="preserve"> </w:t>
      </w:r>
      <m:oMath>
        <m:r>
          <m:t>κ</m:t>
        </m:r>
        <m:r>
          <m:rPr>
            <m:sty m:val="p"/>
          </m:rPr>
          <m:t>=</m:t>
        </m:r>
        <m:r>
          <m:t>2.75</m:t>
        </m:r>
        <m:r>
          <m:rPr>
            <m:sty m:val="p"/>
          </m:rPr>
          <m:t>×</m:t>
        </m:r>
        <m:sSup>
          <m:e>
            <m:r>
              <m:t>10</m:t>
            </m:r>
          </m:e>
          <m:sup>
            <m:r>
              <m:t>7</m:t>
            </m:r>
          </m:sup>
        </m:sSup>
      </m:oMath>
      <w:r>
        <w:t xml:space="preserve"> </w:t>
      </w:r>
      <w:r>
        <w:t xml:space="preserve">kN m/rad and B at</w:t>
      </w:r>
      <w:r>
        <w:t xml:space="preserve"> </w:t>
      </w:r>
      <m:oMath>
        <m:r>
          <m:t>κ</m:t>
        </m:r>
        <m:r>
          <m:rPr>
            <m:sty m:val="p"/>
          </m:rPr>
          <m:t>=</m:t>
        </m:r>
        <m:r>
          <m:t>1.68</m:t>
        </m:r>
        <m:r>
          <m:rPr>
            <m:sty m:val="p"/>
          </m:rPr>
          <m:t>×</m:t>
        </m:r>
        <m:sSup>
          <m:e>
            <m:r>
              <m:t>10</m:t>
            </m:r>
          </m:e>
          <m:sup>
            <m:r>
              <m:t>8</m:t>
            </m:r>
          </m:sup>
        </m:sSup>
      </m:oMath>
      <w:r>
        <w:t xml:space="preserve"> </w:t>
      </w:r>
      <w:r>
        <w:t xml:space="preserve">kN m/rad. Both</w:t>
      </w:r>
      <w:r>
        <w:t xml:space="preserve"> </w:t>
      </w:r>
      <m:oMath>
        <m:r>
          <m:t>k</m:t>
        </m:r>
      </m:oMath>
      <w:r>
        <w:t xml:space="preserve"> </w:t>
      </w:r>
      <w:r>
        <w:t xml:space="preserve">and</w:t>
      </w:r>
      <w:r>
        <w:t xml:space="preserve"> </w:t>
      </w:r>
      <m:oMath>
        <m:r>
          <m:t>α</m:t>
        </m:r>
      </m:oMath>
      <w:r>
        <w:t xml:space="preserve"> </w:t>
      </w:r>
      <w:r>
        <w:t xml:space="preserve">are effective parameters: they also absorb mechanisms that the beam model omits, such as shear deformation, shear lag, frame action of the monolithic piers and bearing friction. Figure 6 shows the indicators along the girder.</w:t>
      </w:r>
    </w:p>
    <w:p>
      <w:pPr>
        <w:pStyle w:val="Figure"/>
      </w:pPr>
      <w:r>
        <w:drawing>
          <wp:inline>
            <wp:extent cx="4117024" cy="4319999"/>
            <wp:effectExtent b="0" l="0" r="0" t="0"/>
            <wp:docPr descr="" title="" id="49" name="Picture"/>
            <a:graphic>
              <a:graphicData uri="http://schemas.openxmlformats.org/drawingml/2006/picture">
                <pic:pic>
                  <pic:nvPicPr>
                    <pic:cNvPr descr="/home/user/SHM-Paper1-1D/manuscript/ase/figures/Fig6_caumay_channels.png" id="50" name="Picture"/>
                    <pic:cNvPicPr>
                      <a:picLocks noChangeArrowheads="1" noChangeAspect="1"/>
                    </pic:cNvPicPr>
                  </pic:nvPicPr>
                  <pic:blipFill>
                    <a:blip r:embed="rId48"/>
                    <a:stretch>
                      <a:fillRect/>
                    </a:stretch>
                  </pic:blipFill>
                  <pic:spPr bwMode="auto">
                    <a:xfrm>
                      <a:off x="0" y="0"/>
                      <a:ext cx="4117024" cy="4319999"/>
                    </a:xfrm>
                    <a:prstGeom prst="rect">
                      <a:avLst/>
                    </a:prstGeom>
                    <a:noFill/>
                    <a:ln w="9525">
                      <a:noFill/>
                      <a:headEnd/>
                      <a:tailEnd/>
                    </a:ln>
                  </pic:spPr>
                </pic:pic>
              </a:graphicData>
            </a:graphic>
          </wp:inline>
        </w:drawing>
      </w:r>
    </w:p>
    <w:p>
      <w:pPr>
        <w:pStyle w:val="Captionjustified"/>
        <w:keepLines/>
      </w:pPr>
      <w:r>
        <w:rPr>
          <w:bCs/>
          <w:b/>
        </w:rPr>
        <w:t xml:space="preserve">Figure 6.</w:t>
      </w:r>
      <w:r>
        <w:t xml:space="preserve"> </w:t>
      </w:r>
      <w:r>
        <w:t xml:space="preserve">Mây Bridge girder: indicators for a prismatic model with pinned piers and for the haunched model under calibrations A and B: (a) deflection</w:t>
      </w:r>
      <w:r>
        <w:t xml:space="preserve"> </w:t>
      </w:r>
      <m:oMath>
        <m:sSub>
          <m:e>
            <m:r>
              <m:t>N</m:t>
            </m:r>
          </m:e>
          <m:sub>
            <m:r>
              <m:t>w</m:t>
            </m:r>
          </m:sub>
        </m:sSub>
      </m:oMath>
      <w:r>
        <w:t xml:space="preserve">; (b) strain</w:t>
      </w:r>
      <w:r>
        <w:t xml:space="preserve"> </w:t>
      </w:r>
      <m:oMath>
        <m:sSub>
          <m:e>
            <m:r>
              <m:t>N</m:t>
            </m:r>
          </m:e>
          <m:sub>
            <m:r>
              <m:t>M</m:t>
            </m:r>
          </m:sub>
        </m:sSub>
      </m:oMath>
      <w:r>
        <w:t xml:space="preserve">; (c) strain indicator including the gain,</w:t>
      </w:r>
      <w:r>
        <w:t xml:space="preserve"> </w:t>
      </w:r>
      <m:oMath>
        <m:sSub>
          <m:e>
            <m:r>
              <m:t>N</m:t>
            </m:r>
          </m:e>
          <m:sub>
            <m:r>
              <m:t>ε</m:t>
            </m:r>
          </m:sub>
        </m:sSub>
        <m:r>
          <m:rPr>
            <m:sty m:val="p"/>
          </m:rPr>
          <m:t>=</m:t>
        </m:r>
        <m:sSub>
          <m:e>
            <m:r>
              <m:t>N</m:t>
            </m:r>
          </m:e>
          <m:sub>
            <m:r>
              <m:t>M</m:t>
            </m:r>
          </m:sub>
        </m:sSub>
        <m:r>
          <m:t> </m:t>
        </m:r>
        <m:d>
          <m:dPr>
            <m:begChr m:val="("/>
            <m:endChr m:val=")"/>
            <m:grow/>
          </m:dPr>
          <m:e>
            <m:r>
              <m:t>c</m:t>
            </m:r>
            <m:r>
              <m:rPr>
                <m:sty m:val="p"/>
              </m:rPr>
              <m:t>/</m:t>
            </m:r>
            <m:r>
              <m:t>E</m:t>
            </m:r>
            <m:r>
              <m:t>I</m:t>
            </m:r>
          </m:e>
        </m:d>
        <m:r>
          <m:rPr>
            <m:sty m:val="p"/>
          </m:rPr>
          <m:t>/</m:t>
        </m:r>
        <m:sSub>
          <m:e>
            <m:d>
              <m:dPr>
                <m:begChr m:val="("/>
                <m:endChr m:val=")"/>
                <m:grow/>
              </m:dPr>
              <m:e>
                <m:r>
                  <m:t>c</m:t>
                </m:r>
                <m:r>
                  <m:rPr>
                    <m:sty m:val="p"/>
                  </m:rPr>
                  <m:t>/</m:t>
                </m:r>
                <m:r>
                  <m:t>E</m:t>
                </m:r>
                <m:r>
                  <m:t>I</m:t>
                </m:r>
              </m:e>
            </m:d>
          </m:e>
          <m:sub>
            <m:r>
              <m:rPr>
                <m:sty m:val="p"/>
                <m:nor/>
              </m:rPr>
              <m:t>mid</m:t>
            </m:r>
          </m:sub>
        </m:sSub>
      </m:oMath>
      <w:r>
        <w:t xml:space="preserve">, that is, the strain constant</w:t>
      </w:r>
      <w:r>
        <w:t xml:space="preserve"> </w:t>
      </w:r>
      <m:oMath>
        <m:sSub>
          <m:e>
            <m:r>
              <m:t>C</m:t>
            </m:r>
          </m:e>
          <m:sub>
            <m:r>
              <m:t>ε</m:t>
            </m:r>
          </m:sub>
        </m:sSub>
      </m:oMath>
      <w:r>
        <w:t xml:space="preserve"> </w:t>
      </w:r>
      <w:r>
        <w:t xml:space="preserve">in units of</w:t>
      </w:r>
      <w:r>
        <w:t xml:space="preserve"> </w:t>
      </w:r>
      <m:oMath>
        <m:sSub>
          <m:e>
            <m:d>
              <m:dPr>
                <m:begChr m:val="("/>
                <m:endChr m:val=")"/>
                <m:grow/>
              </m:dPr>
              <m:e>
                <m:r>
                  <m:t>c</m:t>
                </m:r>
                <m:r>
                  <m:rPr>
                    <m:sty m:val="p"/>
                  </m:rPr>
                  <m:t>/</m:t>
                </m:r>
                <m:r>
                  <m:t>E</m:t>
                </m:r>
                <m:r>
                  <m:t>I</m:t>
                </m:r>
              </m:e>
            </m:d>
          </m:e>
          <m:sub>
            <m:r>
              <m:rPr>
                <m:sty m:val="p"/>
                <m:nor/>
              </m:rPr>
              <m:t>mid</m:t>
            </m:r>
          </m:sub>
        </m:sSub>
        <m:sSup>
          <m:e>
            <m:r>
              <m:t>L</m:t>
            </m:r>
          </m:e>
          <m:sup>
            <m:r>
              <m:t>2</m:t>
            </m:r>
          </m:sup>
        </m:sSup>
        <m:r>
          <m:rPr>
            <m:sty m:val="p"/>
          </m:rPr>
          <m:t>/</m:t>
        </m:r>
        <m:r>
          <m:t>8</m:t>
        </m:r>
      </m:oMath>
      <w:r>
        <w:t xml:space="preserve">, with</w:t>
      </w:r>
      <w:r>
        <w:t xml:space="preserve"> </w:t>
      </w:r>
      <m:oMath>
        <m:sSub>
          <m:e>
            <m:d>
              <m:dPr>
                <m:begChr m:val="("/>
                <m:endChr m:val=")"/>
                <m:grow/>
              </m:dPr>
              <m:e>
                <m:r>
                  <m:t>c</m:t>
                </m:r>
                <m:r>
                  <m:rPr>
                    <m:sty m:val="p"/>
                  </m:rPr>
                  <m:t>/</m:t>
                </m:r>
                <m:r>
                  <m:t>E</m:t>
                </m:r>
                <m:r>
                  <m:t>I</m:t>
                </m:r>
              </m:e>
            </m:d>
          </m:e>
          <m:sub>
            <m:r>
              <m:rPr>
                <m:sty m:val="p"/>
                <m:nor/>
              </m:rPr>
              <m:t>mid</m:t>
            </m:r>
          </m:sub>
        </m:sSub>
      </m:oMath>
      <w:r>
        <w:t xml:space="preserve"> </w:t>
      </w:r>
      <w:r>
        <w:t xml:space="preserve">the gain of the mid main-span section and</w:t>
      </w:r>
      <w:r>
        <w:t xml:space="preserve"> </w:t>
      </w:r>
      <m:oMath>
        <m:r>
          <m:t>c</m:t>
        </m:r>
        <m:r>
          <m:rPr>
            <m:sty m:val="p"/>
          </m:rPr>
          <m:t>∝</m:t>
        </m:r>
        <m:r>
          <m:t>h</m:t>
        </m:r>
      </m:oMath>
      <w:r>
        <w:t xml:space="preserve">. Dots in (b): strain blind points (zeros of the uniform-load moment). Dotted lines: gauges N7 and N8 (0.4</w:t>
      </w:r>
      <m:oMath>
        <m:r>
          <m:t>L</m:t>
        </m:r>
      </m:oMath>
      <w:r>
        <w:t xml:space="preserve">) and the mid side-span position. In all panels each indicator is normalized by the span containing the point, so steps at the piers are changes of scale.</w:t>
      </w:r>
    </w:p>
    <w:bookmarkEnd w:id="51"/>
    <w:bookmarkStart w:id="55" w:name="what-the-static-data-identify"/>
    <w:p>
      <w:pPr>
        <w:pStyle w:val="Heading3"/>
      </w:pPr>
      <w:r>
        <w:t xml:space="preserve">5.2. What the static data identify</w:t>
      </w:r>
    </w:p>
    <w:p>
      <w:pPr>
        <w:pStyle w:val="FirstParagraph"/>
      </w:pPr>
      <w:r>
        <w:t xml:space="preserve">The admissible set contains every model whose misfit at each gauge is within</w:t>
      </w:r>
      <w:r>
        <w:t xml:space="preserve"> </w:t>
      </w:r>
      <m:oMath>
        <m:r>
          <m:t>τ</m:t>
        </m:r>
      </m:oMath>
      <w:r>
        <w:t xml:space="preserve"> </w:t>
      </w:r>
      <w:r>
        <w:t xml:space="preserve">= 5.3 %, two combined standard uncertainties (measurement and model form) of a section mean (Supplementary Section S8). Over this set, the largest constant of the side-span gauge N8 is 6.6 times the smallest, against 1.5 for the main-span gauge N7, when the effective-to-design rigidity ratio</w:t>
      </w:r>
      <w:r>
        <w:t xml:space="preserve"> </w:t>
      </w:r>
      <m:oMath>
        <m:r>
          <m:t>α</m:t>
        </m:r>
      </m:oMath>
      <w:r>
        <w:t xml:space="preserve"> </w:t>
      </w:r>
      <w:r>
        <w:t xml:space="preserve">is free, and 2.4 against 1.1 when</w:t>
      </w:r>
      <w:r>
        <w:t xml:space="preserve"> </w:t>
      </w:r>
      <m:oMath>
        <m:r>
          <m:t>α</m:t>
        </m:r>
      </m:oMath>
      <w:r>
        <w:t xml:space="preserve"> </w:t>
      </w:r>
      <w:r>
        <w:t xml:space="preserve">is bounded to the material range 0.9–1.3 (Table 3; Supplementary Table S13). Across the model-form variants the factors are 2.6–16 for N8 against 1.3–1.6 for N7, so the contrast holds although its size depends on the model. The two factors are scenarios, not an estimate and a correction: the bound</w:t>
      </w:r>
      <w:r>
        <w:t xml:space="preserve"> </w:t>
      </w:r>
      <m:oMath>
        <m:r>
          <m:t>α</m:t>
        </m:r>
      </m:oMath>
      <w:r>
        <w:t xml:space="preserve"> </w:t>
      </w:r>
      <w:r>
        <w:t xml:space="preserve">= 0.9–1.3 excludes calibration B. The factor of 6.6 is carried by the N8 constant</w:t>
      </w:r>
      <w:r>
        <w:t xml:space="preserve"> </w:t>
      </w:r>
      <m:oMath>
        <m:sSub>
          <m:e>
            <m:r>
              <m:t>C</m:t>
            </m:r>
          </m:e>
          <m:sub>
            <m:r>
              <m:t>8</m:t>
            </m:r>
          </m:sub>
        </m:sSub>
      </m:oMath>
      <w:r>
        <w:t xml:space="preserve">, which ranges from</w:t>
      </w:r>
      <w:r>
        <w:t xml:space="preserve"> </w:t>
      </w:r>
      <m:oMath>
        <m:r>
          <m:t>3.0</m:t>
        </m:r>
        <m:r>
          <m:rPr>
            <m:sty m:val="p"/>
          </m:rPr>
          <m:t>×</m:t>
        </m:r>
        <m:sSup>
          <m:e>
            <m:r>
              <m:t>10</m:t>
            </m:r>
          </m:e>
          <m:sup>
            <m:r>
              <m:rPr>
                <m:sty m:val="p"/>
              </m:rPr>
              <m:t>−</m:t>
            </m:r>
            <m:r>
              <m:t>5</m:t>
            </m:r>
          </m:sup>
        </m:sSup>
      </m:oMath>
      <w:r>
        <w:t xml:space="preserve"> </w:t>
      </w:r>
      <w:r>
        <w:t xml:space="preserve">to</w:t>
      </w:r>
      <w:r>
        <w:t xml:space="preserve"> </w:t>
      </w:r>
      <m:oMath>
        <m:r>
          <m:t>2.0</m:t>
        </m:r>
        <m:r>
          <m:rPr>
            <m:sty m:val="p"/>
          </m:rPr>
          <m:t>×</m:t>
        </m:r>
        <m:sSup>
          <m:e>
            <m:r>
              <m:t>10</m:t>
            </m:r>
          </m:e>
          <m:sup>
            <m:r>
              <m:rPr>
                <m:sty m:val="p"/>
              </m:rPr>
              <m:t>−</m:t>
            </m:r>
            <m:r>
              <m:t>4</m:t>
            </m:r>
          </m:sup>
        </m:sSup>
      </m:oMath>
      <w:r>
        <w:t xml:space="preserve"> </w:t>
      </w:r>
      <w:r>
        <w:t xml:space="preserve">m²/kN; its upper end needs</w:t>
      </w:r>
      <w:r>
        <w:t xml:space="preserve"> </w:t>
      </w:r>
      <m:oMath>
        <m:r>
          <m:t>α</m:t>
        </m:r>
        <m:r>
          <m:rPr>
            <m:sty m:val="p"/>
          </m:rPr>
          <m:t>≈</m:t>
        </m:r>
        <m:r>
          <m:t>0.5</m:t>
        </m:r>
      </m:oMath>
      <w:r>
        <w:t xml:space="preserve"> </w:t>
      </w:r>
      <w:r>
        <w:t xml:space="preserve">with</w:t>
      </w:r>
      <w:r>
        <w:t xml:space="preserve"> </w:t>
      </w:r>
      <m:oMath>
        <m:r>
          <m:t>κ</m:t>
        </m:r>
      </m:oMath>
      <w:r>
        <w:t xml:space="preserve"> </w:t>
      </w:r>
      <w:r>
        <w:t xml:space="preserve">toward fixity (Table 3, note b).</w:t>
      </w:r>
    </w:p>
    <w:p>
      <w:pPr>
        <w:pStyle w:val="BodyText"/>
      </w:pPr>
      <w:r>
        <w:t xml:space="preserve">No single model fits both gauges; the remaining misfit ratio of 4–9 % is model-form error. The misfit ratio</w:t>
      </w:r>
      <w:r>
        <w:t xml:space="preserve"> </w:t>
      </w:r>
      <m:oMath>
        <m:sSub>
          <m:e>
            <m:r>
              <m:t>r</m:t>
            </m:r>
          </m:e>
          <m:sub>
            <m:r>
              <m:t>87</m:t>
            </m:r>
          </m:sub>
        </m:sSub>
      </m:oMath>
      <w:r>
        <w:t xml:space="preserve"> </w:t>
      </w:r>
      <w:r>
        <w:t xml:space="preserve">(measured-to-model ratio at N8 divided by that at N7) has its minimum, 1.058, at calibration B (Fig. 7a), and the model-form variants move the minimum between 1.039 and 1.092 but never to 1. The</w:t>
      </w:r>
      <w:r>
        <w:t xml:space="preserve"> </w:t>
      </w:r>
      <m:oMath>
        <m:r>
          <m:t>α</m:t>
        </m:r>
        <m:r>
          <m:rPr>
            <m:sty m:val="p"/>
          </m:rPr>
          <m:t>=</m:t>
        </m:r>
        <m:r>
          <m:t>0.716</m:t>
        </m:r>
      </m:oMath>
      <w:r>
        <w:t xml:space="preserve"> </w:t>
      </w:r>
      <w:r>
        <w:t xml:space="preserve">of calibration B is an effective rigidity 28 % below design, which is implausible as a material loss in a recently built prestressed girder.</w:t>
      </w:r>
    </w:p>
    <w:p>
      <w:pPr>
        <w:pStyle w:val="Figure"/>
      </w:pPr>
      <w:r>
        <w:drawing>
          <wp:inline>
            <wp:extent cx="5039999" cy="4276363"/>
            <wp:effectExtent b="0" l="0" r="0" t="0"/>
            <wp:docPr descr="" title="" id="53" name="Picture"/>
            <a:graphic>
              <a:graphicData uri="http://schemas.openxmlformats.org/drawingml/2006/picture">
                <pic:pic>
                  <pic:nvPicPr>
                    <pic:cNvPr descr="/home/user/SHM-Paper1-1D/manuscript/ase/figures/Fig7_caumay_identifiability.png" id="54" name="Picture"/>
                    <pic:cNvPicPr>
                      <a:picLocks noChangeArrowheads="1" noChangeAspect="1"/>
                    </pic:cNvPicPr>
                  </pic:nvPicPr>
                  <pic:blipFill>
                    <a:blip r:embed="rId52"/>
                    <a:stretch>
                      <a:fillRect/>
                    </a:stretch>
                  </pic:blipFill>
                  <pic:spPr bwMode="auto">
                    <a:xfrm>
                      <a:off x="0" y="0"/>
                      <a:ext cx="5039999" cy="4276363"/>
                    </a:xfrm>
                    <a:prstGeom prst="rect">
                      <a:avLst/>
                    </a:prstGeom>
                    <a:noFill/>
                    <a:ln w="9525">
                      <a:noFill/>
                      <a:headEnd/>
                      <a:tailEnd/>
                    </a:ln>
                  </pic:spPr>
                </pic:pic>
              </a:graphicData>
            </a:graphic>
          </wp:inline>
        </w:drawing>
      </w:r>
    </w:p>
    <w:p>
      <w:pPr>
        <w:pStyle w:val="Captionjustified"/>
        <w:keepLines/>
      </w:pPr>
      <w:r>
        <w:rPr>
          <w:bCs/>
          <w:b/>
        </w:rPr>
        <w:t xml:space="preserve">Figure 7.</w:t>
      </w:r>
      <w:r>
        <w:t xml:space="preserve"> </w:t>
      </w:r>
      <w:r>
        <w:t xml:space="preserve">Identifiability of the Mây Bridge pier stiffness: (a) misfit ratio</w:t>
      </w:r>
      <w:r>
        <w:t xml:space="preserve"> </w:t>
      </w:r>
      <m:oMath>
        <m:sSub>
          <m:e>
            <m:r>
              <m:t>r</m:t>
            </m:r>
          </m:e>
          <m:sub>
            <m:r>
              <m:t>87</m:t>
            </m:r>
          </m:sub>
        </m:sSub>
      </m:oMath>
      <w:r>
        <w:t xml:space="preserve"> </w:t>
      </w:r>
      <w:r>
        <w:t xml:space="preserve">against</w:t>
      </w:r>
      <w:r>
        <w:t xml:space="preserve"> </w:t>
      </w:r>
      <m:oMath>
        <m:r>
          <m:t>κ</m:t>
        </m:r>
        <m:r>
          <m:rPr>
            <m:sty m:val="p"/>
          </m:rPr>
          <m:t>=</m:t>
        </m:r>
        <m:r>
          <m:t>k</m:t>
        </m:r>
        <m:r>
          <m:rPr>
            <m:sty m:val="p"/>
          </m:rPr>
          <m:t>/</m:t>
        </m:r>
        <m:r>
          <m:t>α</m:t>
        </m:r>
      </m:oMath>
      <w:r>
        <w:t xml:space="preserve">, with model-form variants (gray: haunch length</w:t>
      </w:r>
      <w:r>
        <w:t xml:space="preserve"> </w:t>
      </w:r>
      <m:oMath>
        <m:sSub>
          <m:e>
            <m:r>
              <m:t>L</m:t>
            </m:r>
          </m:e>
          <m:sub>
            <m:r>
              <m:rPr>
                <m:sty m:val="p"/>
                <m:nor/>
              </m:rPr>
              <m:t>v</m:t>
            </m:r>
          </m:sub>
        </m:sSub>
      </m:oMath>
      <w:r>
        <w:t xml:space="preserve">, haunch exponent, rigid pier zone) and admissible band</w:t>
      </w:r>
      <w:r>
        <w:t xml:space="preserve"> </w:t>
      </w:r>
      <m:oMath>
        <m:d>
          <m:dPr>
            <m:begChr m:val="|"/>
            <m:endChr m:val="|"/>
            <m:grow/>
          </m:dPr>
          <m:e>
            <m:r>
              <m:rPr>
                <m:sty m:val="p"/>
                <m:nor/>
              </m:rPr>
              <m:t>ln</m:t>
            </m:r>
            <m:sSub>
              <m:e>
                <m:r>
                  <m:t>r</m:t>
                </m:r>
              </m:e>
              <m:sub>
                <m:r>
                  <m:t>87</m:t>
                </m:r>
              </m:sub>
            </m:sSub>
          </m:e>
        </m:d>
        <m:r>
          <m:rPr>
            <m:sty m:val="p"/>
          </m:rPr>
          <m:t>≤</m:t>
        </m:r>
        <m:r>
          <m:t>2</m:t>
        </m:r>
        <m:r>
          <m:t>τ</m:t>
        </m:r>
      </m:oMath>
      <w:r>
        <w:t xml:space="preserve"> </w:t>
      </w:r>
      <w:r>
        <w:t xml:space="preserve">implied by a misfit within</w:t>
      </w:r>
      <w:r>
        <w:t xml:space="preserve"> </w:t>
      </w:r>
      <m:oMath>
        <m:r>
          <m:t>τ</m:t>
        </m:r>
      </m:oMath>
      <w:r>
        <w:t xml:space="preserve"> </w:t>
      </w:r>
      <w:r>
        <w:t xml:space="preserve">= 5.3 % at each gauge; (b) N8 and N7 indicators and cancellation ratios along the best static fit</w:t>
      </w:r>
      <w:r>
        <w:t xml:space="preserve"> </w:t>
      </w:r>
      <m:oMath>
        <m:sSup>
          <m:e>
            <m:r>
              <m:t>α</m:t>
            </m:r>
          </m:e>
          <m:sup>
            <m:r>
              <m:rPr>
                <m:nor/>
              </m:rPr>
              <m:t>*</m:t>
            </m:r>
          </m:sup>
        </m:sSup>
        <m:d>
          <m:dPr>
            <m:begChr m:val="("/>
            <m:endChr m:val=")"/>
            <m:grow/>
          </m:dPr>
          <m:e>
            <m:r>
              <m:t>κ</m:t>
            </m:r>
          </m:e>
        </m:d>
      </m:oMath>
      <w:r>
        <w:t xml:space="preserve">; shaded: admissible range of</w:t>
      </w:r>
      <w:r>
        <w:t xml:space="preserve"> </w:t>
      </w:r>
      <m:oMath>
        <m:r>
          <m:t>κ</m:t>
        </m:r>
      </m:oMath>
      <w:r>
        <w:t xml:space="preserve">.</w:t>
      </w:r>
      <w:r>
        <w:t xml:space="preserve"> </w:t>
      </w:r>
      <m:oMath>
        <m:sSub>
          <m:e>
            <m:r>
              <m:t>r</m:t>
            </m:r>
          </m:e>
          <m:sub>
            <m:r>
              <m:t>87</m:t>
            </m:r>
          </m:sub>
        </m:sSub>
      </m:oMath>
      <w:r>
        <w:t xml:space="preserve">: measured-to-model ratio at N8 divided by that at N7;</w:t>
      </w:r>
      <w:r>
        <w:t xml:space="preserve"> </w:t>
      </w:r>
      <m:oMath>
        <m:sSup>
          <m:e>
            <m:r>
              <m:t>α</m:t>
            </m:r>
          </m:e>
          <m:sup>
            <m:r>
              <m:rPr>
                <m:nor/>
              </m:rPr>
              <m:t>*</m:t>
            </m:r>
          </m:sup>
        </m:sSup>
        <m:d>
          <m:dPr>
            <m:begChr m:val="("/>
            <m:endChr m:val=")"/>
            <m:grow/>
          </m:dPr>
          <m:e>
            <m:r>
              <m:t>κ</m:t>
            </m:r>
          </m:e>
        </m:d>
      </m:oMath>
      <w:r>
        <w:t xml:space="preserve">: effective-to-design rigidity ratio that best fits both readings at given</w:t>
      </w:r>
      <w:r>
        <w:t xml:space="preserve"> </w:t>
      </w:r>
      <m:oMath>
        <m:r>
          <m:t>κ</m:t>
        </m:r>
      </m:oMath>
      <w:r>
        <w:t xml:space="preserve"> </w:t>
      </w:r>
      <w:r>
        <w:t xml:space="preserve">(log least squares; equal and opposite log misfits at N8 and N7).</w:t>
      </w:r>
    </w:p>
    <w:p>
      <w:pPr>
        <w:pStyle w:val="BodyText"/>
      </w:pPr>
      <w:r>
        <w:t xml:space="preserve">At</w:t>
      </w:r>
      <w:r>
        <w:t xml:space="preserve"> </w:t>
      </w:r>
      <m:oMath>
        <m:r>
          <m:t>τ</m:t>
        </m:r>
      </m:oMath>
      <w:r>
        <w:t xml:space="preserve"> </w:t>
      </w:r>
      <w:r>
        <w:t xml:space="preserve">= 5.3 % the data bound</w:t>
      </w:r>
      <w:r>
        <w:t xml:space="preserve"> </w:t>
      </w:r>
      <m:oMath>
        <m:r>
          <m:t>κ</m:t>
        </m:r>
      </m:oMath>
      <w:r>
        <w:t xml:space="preserve"> </w:t>
      </w:r>
      <w:r>
        <w:t xml:space="preserve">only from below: every</w:t>
      </w:r>
      <w:r>
        <w:t xml:space="preserve"> </w:t>
      </w:r>
      <m:oMath>
        <m:r>
          <m:t>κ</m:t>
        </m:r>
        <m:r>
          <m:rPr>
            <m:sty m:val="p"/>
          </m:rPr>
          <m:t>≥</m:t>
        </m:r>
        <m:r>
          <m:t>1.8</m:t>
        </m:r>
        <m:r>
          <m:rPr>
            <m:sty m:val="p"/>
          </m:rPr>
          <m:t>×</m:t>
        </m:r>
        <m:sSup>
          <m:e>
            <m:r>
              <m:t>10</m:t>
            </m:r>
          </m:e>
          <m:sup>
            <m:r>
              <m:t>7</m:t>
            </m:r>
          </m:sup>
        </m:sSup>
      </m:oMath>
      <w:r>
        <w:t xml:space="preserve"> </w:t>
      </w:r>
      <w:r>
        <w:t xml:space="preserve">kN m/rad is admissible, with</w:t>
      </w:r>
      <w:r>
        <w:t xml:space="preserve"> </w:t>
      </w:r>
      <m:oMath>
        <m:r>
          <m:t>α</m:t>
        </m:r>
      </m:oMath>
      <w:r>
        <w:t xml:space="preserve"> </w:t>
      </w:r>
      <w:r>
        <w:t xml:space="preserve">between 0.51 and 1.15. The tolerance treats the six transverse readings as independent samples, so Supplementary Table S13 repeats the analysis at</w:t>
      </w:r>
      <w:r>
        <w:t xml:space="preserve"> </w:t>
      </w:r>
      <m:oMath>
        <m:r>
          <m:t>τ</m:t>
        </m:r>
      </m:oMath>
      <w:r>
        <w:t xml:space="preserve"> </w:t>
      </w:r>
      <w:r>
        <w:t xml:space="preserve">= 3 and 4 %; the contrast between the gauges persists (1.5 against 1.1 and 3.4 against 1.4), and at</w:t>
      </w:r>
      <w:r>
        <w:t xml:space="preserve"> </w:t>
      </w:r>
      <m:oMath>
        <m:r>
          <m:t>τ</m:t>
        </m:r>
      </m:oMath>
      <w:r>
        <w:t xml:space="preserve"> </w:t>
      </w:r>
      <w:r>
        <w:t xml:space="preserve">= 3 % the admissible set excludes the design rigidity,</w:t>
      </w:r>
      <w:r>
        <w:t xml:space="preserve"> </w:t>
      </w:r>
      <m:oMath>
        <m:r>
          <m:t>α</m:t>
        </m:r>
        <m:r>
          <m:rPr>
            <m:sty m:val="p"/>
          </m:rPr>
          <m:t>=</m:t>
        </m:r>
        <m:r>
          <m:t>1</m:t>
        </m:r>
      </m:oMath>
      <w:r>
        <w:t xml:space="preserve">.</w:t>
      </w:r>
    </w:p>
    <w:p>
      <w:pPr>
        <w:pStyle w:val="BodyText"/>
      </w:pPr>
      <w:r>
        <w:t xml:space="preserve">The side-span constant is this uncertain because the design pier stiffness lies near the steepest part of the Möbius curve of Eq. (13), where the boundary sensitivity</w:t>
      </w:r>
      <w:r>
        <w:t xml:space="preserve"> </w:t>
      </w:r>
      <m:oMath>
        <m:sSub>
          <m:e>
            <m:r>
              <m:t>B</m:t>
            </m:r>
          </m:e>
          <m:sub>
            <m:r>
              <m:t>m</m:t>
            </m:r>
          </m:sub>
        </m:sSub>
      </m:oMath>
      <w:r>
        <w:t xml:space="preserve"> </w:t>
      </w:r>
      <w:r>
        <w:t xml:space="preserve">is 0.51 at N8 against 0.12 at N7; calibrating to the N8 reading does not fix the N8 constant either (Supplementary Section S8 and Table S15).</w:t>
      </w:r>
    </w:p>
    <w:p>
      <w:pPr>
        <w:pStyle w:val="BodyText"/>
        <w:keepNext/>
        <w:keepLines/>
      </w:pPr>
      <w:r>
        <w:rPr>
          <w:bCs/>
          <w:b/>
        </w:rPr>
        <w:t xml:space="preserve">Table 3.</w:t>
      </w:r>
      <w:r>
        <w:t xml:space="preserve"> </w:t>
      </w:r>
      <w:r>
        <w:t xml:space="preserve">Deflection indicator</w:t>
      </w:r>
      <w:r>
        <w:t xml:space="preserve"> </w:t>
      </w:r>
      <m:oMath>
        <m:sSub>
          <m:e>
            <m:r>
              <m:t>N</m:t>
            </m:r>
          </m:e>
          <m:sub>
            <m:r>
              <m:t>w</m:t>
            </m:r>
          </m:sub>
        </m:sSub>
      </m:oMath>
      <w:r>
        <w:t xml:space="preserve">, Eq. (8), and cancellation ratio</w:t>
      </w:r>
      <w:r>
        <w:t xml:space="preserve"> </w:t>
      </w:r>
      <m:oMath>
        <m:r>
          <m:t>R</m:t>
        </m:r>
      </m:oMath>
      <w:r>
        <w:t xml:space="preserve">, Eq. (9), of the installed Mây Bridge gauges;</w:t>
      </w:r>
      <w:r>
        <w:t xml:space="preserve"> </w:t>
      </w:r>
      <m:oMath>
        <m:r>
          <m:t>E</m:t>
        </m:r>
        <m:sSub>
          <m:e>
            <m:r>
              <m:t>I</m:t>
            </m:r>
          </m:e>
          <m:sub>
            <m:r>
              <m:rPr>
                <m:sty m:val="p"/>
                <m:nor/>
              </m:rPr>
              <m:t>ref</m:t>
            </m:r>
          </m:sub>
        </m:sSub>
      </m:oMath>
      <w:r>
        <w:t xml:space="preserve"> </w:t>
      </w:r>
      <w:r>
        <w:t xml:space="preserve">= design</w:t>
      </w:r>
      <w:r>
        <w:t xml:space="preserve"> </w:t>
      </w:r>
      <m:oMath>
        <m:r>
          <m:t>E</m:t>
        </m:r>
        <m:sSub>
          <m:e>
            <m:r>
              <m:t>I</m:t>
            </m:r>
          </m:e>
          <m:sub>
            <m:r>
              <m:rPr>
                <m:sty m:val="p"/>
                <m:nor/>
              </m:rPr>
              <m:t>mid</m:t>
            </m:r>
          </m:sub>
        </m:sSub>
      </m:oMath>
      <w:r>
        <w:t xml:space="preserve"> </w:t>
      </w:r>
      <w:r>
        <w:t xml:space="preserve">(mid main span),</w:t>
      </w:r>
      <w:r>
        <w:t xml:space="preserve"> </w:t>
      </w:r>
      <m:oMath>
        <m:r>
          <m:t>L</m:t>
        </m:r>
      </m:oMath>
      <w:r>
        <w:t xml:space="preserve"> </w:t>
      </w:r>
      <w:r>
        <w:t xml:space="preserve">= span containing the gauge.</w:t>
      </w:r>
      <w:r>
        <w:t xml:space="preserve"> </w:t>
      </w:r>
      <m:oMath>
        <m:r>
          <m:t>α</m:t>
        </m:r>
        <m:r>
          <m:rPr>
            <m:sty m:val="p"/>
          </m:rPr>
          <m:t>=</m:t>
        </m:r>
        <m:r>
          <m:t>1</m:t>
        </m:r>
      </m:oMath>
      <w:r>
        <w:t xml:space="preserve"> </w:t>
      </w:r>
      <w:r>
        <w:t xml:space="preserve">except for calibration B (</w:t>
      </w:r>
      <m:oMath>
        <m:r>
          <m:t>α</m:t>
        </m:r>
        <m:r>
          <m:rPr>
            <m:sty m:val="p"/>
          </m:rPr>
          <m:t>=</m:t>
        </m:r>
        <m:r>
          <m:t>0.716</m:t>
        </m:r>
      </m:oMath>
      <w:r>
        <w:t xml:space="preserve">) and the admissible sets (</w:t>
      </w:r>
      <m:oMath>
        <m:r>
          <m:t>τ</m:t>
        </m:r>
      </m:oMath>
      <w:r>
        <w:t xml:space="preserve"> </w:t>
      </w:r>
      <w:r>
        <w:t xml:space="preserve">= 5.3 %;</w:t>
      </w:r>
      <w:r>
        <w:t xml:space="preserve"> </w:t>
      </w:r>
      <m:oMath>
        <m:r>
          <m:t>α</m:t>
        </m:r>
      </m:oMath>
      <w:r>
        <w:t xml:space="preserve"> </w:t>
      </w:r>
      <w:r>
        <w:t xml:space="preserve">= 0.51–1.15, or 0.90–1.15 with the prior</w:t>
      </w:r>
      <w:r>
        <w:t xml:space="preserve"> </w:t>
      </w:r>
      <m:oMath>
        <m:r>
          <m:t>α</m:t>
        </m:r>
      </m:oMath>
      <w:r>
        <w:t xml:space="preserve"> </w:t>
      </w:r>
      <w:r>
        <w:t xml:space="preserve">= 0.9–1.3); haunched rows: base model (</w:t>
      </w:r>
      <m:oMath>
        <m:sSub>
          <m:e>
            <m:r>
              <m:t>L</m:t>
            </m:r>
          </m:e>
          <m:sub>
            <m:r>
              <m:rPr>
                <m:sty m:val="p"/>
                <m:nor/>
              </m:rPr>
              <m:t>v</m:t>
            </m:r>
          </m:sub>
        </m:sSub>
      </m:oMath>
      <w:r>
        <w:t xml:space="preserve"> </w:t>
      </w:r>
      <w:r>
        <w:t xml:space="preserve">= 44 m). Values at mid side span: Supplementary Table S15.</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2511"/>
        <w:gridCol w:w="1883"/>
        <w:gridCol w:w="1744"/>
        <w:gridCol w:w="1465"/>
        <w:gridCol w:w="1465"/>
      </w:tblGrid>
      <w:tr>
        <w:trPr>
          <w:tblHeader w:val="true"/>
          <w:tblHeader w:val="true"/>
          <w:cantSplit/>
        </w:trPr>
        <w:tc>
          <w:tcPr>
            <w:tcW w:type="dxa" w:w="2511"/>
            <w:tcBorders>
              <w:top w:val="nil"/>
              <w:left w:val="nil"/>
              <w:bottom w:val="single" w:sz="6" w:space="0" w:color="000000"/>
              <w:right w:val="nil"/>
            </w:tcBorders>
          </w:tcPr>
          <w:p>
            <w:pPr>
              <w:keepNext/>
              <w:pStyle w:val="Compact"/>
              <w:jc w:val="left"/>
            </w:pPr>
            <w:r>
              <w:t xml:space="preserve">Model</w:t>
            </w:r>
          </w:p>
        </w:tc>
        <w:tc>
          <w:tcPr>
            <w:tcW w:type="dxa" w:w="1883"/>
            <w:tcBorders>
              <w:top w:val="nil"/>
              <w:left w:val="nil"/>
              <w:bottom w:val="single" w:sz="6" w:space="0" w:color="000000"/>
              <w:right w:val="nil"/>
            </w:tcBorders>
          </w:tcPr>
          <w:p>
            <w:pPr>
              <w:keepNext/>
              <w:pStyle w:val="Compact"/>
              <w:jc w:val="right"/>
            </w:pPr>
            <m:oMath>
              <m:sSub>
                <m:e>
                  <m:r>
                    <m:t>N</m:t>
                  </m:r>
                </m:e>
                <m:sub>
                  <m:r>
                    <m:t>w</m:t>
                  </m:r>
                </m:sub>
              </m:sSub>
            </m:oMath>
            <w:r>
              <w:t xml:space="preserve">, N8 at 0.4</w:t>
            </w:r>
            <m:oMath>
              <m:r>
                <m:t>L</m:t>
              </m:r>
            </m:oMath>
          </w:p>
        </w:tc>
        <w:tc>
          <w:tcPr>
            <w:tcW w:type="dxa" w:w="1744"/>
            <w:tcBorders>
              <w:top w:val="nil"/>
              <w:left w:val="nil"/>
              <w:bottom w:val="single" w:sz="6" w:space="0" w:color="000000"/>
              <w:right w:val="nil"/>
            </w:tcBorders>
          </w:tcPr>
          <w:p>
            <w:pPr>
              <w:keepNext/>
              <w:pStyle w:val="Compact"/>
              <w:jc w:val="right"/>
            </w:pPr>
            <m:oMath>
              <m:sSub>
                <m:e>
                  <m:r>
                    <m:t>N</m:t>
                  </m:r>
                </m:e>
                <m:sub>
                  <m:r>
                    <m:t>w</m:t>
                  </m:r>
                </m:sub>
              </m:sSub>
            </m:oMath>
            <w:r>
              <w:t xml:space="preserve">, N7</w:t>
            </w:r>
          </w:p>
        </w:tc>
        <w:tc>
          <w:tcPr>
            <w:tcW w:type="dxa" w:w="1465"/>
            <w:tcBorders>
              <w:top w:val="nil"/>
              <w:left w:val="nil"/>
              <w:bottom w:val="single" w:sz="6" w:space="0" w:color="000000"/>
              <w:right w:val="nil"/>
            </w:tcBorders>
          </w:tcPr>
          <w:p>
            <w:pPr>
              <w:keepNext/>
              <w:pStyle w:val="Compact"/>
              <w:jc w:val="right"/>
            </w:pPr>
            <m:oMath>
              <m:r>
                <m:t>R</m:t>
              </m:r>
            </m:oMath>
            <w:r>
              <w:t xml:space="preserve">, N8 at 0.4</w:t>
            </w:r>
            <m:oMath>
              <m:r>
                <m:t>L</m:t>
              </m:r>
            </m:oMath>
          </w:p>
        </w:tc>
        <w:tc>
          <w:tcPr>
            <w:tcW w:type="dxa" w:w="1465"/>
            <w:tcBorders>
              <w:top w:val="nil"/>
              <w:left w:val="nil"/>
              <w:bottom w:val="single" w:sz="6" w:space="0" w:color="000000"/>
              <w:right w:val="nil"/>
            </w:tcBorders>
          </w:tcPr>
          <w:p>
            <w:pPr>
              <w:keepNext/>
              <w:pStyle w:val="Compact"/>
              <w:jc w:val="right"/>
            </w:pPr>
            <m:oMath>
              <m:r>
                <m:t>R</m:t>
              </m:r>
            </m:oMath>
            <w:r>
              <w:t xml:space="preserve">, N7</w:t>
            </w:r>
          </w:p>
        </w:tc>
      </w:tr>
      <w:tr>
        <w:trPr>
          <w:cantSplit/>
        </w:trPr>
        <w:tc>
          <w:tcPr>
            <w:tcW w:type="dxa" w:w="2511"/>
          </w:tcPr>
          <w:p>
            <w:pPr>
              <w:keepNext/>
              <w:pStyle w:val="Compact"/>
              <w:jc w:val="left"/>
            </w:pPr>
            <w:r>
              <w:t xml:space="preserve">Prismatic beam, pinned piers</w:t>
            </w:r>
          </w:p>
        </w:tc>
        <w:tc>
          <w:tcPr>
            <w:tcW w:type="dxa" w:w="1883"/>
          </w:tcPr>
          <w:p>
            <w:pPr>
              <w:keepNext/>
              <w:pStyle w:val="Compact"/>
              <w:jc w:val="right"/>
            </w:pPr>
            <w:r>
              <w:t xml:space="preserve">0.287</w:t>
            </w:r>
          </w:p>
        </w:tc>
        <w:tc>
          <w:tcPr>
            <w:tcW w:type="dxa" w:w="1744"/>
          </w:tcPr>
          <w:p>
            <w:pPr>
              <w:keepNext/>
              <w:pStyle w:val="Compact"/>
              <w:jc w:val="right"/>
            </w:pPr>
            <w:r>
              <w:t xml:space="preserve">0.755</w:t>
            </w:r>
          </w:p>
        </w:tc>
        <w:tc>
          <w:tcPr>
            <w:tcW w:type="dxa" w:w="1465"/>
          </w:tcPr>
          <w:p>
            <w:pPr>
              <w:keepNext/>
              <w:pStyle w:val="Compact"/>
              <w:jc w:val="right"/>
            </w:pPr>
            <w:r>
              <w:t xml:space="preserve">0.14</w:t>
            </w:r>
          </w:p>
        </w:tc>
        <w:tc>
          <w:tcPr>
            <w:tcW w:type="dxa" w:w="1465"/>
          </w:tcPr>
          <w:p>
            <w:pPr>
              <w:keepNext/>
              <w:pStyle w:val="Compact"/>
              <w:jc w:val="right"/>
            </w:pPr>
            <w:r>
              <w:t xml:space="preserve">0.70</w:t>
            </w:r>
          </w:p>
        </w:tc>
      </w:tr>
      <w:tr>
        <w:trPr>
          <w:cantSplit/>
        </w:trPr>
        <w:tc>
          <w:tcPr>
            <w:tcW w:type="dxa" w:w="2511"/>
          </w:tcPr>
          <w:p>
            <w:pPr>
              <w:keepNext/>
              <w:pStyle w:val="Compact"/>
              <w:jc w:val="left"/>
            </w:pPr>
            <w:r>
              <w:t xml:space="preserve">Haunched, calibration A</w:t>
            </w:r>
          </w:p>
        </w:tc>
        <w:tc>
          <w:tcPr>
            <w:tcW w:type="dxa" w:w="1883"/>
          </w:tcPr>
          <w:p>
            <w:pPr>
              <w:keepNext/>
              <w:pStyle w:val="Compact"/>
              <w:jc w:val="right"/>
            </w:pPr>
            <w:r>
              <w:t xml:space="preserve">0.181</w:t>
            </w:r>
          </w:p>
        </w:tc>
        <w:tc>
          <w:tcPr>
            <w:tcW w:type="dxa" w:w="1744"/>
          </w:tcPr>
          <w:p>
            <w:pPr>
              <w:keepNext/>
              <w:pStyle w:val="Compact"/>
              <w:jc w:val="right"/>
            </w:pPr>
            <w:r>
              <w:t xml:space="preserve">0.209</w:t>
            </w:r>
          </w:p>
        </w:tc>
        <w:tc>
          <w:tcPr>
            <w:tcW w:type="dxa" w:w="1465"/>
          </w:tcPr>
          <w:p>
            <w:pPr>
              <w:keepNext/>
              <w:pStyle w:val="Compact"/>
              <w:jc w:val="right"/>
            </w:pPr>
            <w:r>
              <w:t xml:space="preserve">0.18</w:t>
            </w:r>
          </w:p>
        </w:tc>
        <w:tc>
          <w:tcPr>
            <w:tcW w:type="dxa" w:w="1465"/>
          </w:tcPr>
          <w:p>
            <w:pPr>
              <w:keepNext/>
              <w:pStyle w:val="Compact"/>
              <w:jc w:val="right"/>
            </w:pPr>
            <w:r>
              <w:t xml:space="preserve">0.59</w:t>
            </w:r>
          </w:p>
        </w:tc>
      </w:tr>
      <w:tr>
        <w:trPr>
          <w:cantSplit/>
        </w:trPr>
        <w:tc>
          <w:tcPr>
            <w:tcW w:type="dxa" w:w="2511"/>
          </w:tcPr>
          <w:p>
            <w:pPr>
              <w:keepNext/>
              <w:pStyle w:val="Compact"/>
              <w:jc w:val="left"/>
            </w:pPr>
            <w:r>
              <w:t xml:space="preserve">Haunched, calibration B</w:t>
            </w:r>
          </w:p>
        </w:tc>
        <w:tc>
          <w:tcPr>
            <w:tcW w:type="dxa" w:w="1883"/>
          </w:tcPr>
          <w:p>
            <w:pPr>
              <w:keepNext/>
              <w:pStyle w:val="Compact"/>
              <w:jc w:val="right"/>
            </w:pPr>
            <w:r>
              <w:t xml:space="preserve">0.476ᵃ</w:t>
            </w:r>
          </w:p>
        </w:tc>
        <w:tc>
          <w:tcPr>
            <w:tcW w:type="dxa" w:w="1744"/>
          </w:tcPr>
          <w:p>
            <w:pPr>
              <w:keepNext/>
              <w:pStyle w:val="Compact"/>
              <w:jc w:val="right"/>
            </w:pPr>
            <w:r>
              <w:t xml:space="preserve">0.234</w:t>
            </w:r>
          </w:p>
        </w:tc>
        <w:tc>
          <w:tcPr>
            <w:tcW w:type="dxa" w:w="1465"/>
          </w:tcPr>
          <w:p>
            <w:pPr>
              <w:keepNext/>
              <w:pStyle w:val="Compact"/>
              <w:jc w:val="right"/>
            </w:pPr>
            <w:r>
              <w:t xml:space="preserve">0.56</w:t>
            </w:r>
          </w:p>
        </w:tc>
        <w:tc>
          <w:tcPr>
            <w:tcW w:type="dxa" w:w="1465"/>
          </w:tcPr>
          <w:p>
            <w:pPr>
              <w:keepNext/>
              <w:pStyle w:val="Compact"/>
              <w:jc w:val="right"/>
            </w:pPr>
            <w:r>
              <w:t xml:space="preserve">0.77</w:t>
            </w:r>
          </w:p>
        </w:tc>
      </w:tr>
      <w:tr>
        <w:trPr>
          <w:cantSplit/>
        </w:trPr>
        <w:tc>
          <w:tcPr>
            <w:tcW w:type="dxa" w:w="2511"/>
          </w:tcPr>
          <w:p>
            <w:pPr>
              <w:keepNext/>
              <w:pStyle w:val="Compact"/>
              <w:jc w:val="left"/>
            </w:pPr>
            <w:r>
              <w:t xml:space="preserve">Haunched, admissible set</w:t>
            </w:r>
          </w:p>
        </w:tc>
        <w:tc>
          <w:tcPr>
            <w:tcW w:type="dxa" w:w="1883"/>
          </w:tcPr>
          <w:p>
            <w:pPr>
              <w:keepNext/>
              <w:pStyle w:val="Compact"/>
              <w:jc w:val="right"/>
            </w:pPr>
            <w:r>
              <w:t xml:space="preserve">0.124–0.822ᵇ</w:t>
            </w:r>
          </w:p>
        </w:tc>
        <w:tc>
          <w:tcPr>
            <w:tcW w:type="dxa" w:w="1744"/>
          </w:tcPr>
          <w:p>
            <w:pPr>
              <w:keepNext/>
              <w:pStyle w:val="Compact"/>
              <w:jc w:val="right"/>
            </w:pPr>
            <w:r>
              <w:t xml:space="preserve">0.190–0.286</w:t>
            </w:r>
          </w:p>
        </w:tc>
        <w:tc>
          <w:tcPr>
            <w:tcW w:type="dxa" w:w="1465"/>
          </w:tcPr>
          <w:p>
            <w:pPr>
              <w:keepNext/>
              <w:pStyle w:val="Compact"/>
              <w:jc w:val="right"/>
            </w:pPr>
            <w:r>
              <w:t xml:space="preserve">0.13–1.00</w:t>
            </w:r>
          </w:p>
        </w:tc>
        <w:tc>
          <w:tcPr>
            <w:tcW w:type="dxa" w:w="1465"/>
          </w:tcPr>
          <w:p>
            <w:pPr>
              <w:keepNext/>
              <w:pStyle w:val="Compact"/>
              <w:jc w:val="right"/>
            </w:pPr>
            <w:r>
              <w:t xml:space="preserve">0.56–1.00</w:t>
            </w:r>
          </w:p>
        </w:tc>
      </w:tr>
      <w:tr>
        <w:trPr>
          <w:cantSplit/>
        </w:trPr>
        <w:tc>
          <w:tcPr>
            <w:tcW w:type="dxa" w:w="2511"/>
          </w:tcPr>
          <w:p>
            <w:pPr>
              <w:keepNext/>
              <w:pStyle w:val="Compact"/>
              <w:jc w:val="left"/>
            </w:pPr>
            <w:r>
              <w:t xml:space="preserve">Haunched, admissible set with prior</w:t>
            </w:r>
            <w:r>
              <w:t xml:space="preserve"> </w:t>
            </w:r>
            <m:oMath>
              <m:r>
                <m:t>α</m:t>
              </m:r>
            </m:oMath>
            <w:r>
              <w:t xml:space="preserve"> </w:t>
            </w:r>
            <w:r>
              <w:t xml:space="preserve">= 0.9–1.3</w:t>
            </w:r>
          </w:p>
        </w:tc>
        <w:tc>
          <w:tcPr>
            <w:tcW w:type="dxa" w:w="1883"/>
          </w:tcPr>
          <w:p>
            <w:pPr>
              <w:keepNext/>
              <w:pStyle w:val="Compact"/>
              <w:jc w:val="right"/>
            </w:pPr>
            <w:r>
              <w:t xml:space="preserve">0.124–0.297</w:t>
            </w:r>
          </w:p>
        </w:tc>
        <w:tc>
          <w:tcPr>
            <w:tcW w:type="dxa" w:w="1744"/>
          </w:tcPr>
          <w:p>
            <w:pPr>
              <w:keepNext/>
              <w:pStyle w:val="Compact"/>
              <w:jc w:val="right"/>
            </w:pPr>
            <w:r>
              <w:t xml:space="preserve">0.190–0.211</w:t>
            </w:r>
          </w:p>
        </w:tc>
        <w:tc>
          <w:tcPr>
            <w:tcW w:type="dxa" w:w="1465"/>
          </w:tcPr>
          <w:p>
            <w:pPr>
              <w:keepNext/>
              <w:pStyle w:val="Compact"/>
              <w:jc w:val="right"/>
            </w:pPr>
            <w:r>
              <w:t xml:space="preserve">0.13–0.34</w:t>
            </w:r>
          </w:p>
        </w:tc>
        <w:tc>
          <w:tcPr>
            <w:tcW w:type="dxa" w:w="1465"/>
          </w:tcPr>
          <w:p>
            <w:pPr>
              <w:keepNext/>
              <w:pStyle w:val="Compact"/>
              <w:jc w:val="right"/>
            </w:pPr>
            <w:r>
              <w:t xml:space="preserve">0.56–0.66</w:t>
            </w:r>
          </w:p>
        </w:tc>
      </w:tr>
      <w:tr>
        <w:trPr>
          <w:cantSplit/>
        </w:trPr>
        <w:tc>
          <w:tcPr>
            <w:tcW w:type="dxa" w:w="2511"/>
          </w:tcPr>
          <w:p>
            <w:pPr>
              <w:keepNext/>
              <w:pStyle w:val="Compact"/>
              <w:jc w:val="left"/>
            </w:pPr>
            <w:r>
              <w:t xml:space="preserve">Haunched, pinned piers</w:t>
            </w:r>
          </w:p>
        </w:tc>
        <w:tc>
          <w:tcPr>
            <w:tcW w:type="dxa" w:w="1883"/>
          </w:tcPr>
          <w:p>
            <w:pPr>
              <w:keepNext/>
              <w:pStyle w:val="Compact"/>
              <w:jc w:val="right"/>
            </w:pPr>
            <w:r>
              <w:t xml:space="preserve">0.030</w:t>
            </w:r>
          </w:p>
        </w:tc>
        <w:tc>
          <w:tcPr>
            <w:tcW w:type="dxa" w:w="1744"/>
          </w:tcPr>
          <w:p>
            <w:pPr>
              <w:keepNext/>
              <w:pStyle w:val="Compact"/>
              <w:jc w:val="right"/>
            </w:pPr>
            <w:r>
              <w:t xml:space="preserve">0.248</w:t>
            </w:r>
          </w:p>
        </w:tc>
        <w:tc>
          <w:tcPr>
            <w:tcW w:type="dxa" w:w="1465"/>
          </w:tcPr>
          <w:p>
            <w:pPr>
              <w:keepNext/>
              <w:pStyle w:val="Compact"/>
              <w:jc w:val="right"/>
            </w:pPr>
            <w:r>
              <w:t xml:space="preserve">0.02</w:t>
            </w:r>
          </w:p>
        </w:tc>
        <w:tc>
          <w:tcPr>
            <w:tcW w:type="dxa" w:w="1465"/>
          </w:tcPr>
          <w:p>
            <w:pPr>
              <w:keepNext/>
              <w:pStyle w:val="Compact"/>
              <w:jc w:val="right"/>
            </w:pPr>
            <w:r>
              <w:t xml:space="preserve">0.51</w:t>
            </w:r>
          </w:p>
        </w:tc>
      </w:tr>
      <w:tr>
        <w:trPr>
          <w:cantSplit/>
        </w:trPr>
        <w:tc>
          <w:tcPr>
            <w:tcW w:type="dxa" w:w="2511"/>
          </w:tcPr>
          <w:p>
            <w:pPr>
              <w:keepNext/>
              <w:pStyle w:val="Compact"/>
              <w:jc w:val="left"/>
            </w:pPr>
            <w:r>
              <w:t xml:space="preserve">Haunched, fixed piers</w:t>
            </w:r>
          </w:p>
        </w:tc>
        <w:tc>
          <w:tcPr>
            <w:tcW w:type="dxa" w:w="1883"/>
          </w:tcPr>
          <w:p>
            <w:pPr>
              <w:keepNext/>
              <w:pStyle w:val="Compact"/>
              <w:jc w:val="right"/>
            </w:pPr>
            <w:r>
              <w:t xml:space="preserve">0.422</w:t>
            </w:r>
          </w:p>
        </w:tc>
        <w:tc>
          <w:tcPr>
            <w:tcW w:type="dxa" w:w="1744"/>
          </w:tcPr>
          <w:p>
            <w:pPr>
              <w:keepNext/>
              <w:pStyle w:val="Compact"/>
              <w:jc w:val="right"/>
            </w:pPr>
            <w:r>
              <w:t xml:space="preserve">0.147</w:t>
            </w:r>
          </w:p>
        </w:tc>
        <w:tc>
          <w:tcPr>
            <w:tcW w:type="dxa" w:w="1465"/>
          </w:tcPr>
          <w:p>
            <w:pPr>
              <w:keepNext/>
              <w:pStyle w:val="Compact"/>
              <w:jc w:val="right"/>
            </w:pPr>
            <w:r>
              <w:t xml:space="preserve">1.00</w:t>
            </w:r>
          </w:p>
        </w:tc>
        <w:tc>
          <w:tcPr>
            <w:tcW w:type="dxa" w:w="1465"/>
          </w:tcPr>
          <w:p>
            <w:pPr>
              <w:keepNext/>
              <w:pStyle w:val="Compact"/>
              <w:jc w:val="right"/>
            </w:pPr>
            <w:r>
              <w:t xml:space="preserve">1.00</w:t>
            </w:r>
          </w:p>
        </w:tc>
      </w:tr>
    </w:tbl>
    <w:p>
      <w:pPr>
        <w:pStyle w:val="BodyText"/>
      </w:pPr>
      <w:r>
        <w:t xml:space="preserve">ᵃ Above the fixed-pier value because calibration B has</w:t>
      </w:r>
      <w:r>
        <w:t xml:space="preserve"> </w:t>
      </w:r>
      <m:oMath>
        <m:r>
          <m:t>α</m:t>
        </m:r>
      </m:oMath>
      <w:r>
        <w:t xml:space="preserve"> </w:t>
      </w:r>
      <w:r>
        <w:t xml:space="preserve">= 0.716; normalized by the effective rigidity</w:t>
      </w:r>
      <w:r>
        <w:t xml:space="preserve"> </w:t>
      </w:r>
      <m:oMath>
        <m:r>
          <m:t>α</m:t>
        </m:r>
        <m:r>
          <m:t>E</m:t>
        </m:r>
        <m:sSub>
          <m:e>
            <m:r>
              <m:t>I</m:t>
            </m:r>
          </m:e>
          <m:sub>
            <m:r>
              <m:rPr>
                <m:sty m:val="p"/>
                <m:nor/>
              </m:rPr>
              <m:t>mid</m:t>
            </m:r>
          </m:sub>
        </m:sSub>
      </m:oMath>
      <w:r>
        <w:t xml:space="preserve">: 0.341. ᵇ The upper part requires</w:t>
      </w:r>
      <w:r>
        <w:t xml:space="preserve"> </w:t>
      </w:r>
      <m:oMath>
        <m:r>
          <m:t>α</m:t>
        </m:r>
        <m:r>
          <m:rPr>
            <m:sty m:val="p"/>
          </m:rPr>
          <m:t>≈</m:t>
        </m:r>
        <m:r>
          <m:t>0.5</m:t>
        </m:r>
      </m:oMath>
      <w:r>
        <w:t xml:space="preserve">; normalized by the effective rigidity: 0.144–0.422.</w:t>
      </w:r>
    </w:p>
    <w:p>
      <w:pPr>
        <w:pStyle w:val="BodyText"/>
      </w:pPr>
      <w:r>
        <w:t xml:space="preserve">The main-span indicator is low (0.19–0.29) although</w:t>
      </w:r>
      <w:r>
        <w:t xml:space="preserve"> </w:t>
      </w:r>
      <m:oMath>
        <m:r>
          <m:t>R</m:t>
        </m:r>
      </m:oMath>
      <w:r>
        <w:t xml:space="preserve"> </w:t>
      </w:r>
      <w:r>
        <w:t xml:space="preserve">is 0.56–1.00, so its smallness reflects restraint by the haunches, not cancellation.</w:t>
      </w:r>
    </w:p>
    <w:bookmarkEnd w:id="55"/>
    <w:bookmarkStart w:id="56" w:name="which-channel-where"/>
    <w:p>
      <w:pPr>
        <w:pStyle w:val="Heading3"/>
      </w:pPr>
      <w:r>
        <w:t xml:space="preserve">5.3. Which channel, where</w:t>
      </w:r>
    </w:p>
    <w:p>
      <w:pPr>
        <w:pStyle w:val="FirstParagraph"/>
      </w:pPr>
      <w:r>
        <w:t xml:space="preserve">For this girder the deflection channel at mid main span is the robust choice. A side-span deflection gauge is ill-conditioned with respect to pier stiffness and should not take its constant from a design model unless that stiffness is identified.</w:t>
      </w:r>
    </w:p>
    <w:p>
      <w:pPr>
        <w:pStyle w:val="BodyText"/>
      </w:pPr>
      <w:r>
        <w:t xml:space="preserve">Strain channels are no better on this girder (Fig. 6). The haunches move every zero-moment point toward mid-span, so a strain gauge at mid side span would be practically blind under calibration A (</w:t>
      </w:r>
      <m:oMath>
        <m:sSub>
          <m:e>
            <m:r>
              <m:t>N</m:t>
            </m:r>
          </m:e>
          <m:sub>
            <m:r>
              <m:t>M</m:t>
            </m:r>
          </m:sub>
        </m:sSub>
        <m:r>
          <m:rPr>
            <m:sty m:val="p"/>
          </m:rPr>
          <m:t>=</m:t>
        </m:r>
        <m:r>
          <m:t>0.048</m:t>
        </m:r>
      </m:oMath>
      <w:r>
        <w:t xml:space="preserve">), and mid main span lies in or at the edge of the near-blind band in every haunched model (</w:t>
      </w:r>
      <m:oMath>
        <m:sSub>
          <m:e>
            <m:r>
              <m:t>N</m:t>
            </m:r>
          </m:e>
          <m:sub>
            <m:r>
              <m:t>M</m:t>
            </m:r>
          </m:sub>
        </m:sSub>
      </m:oMath>
      <w:r>
        <w:t xml:space="preserve"> </w:t>
      </w:r>
      <w:r>
        <w:t xml:space="preserve">= 0.163–0.212 at N7), again because of restraint. By</w:t>
      </w:r>
      <w:r>
        <w:t xml:space="preserve"> </w:t>
      </w:r>
      <m:oMath>
        <m:sSub>
          <m:e>
            <m:r>
              <m:t>N</m:t>
            </m:r>
          </m:e>
          <m:sub>
            <m:r>
              <m:t>M</m:t>
            </m:r>
          </m:sub>
        </m:sSub>
      </m:oMath>
      <w:r>
        <w:t xml:space="preserve"> </w:t>
      </w:r>
      <w:r>
        <w:t xml:space="preserve">alone the best strain locations in all haunched models are 5–10 m from the piers, but with</w:t>
      </w:r>
      <w:r>
        <w:t xml:space="preserve"> </w:t>
      </w:r>
      <m:oMath>
        <m:r>
          <m:t>c</m:t>
        </m:r>
        <m:r>
          <m:rPr>
            <m:sty m:val="p"/>
          </m:rPr>
          <m:t>∝</m:t>
        </m:r>
        <m:r>
          <m:t>h</m:t>
        </m:r>
      </m:oMath>
      <w:r>
        <w:t xml:space="preserve"> </w:t>
      </w:r>
      <w:r>
        <w:t xml:space="preserve">their gain</w:t>
      </w:r>
      <w:r>
        <w:t xml:space="preserve"> </w:t>
      </w:r>
      <m:oMath>
        <m:r>
          <m:t>c</m:t>
        </m:r>
        <m:r>
          <m:rPr>
            <m:sty m:val="p"/>
          </m:rPr>
          <m:t>/</m:t>
        </m:r>
        <m:r>
          <m:t>E</m:t>
        </m:r>
        <m:r>
          <m:t>I</m:t>
        </m:r>
      </m:oMath>
      <w:r>
        <w:t xml:space="preserve"> </w:t>
      </w:r>
      <w:r>
        <w:t xml:space="preserve">is about one quarter to one third of that at mid-span (Fig. 6c), so the placement rule, which ranks by</w:t>
      </w:r>
      <w:r>
        <w:t xml:space="preserve"> </w:t>
      </w:r>
      <m:oMath>
        <m:sSub>
          <m:e>
            <m:r>
              <m:t>C</m:t>
            </m:r>
          </m:e>
          <m:sub>
            <m:r>
              <m:t>ε</m:t>
            </m:r>
          </m:sub>
        </m:sSub>
        <m:r>
          <m:rPr>
            <m:sty m:val="p"/>
          </m:rPr>
          <m:t>=</m:t>
        </m:r>
        <m:r>
          <m:t>c</m:t>
        </m:r>
        <m:sSub>
          <m:e>
            <m:r>
              <m:t>M</m:t>
            </m:r>
          </m:e>
          <m:sub>
            <m:r>
              <m:t>q</m:t>
            </m:r>
          </m:sub>
        </m:sSub>
        <m:r>
          <m:rPr>
            <m:sty m:val="p"/>
          </m:rPr>
          <m:t>/</m:t>
        </m:r>
        <m:d>
          <m:dPr>
            <m:begChr m:val="("/>
            <m:endChr m:val=")"/>
            <m:grow/>
          </m:dPr>
          <m:e>
            <m:r>
              <m:t>E</m:t>
            </m:r>
            <m:r>
              <m:t>I</m:t>
            </m:r>
            <m:r>
              <m:t> </m:t>
            </m:r>
            <m:sSub>
              <m:e>
                <m:r>
                  <m:t>q</m:t>
                </m:r>
              </m:e>
              <m:sub>
                <m:r>
                  <m:t>0</m:t>
                </m:r>
              </m:sub>
            </m:sSub>
          </m:e>
        </m:d>
      </m:oMath>
      <w:r>
        <w:t xml:space="preserve">, disagrees with the ranking by</w:t>
      </w:r>
      <w:r>
        <w:t xml:space="preserve"> </w:t>
      </w:r>
      <m:oMath>
        <m:sSub>
          <m:e>
            <m:r>
              <m:t>N</m:t>
            </m:r>
          </m:e>
          <m:sub>
            <m:r>
              <m:t>M</m:t>
            </m:r>
          </m:sub>
        </m:sSub>
      </m:oMath>
      <w:r>
        <w:t xml:space="preserve">. Which governs depends on whether strain resolution or offset sets the noise. Further strain and end-reaction values are in Supplementary Section S8.</w:t>
      </w:r>
    </w:p>
    <w:p>
      <w:pPr>
        <w:pStyle w:val="BodyText"/>
      </w:pPr>
      <w:r>
        <w:t xml:space="preserve">Placement is insensitive to the unresolved pier stiffness. The placement rule puts a second deflection sensor at the most negative constant, in the side span 4–10 m from the inner pier, and the pair at 100 m and 152 m from T5 is within 1 % in variance of the calibration-specific optimum under both A and B. Under the assumed noise model of Supplementary Section S4 (calibration A), the standard deviation of the load for a 220 m record (200 m plus a 20 m convoy allowance) falls from 24.8 % with N7 alone to 10.6 % with the pair and the zero-sum estimator; this gain is an upper bound, because such common-mode behavior need not hold during crossings (Section 4.3).</w:t>
      </w:r>
    </w:p>
    <w:p>
      <w:pPr>
        <w:pStyle w:val="BodyText"/>
      </w:pPr>
      <w:r>
        <w:t xml:space="preserve">If a model-based constant is wanted, a tiltmeter on the monolithic pier T7 is the most informative of the measurements compared: at the design pier stiffness (Supplementary Section S8), the Cramér–Rao bound on the standard deviation of</w:t>
      </w:r>
      <w:r>
        <w:t xml:space="preserve"> </w:t>
      </w:r>
      <m:oMath>
        <m:r>
          <m:rPr>
            <m:sty m:val="p"/>
            <m:nor/>
          </m:rPr>
          <m:t>ln</m:t>
        </m:r>
        <m:sSub>
          <m:e>
            <m:r>
              <m:t>C</m:t>
            </m:r>
          </m:e>
          <m:sub>
            <m:r>
              <m:t>8</m:t>
            </m:r>
          </m:sub>
        </m:sSub>
      </m:oMath>
      <w:r>
        <w:t xml:space="preserve"> </w:t>
      </w:r>
      <w:r>
        <w:t xml:space="preserve">falls from 0.87 with the two deflections to 0.18 with the tiltmeter. The bound assumes standard uncertainties of 2.64 % per deflection and 3 % of the pier rotation; the rotation itself is about 167 µrad under the side-span test load.</w:t>
      </w:r>
    </w:p>
    <w:p>
      <w:pPr>
        <w:pStyle w:val="BodyText"/>
      </w:pPr>
      <w:r>
        <w:t xml:space="preserve">A moving-load test with weighed trucks has been designed but not performed; its predictions are in Supplementary Table S19. The ratio of the N8 and N7 integrals is independent of truck weight and absolute rigidity and differs by a factor of 2.3 between A and B.</w:t>
      </w:r>
    </w:p>
    <w:bookmarkEnd w:id="56"/>
    <w:bookmarkEnd w:id="57"/>
    <w:bookmarkStart w:id="58" w:name="design-implications-and-limitations"/>
    <w:p>
      <w:pPr>
        <w:pStyle w:val="Heading2"/>
      </w:pPr>
      <w:r>
        <w:t xml:space="preserve">6. Design implications and limitations</w:t>
      </w:r>
    </w:p>
    <w:p>
      <w:pPr>
        <w:pStyle w:val="FirstParagraph"/>
      </w:pPr>
      <w:r>
        <w:t xml:space="preserve">For design before installation (checklist in Supplementary Section S10), one static analysis under a uniform unit load on each lane gives the constant of every candidate channel. Strain gauges should stay out of the near-blind band</w:t>
      </w:r>
      <w:r>
        <w:t xml:space="preserve"> </w:t>
      </w:r>
      <m:oMath>
        <m:d>
          <m:dPr>
            <m:begChr m:val="|"/>
            <m:endChr m:val="|"/>
            <m:grow/>
          </m:dPr>
          <m:e>
            <m:sSub>
              <m:e>
                <m:r>
                  <m:t>N</m:t>
                </m:r>
              </m:e>
              <m:sub>
                <m:r>
                  <m:t>M</m:t>
                </m:r>
              </m:sub>
            </m:sSub>
          </m:e>
        </m:d>
        <m:r>
          <m:rPr>
            <m:sty m:val="p"/>
          </m:rPr>
          <m:t>&lt;</m:t>
        </m:r>
        <m:r>
          <m:t>0.2</m:t>
        </m:r>
      </m:oMath>
      <w:r>
        <w:t xml:space="preserve"> </w:t>
      </w:r>
      <w:r>
        <w:t xml:space="preserve">around every zero-moment point, including gauges set back from a pier, and deflection gauges out of the bands of Table 1. Equation (13) gives the constant over the plausible range of pier stiffness; locations with large</w:t>
      </w:r>
      <w:r>
        <w:t xml:space="preserve"> </w:t>
      </w:r>
      <m:oMath>
        <m:sSub>
          <m:e>
            <m:r>
              <m:t>C</m:t>
            </m:r>
          </m:e>
          <m:sub>
            <m:r>
              <m:rPr>
                <m:sty m:val="p"/>
              </m:rPr>
              <m:t>∞</m:t>
            </m:r>
          </m:sub>
        </m:sSub>
        <m:r>
          <m:rPr>
            <m:sty m:val="p"/>
          </m:rPr>
          <m:t>/</m:t>
        </m:r>
        <m:sSub>
          <m:e>
            <m:r>
              <m:t>C</m:t>
            </m:r>
          </m:e>
          <m:sub>
            <m:r>
              <m:t>0</m:t>
            </m:r>
          </m:sub>
        </m:sSub>
      </m:oMath>
      <w:r>
        <w:t xml:space="preserve"> </w:t>
      </w:r>
      <w:r>
        <w:t xml:space="preserve">or</w:t>
      </w:r>
      <w:r>
        <w:t xml:space="preserve"> </w:t>
      </w:r>
      <m:oMath>
        <m:sSub>
          <m:e>
            <m:r>
              <m:t>B</m:t>
            </m:r>
          </m:e>
          <m:sub>
            <m:r>
              <m:t>m</m:t>
            </m:r>
          </m:sub>
        </m:sSub>
      </m:oMath>
      <w:r>
        <w:t xml:space="preserve"> </w:t>
      </w:r>
      <w:r>
        <w:t xml:space="preserve">should be avoided, or a measurement that identifies</w:t>
      </w:r>
      <w:r>
        <w:t xml:space="preserve"> </w:t>
      </w:r>
      <m:oMath>
        <m:r>
          <m:t>κ</m:t>
        </m:r>
      </m:oMath>
      <w:r>
        <w:t xml:space="preserve"> </w:t>
      </w:r>
      <w:r>
        <w:t xml:space="preserve">should be planned (a pier tiltmeter, an identified first frequency or an integral ratio between two gauges). SLM with lane-specific constants from weighed vehicles of clearly different weights is preferred to GLS or zero-sum weights unless</w:t>
      </w:r>
      <w:r>
        <w:t xml:space="preserve"> </w:t>
      </w:r>
      <m:oMath>
        <m:r>
          <m:t>Σ</m:t>
        </m:r>
      </m:oMath>
      <w:r>
        <w:t xml:space="preserve"> </w:t>
      </w:r>
      <w:r>
        <w:t xml:space="preserve">is checked out of sample (Section 4.3).</w:t>
      </w:r>
    </w:p>
    <w:p>
      <w:pPr>
        <w:pStyle w:val="BodyText"/>
      </w:pPr>
      <w:r>
        <w:t xml:space="preserve">The residual offset limits single-channel accuracy on long spans. Over the Mây Bridge admissible set, with</w:t>
      </w:r>
      <w:r>
        <w:t xml:space="preserve"> </w:t>
      </w:r>
      <m:oMath>
        <m:sSub>
          <m:e>
            <m:r>
              <m:t>L</m:t>
            </m:r>
          </m:e>
          <m:sub>
            <m:r>
              <m:rPr>
                <m:sty m:val="p"/>
                <m:nor/>
              </m:rPr>
              <m:t>tot</m:t>
            </m:r>
          </m:sub>
        </m:sSub>
        <m:r>
          <m:rPr>
            <m:sty m:val="p"/>
          </m:rPr>
          <m:t>=</m:t>
        </m:r>
        <m:r>
          <m:t>200</m:t>
        </m:r>
      </m:oMath>
      <w:r>
        <w:t xml:space="preserve"> </w:t>
      </w:r>
      <w:r>
        <w:t xml:space="preserve">m,</w:t>
      </w:r>
      <w:r>
        <w:t xml:space="preserve"> </w:t>
      </w:r>
      <m:oMath>
        <m:sSub>
          <m:e>
            <m:r>
              <m:t>δ</m:t>
            </m:r>
          </m:e>
          <m:sub>
            <m:r>
              <m:t>0</m:t>
            </m:r>
          </m:sub>
        </m:sSub>
        <m:r>
          <m:rPr>
            <m:sty m:val="p"/>
          </m:rPr>
          <m:t>=</m:t>
        </m:r>
        <m:r>
          <m:t>0.1</m:t>
        </m:r>
      </m:oMath>
      <w:r>
        <w:t xml:space="preserve"> </w:t>
      </w:r>
      <w:r>
        <w:t xml:space="preserve">mm biases a 25 t truck by 16–25 % at a single main-span gauge and by 41–271 % at a single side-span gauge (Supplementary Table S17). Single-point influence-area weighing on this 200 m unit is therefore marginal even at the best location. Non-contact techniques, such as terrestrial laser scanning of bridge deflection (Vu et al., 2023), must establish their residual offset on site, because environmental effects act over the same window (Sohn, 2007; Cross et al., 2013). The speed estimator alone can shift the weight by more than 10 %, and dynamics add a further term (Frýba, 1999; Supplementary Sections S9 and S10). The method is therefore proposed for preliminary overload screening. Its threshold should be set with a margin below the legal limit and the design live loads (CEN, 2003; AASHTO, 2024), and flagged vehicles should be weighed by influence-line BWIM, which does not suffer the blindness of Table 1 because it fits the whole record shape.</w:t>
      </w:r>
    </w:p>
    <w:p>
      <w:pPr>
        <w:pStyle w:val="BodyText"/>
      </w:pPr>
      <w:r>
        <w:t xml:space="preserve">Several limitations remain. The strain criterion holds for gauges that measure global bending, not for deck-soffit gauges (Sections 2.1 and 4.2). The laboratory beam had equal spans and statically positioned loads. The field data come from one public dataset with four trucks, nearly constant reference weights, no deflection channel and no gauge at a zero-moment point, so weight discrimination, the strain and deflection blind loci and a deflection pair could not be tested, and a screening threshold still needs field calibration with trucks of clearly different weights. The in-service analysis uses static data and a beam model with an assumed depth law and equal pier springs. The treatment is one-dimensional along each lane.</w:t>
      </w:r>
    </w:p>
    <w:bookmarkEnd w:id="58"/>
    <w:bookmarkStart w:id="59" w:name="conclusions"/>
    <w:p>
      <w:pPr>
        <w:pStyle w:val="Heading2"/>
      </w:pPr>
      <w:r>
        <w:t xml:space="preserve">7. Conclusions</w:t>
      </w:r>
    </w:p>
    <w:p>
      <w:pPr>
        <w:pStyle w:val="FirstParagraph"/>
      </w:pPr>
      <w:r>
        <w:t xml:space="preserve">The main results are as follows.</w:t>
      </w:r>
    </w:p>
    <w:p>
      <w:pPr>
        <w:numPr>
          <w:ilvl w:val="0"/>
          <w:numId w:val="1001"/>
        </w:numPr>
        <w:pStyle w:val="BodyText"/>
      </w:pPr>
      <w:r>
        <w:t xml:space="preserve">Blind loci. Strain channels that measure global bending are blind at every zero of the uniform-load moment diagram, which every continuous girder has, and nearly blind 0.19–0.32 of the span from the interior support on two equal spans. On prismatic girders, deflection channels are blind only near particular span ratios, such as</w:t>
      </w:r>
      <w:r>
        <w:t xml:space="preserve"> </w:t>
      </w:r>
      <m:oMath>
        <m:r>
          <m:t>λ</m:t>
        </m:r>
        <m:r>
          <m:rPr>
            <m:sty m:val="p"/>
          </m:rPr>
          <m:t>=</m:t>
        </m:r>
        <m:d>
          <m:dPr>
            <m:begChr m:val="("/>
            <m:endChr m:val=")"/>
            <m:grow/>
          </m:dPr>
          <m:e>
            <m:r>
              <m:t>3</m:t>
            </m:r>
            <m:r>
              <m:rPr>
                <m:sty m:val="p"/>
              </m:rPr>
              <m:t>+</m:t>
            </m:r>
            <m:rad>
              <m:radPr>
                <m:degHide m:val="on"/>
              </m:radPr>
              <m:deg/>
              <m:e>
                <m:r>
                  <m:t>33</m:t>
                </m:r>
              </m:e>
            </m:rad>
          </m:e>
        </m:d>
        <m:r>
          <m:rPr>
            <m:sty m:val="p"/>
          </m:rPr>
          <m:t>/</m:t>
        </m:r>
        <m:r>
          <m:t>6</m:t>
        </m:r>
      </m:oMath>
      <w:r>
        <w:t xml:space="preserve"> </w:t>
      </w:r>
      <w:r>
        <w:t xml:space="preserve">for a mid-span gauge on two spans of equal rigidity and</w:t>
      </w:r>
      <w:r>
        <w:t xml:space="preserve"> </w:t>
      </w:r>
      <m:oMath>
        <m:r>
          <m:t>β</m:t>
        </m:r>
        <m:r>
          <m:rPr>
            <m:sty m:val="p"/>
          </m:rPr>
          <m:t>=</m:t>
        </m:r>
        <m:r>
          <m:t>1.7006</m:t>
        </m:r>
      </m:oMath>
      <w:r>
        <w:t xml:space="preserve"> </w:t>
      </w:r>
      <w:r>
        <w:t xml:space="preserve">for a mid side-span gauge on three symmetric spans, and in the main span of three nearly equal spans.</w:t>
      </w:r>
    </w:p>
    <w:p>
      <w:pPr>
        <w:numPr>
          <w:ilvl w:val="0"/>
          <w:numId w:val="1001"/>
        </w:numPr>
        <w:pStyle w:val="BodyText"/>
      </w:pPr>
      <w:r>
        <w:t xml:space="preserve">Placement. For position-independent noise, optimal sensors lie at the extremes of the uniform-load response, for strain at the extremes of</w:t>
      </w:r>
      <w:r>
        <w:t xml:space="preserve"> </w:t>
      </w:r>
      <m:oMath>
        <m:r>
          <m:t>c</m:t>
        </m:r>
        <m:sSub>
          <m:e>
            <m:r>
              <m:t>M</m:t>
            </m:r>
          </m:e>
          <m:sub>
            <m:r>
              <m:t>q</m:t>
            </m:r>
          </m:sub>
        </m:sSub>
        <m:r>
          <m:rPr>
            <m:sty m:val="p"/>
          </m:rPr>
          <m:t>/</m:t>
        </m:r>
        <m:r>
          <m:t>E</m:t>
        </m:r>
        <m:r>
          <m:t>I</m:t>
        </m:r>
      </m:oMath>
      <w:r>
        <w:t xml:space="preserve">.</w:t>
      </w:r>
    </w:p>
    <w:p>
      <w:pPr>
        <w:numPr>
          <w:ilvl w:val="0"/>
          <w:numId w:val="1001"/>
        </w:numPr>
        <w:pStyle w:val="BodyText"/>
      </w:pPr>
      <w:r>
        <w:t xml:space="preserve">Pier stiffness. For a symmetric girder with equal piers, the constant is a linear-fractional (Möbius) function of the scaled pier stiffness. On a 55 + 90 + 55 m box girder, two static readings leave the side-span deflection constant of the base model uncertain by a factor of 6.6 against 1.5 for the main-span constant, or 2.4 against 1.1 with girder rigidity bounded to 0.9–1.3 times the design value; at the design pier stiffness a pier tiltmeter would reduce the Cramér–Rao bound on the standard deviation of</w:t>
      </w:r>
      <w:r>
        <w:t xml:space="preserve"> </w:t>
      </w:r>
      <m:oMath>
        <m:r>
          <m:rPr>
            <m:sty m:val="p"/>
            <m:nor/>
          </m:rPr>
          <m:t>ln</m:t>
        </m:r>
        <m:sSub>
          <m:e>
            <m:r>
              <m:t>C</m:t>
            </m:r>
          </m:e>
          <m:sub>
            <m:r>
              <m:t>8</m:t>
            </m:r>
          </m:sub>
        </m:sSub>
      </m:oMath>
      <w:r>
        <w:t xml:space="preserve"> </w:t>
      </w:r>
      <w:r>
        <w:t xml:space="preserve">from 0.87 to 0.18.</w:t>
      </w:r>
    </w:p>
    <w:p>
      <w:pPr>
        <w:numPr>
          <w:ilvl w:val="0"/>
          <w:numId w:val="1001"/>
        </w:numPr>
        <w:pStyle w:val="BodyText"/>
      </w:pPr>
      <w:r>
        <w:t xml:space="preserve">Public records. On public moving-truck records, the gauge-average constants were consistent with invariance and superposition within the 12 % (day 1) to 27 % (day 2) that the noise resolves, although four day-1 gauges differed by 22–26 % between trucks; each deck gauge needed its own constant. On one day, GLS weights from vehicle-free noise were worse out of sample than the gauge average (20.4 % against 11.9 %).</w:t>
      </w:r>
    </w:p>
    <w:p>
      <w:pPr>
        <w:numPr>
          <w:ilvl w:val="0"/>
          <w:numId w:val="1001"/>
        </w:numPr>
        <w:pStyle w:val="BodyText"/>
      </w:pPr>
      <w:r>
        <w:t xml:space="preserve">Residual offset. On the same box girder, with a 200 m record, a residual offset of 0.1 mm would bias a 25 t truck by 16–25 % even at mid main span.</w:t>
      </w:r>
    </w:p>
    <w:p>
      <w:pPr>
        <w:pStyle w:val="FirstParagraph"/>
      </w:pPr>
      <w:r>
        <w:t xml:space="preserve">The contribution is thus a set of design criteria for choosing channels and locations, not a new weighing method. The next steps are the moving-load test designed for the in-service girder, laboratory tests of the blind configuration, and field calibration with trucks of clearly different weights.</w:t>
      </w:r>
    </w:p>
    <w:bookmarkEnd w:id="59"/>
    <w:bookmarkStart w:id="60" w:name="acknowledgements"/>
    <w:p>
      <w:pPr>
        <w:pStyle w:val="Heading2"/>
      </w:pPr>
      <w:r>
        <w:t xml:space="preserve">Acknowledgements</w:t>
      </w:r>
    </w:p>
    <w:p>
      <w:pPr>
        <w:pStyle w:val="FirstParagraph"/>
      </w:pPr>
      <w:r>
        <w:t xml:space="preserve">The authors gratefully acknowledge the Laboratory of Transportation Technology and Systems, Faculty of Bridge and Road Engineering, Hanoi University of Civil Engineering, for providing the test facilities used in this study, and A. Moghadam and R. Sarlo for making the NOR-BWIM dataset publicly available. They also thank the Hải Dương provincial project management unit and Công ty TNHH Tư vấn Đại học Xây dựng (HUCE consultancy) for permission to use the acceptance-test data of the Mây Bridge.</w:t>
      </w:r>
    </w:p>
    <w:p>
      <w:pPr>
        <w:pStyle w:val="BodyText"/>
      </w:pPr>
      <w:r>
        <w:t xml:space="preserve">During the preparation of this work the authors used Claude (Anthropic) to assist with code development and debugging and with language editing. All scientific formulations, procedures, numerical results and interpretations were independently reviewed and verified by the authors, who take full responsibility for the content of the manuscript.</w:t>
      </w:r>
    </w:p>
    <w:bookmarkEnd w:id="60"/>
    <w:bookmarkStart w:id="61" w:name="author-contributions"/>
    <w:p>
      <w:pPr>
        <w:pStyle w:val="Heading2"/>
      </w:pPr>
      <w:r>
        <w:t xml:space="preserve">Author contributions</w:t>
      </w:r>
    </w:p>
    <w:p>
      <w:pPr>
        <w:pStyle w:val="FirstParagraph"/>
      </w:pPr>
      <w:r>
        <w:t xml:space="preserve">Quoc-Bao Nguyen: Conceptualization, Methodology, Investigation, Data curation, Formal analysis, Software, Writing – original draft. Thai-Son Vu: Conceptualization, Investigation, Validation, Supervision, Project administration, Writing – review &amp; editing.</w:t>
      </w:r>
    </w:p>
    <w:bookmarkEnd w:id="61"/>
    <w:bookmarkStart w:id="68" w:name="statements-and-declarations"/>
    <w:p>
      <w:pPr>
        <w:pStyle w:val="Heading2"/>
      </w:pPr>
      <w:r>
        <w:t xml:space="preserve">Statements and Declarations</w:t>
      </w:r>
    </w:p>
    <w:bookmarkStart w:id="62" w:name="ethical-considerations"/>
    <w:p>
      <w:pPr>
        <w:pStyle w:val="Heading3"/>
      </w:pPr>
      <w:r>
        <w:t xml:space="preserve">Ethical considerations</w:t>
      </w:r>
    </w:p>
    <w:p>
      <w:pPr>
        <w:pStyle w:val="FirstParagraph"/>
      </w:pPr>
      <w:r>
        <w:t xml:space="preserve">Not applicable.</w:t>
      </w:r>
    </w:p>
    <w:bookmarkEnd w:id="62"/>
    <w:bookmarkStart w:id="63" w:name="consent-to-participate"/>
    <w:p>
      <w:pPr>
        <w:pStyle w:val="Heading3"/>
      </w:pPr>
      <w:r>
        <w:t xml:space="preserve">Consent to participate</w:t>
      </w:r>
    </w:p>
    <w:p>
      <w:pPr>
        <w:pStyle w:val="FirstParagraph"/>
      </w:pPr>
      <w:r>
        <w:t xml:space="preserve">Not applicable.</w:t>
      </w:r>
    </w:p>
    <w:bookmarkEnd w:id="63"/>
    <w:bookmarkStart w:id="64" w:name="consent-for-publication"/>
    <w:p>
      <w:pPr>
        <w:pStyle w:val="Heading3"/>
      </w:pPr>
      <w:r>
        <w:t xml:space="preserve">Consent for publication</w:t>
      </w:r>
    </w:p>
    <w:p>
      <w:pPr>
        <w:pStyle w:val="FirstParagraph"/>
      </w:pPr>
      <w:r>
        <w:t xml:space="preserve">Not applicable.</w:t>
      </w:r>
    </w:p>
    <w:bookmarkEnd w:id="64"/>
    <w:bookmarkStart w:id="65" w:name="declaration-of-conflicting-interest"/>
    <w:p>
      <w:pPr>
        <w:pStyle w:val="Heading3"/>
      </w:pPr>
      <w:r>
        <w:t xml:space="preserve">Declaration of conflicting interest</w:t>
      </w:r>
    </w:p>
    <w:p>
      <w:pPr>
        <w:pStyle w:val="FirstParagraph"/>
      </w:pPr>
      <w:r>
        <w:t xml:space="preserve">The Mây Bridge load test analyzed in Section 5 was performed by an author of this paper (Q.-B. Nguyen) as part of inspection work carried out by Công ty TNHH Tư vấn Đại học Xây dựng (HUCE consultancy). The authors declare that there is no other conflict of interest regarding the publication of this article.</w:t>
      </w:r>
    </w:p>
    <w:bookmarkEnd w:id="65"/>
    <w:bookmarkStart w:id="66" w:name="funding"/>
    <w:p>
      <w:pPr>
        <w:pStyle w:val="Heading3"/>
      </w:pPr>
      <w:r>
        <w:t xml:space="preserve">Funding</w:t>
      </w:r>
    </w:p>
    <w:p>
      <w:pPr>
        <w:pStyle w:val="FirstParagraph"/>
      </w:pPr>
      <w:r>
        <w:t xml:space="preserve">This research did not receive any specific grant from funding agencies in the public, commercial or not-for-profit sectors. The work was carried out as part of the authors’ employment at Hanoi University of Civil Engineering.</w:t>
      </w:r>
    </w:p>
    <w:bookmarkEnd w:id="66"/>
    <w:bookmarkStart w:id="67" w:name="data-availability"/>
    <w:p>
      <w:pPr>
        <w:pStyle w:val="Heading3"/>
      </w:pPr>
      <w:r>
        <w:t xml:space="preserve">Data availability</w:t>
      </w:r>
    </w:p>
    <w:p>
      <w:pPr>
        <w:pStyle w:val="FirstParagraph"/>
      </w:pPr>
      <w:r>
        <w:t xml:space="preserve">The field strain records analyzed in Section 4 are publicly available in the NOR-BWIM dataset (figshare, https://doi.org/10.7294/26880898.v1, CC0; Moghadam and Sarlo, 2024). The Mây Bridge load test was performed by an author of this paper, and the authors are permitted to publish the processed data. The laboratory mean readings, the processed Mây Bridge data, the scripts with their logs and the derived data (CSV and NumPy files) are provided as Supplementary Material; the records behind Figs. S16 and S17 are not.</w:t>
      </w:r>
    </w:p>
    <w:bookmarkEnd w:id="67"/>
    <w:bookmarkEnd w:id="68"/>
    <w:bookmarkStart w:id="69" w:name="references"/>
    <w:p>
      <w:pPr>
        <w:pStyle w:val="Heading2"/>
      </w:pPr>
      <w:r>
        <w:t xml:space="preserve">References</w:t>
      </w:r>
    </w:p>
    <w:p>
      <w:pPr>
        <w:pStyle w:val="FirstParagraph"/>
        <w:ind w:left="425" w:hanging="425"/>
        <w:jc w:val="left"/>
      </w:pPr>
      <w:r>
        <w:t xml:space="preserve">AASHTO (2024)</w:t>
      </w:r>
      <w:r>
        <w:t xml:space="preserve"> </w:t>
      </w:r>
      <w:r>
        <w:rPr>
          <w:iCs/>
          <w:i/>
        </w:rPr>
        <w:t xml:space="preserve">LRFD Bridge Design Specifications</w:t>
      </w:r>
      <w:r>
        <w:t xml:space="preserve">. 10th ed. Washington, DC: American Association of State Highway and Transportation Officials.</w:t>
      </w:r>
    </w:p>
    <w:p>
      <w:pPr>
        <w:pStyle w:val="BodyText"/>
        <w:ind w:left="425" w:hanging="425"/>
        <w:jc w:val="left"/>
      </w:pPr>
      <w:r>
        <w:t xml:space="preserve">Agüero-Barrantes P, Christenson RE and Lobo Aguilar S (2023) Utilizing Kriging metamodeling to provide practical and effective bridge weigh-in-motion.</w:t>
      </w:r>
      <w:r>
        <w:t xml:space="preserve"> </w:t>
      </w:r>
      <w:r>
        <w:rPr>
          <w:iCs/>
          <w:i/>
        </w:rPr>
        <w:t xml:space="preserve">Journal of Bridge Engineering</w:t>
      </w:r>
      <w:r>
        <w:t xml:space="preserve"> </w:t>
      </w:r>
      <w:r>
        <w:t xml:space="preserve">28(2): 04022138. DOI: 10.1061/JBENF2.BEENG-5760.</w:t>
      </w:r>
    </w:p>
    <w:p>
      <w:pPr>
        <w:pStyle w:val="BodyText"/>
        <w:ind w:left="425" w:hanging="425"/>
        <w:jc w:val="left"/>
      </w:pPr>
      <w:r>
        <w:t xml:space="preserve">Agüero-Barrantes P, Lobo Aguilar S and Christenson RE (2021) Sparse sensing bridge weigh-in-motion for single-span bridges.</w:t>
      </w:r>
      <w:r>
        <w:t xml:space="preserve"> </w:t>
      </w:r>
      <w:r>
        <w:rPr>
          <w:iCs/>
          <w:i/>
        </w:rPr>
        <w:t xml:space="preserve">Métodos y Materiales</w:t>
      </w:r>
      <w:r>
        <w:t xml:space="preserve"> </w:t>
      </w:r>
      <w:r>
        <w:t xml:space="preserve">11: 43–53. DOI: 10.15517/mym.v11i0.46400.</w:t>
      </w:r>
    </w:p>
    <w:p>
      <w:pPr>
        <w:pStyle w:val="BodyText"/>
        <w:ind w:left="425" w:hanging="425"/>
        <w:jc w:val="left"/>
      </w:pPr>
      <w:r>
        <w:t xml:space="preserve">Al-Qadi I, Wang H, Ouyang Y, Grimmelsman K and Purdy JE (2016)</w:t>
      </w:r>
      <w:r>
        <w:t xml:space="preserve"> </w:t>
      </w:r>
      <w:r>
        <w:rPr>
          <w:iCs/>
          <w:i/>
        </w:rPr>
        <w:t xml:space="preserve">LTBP Program’s Literature Review on Weigh-in-Motion Systems</w:t>
      </w:r>
      <w:r>
        <w:t xml:space="preserve">. Report FHWA-HRT-16-024, Federal Highway Administration, Washington, DC. https://rosap.ntl.bts.gov/view/dot/35735.</w:t>
      </w:r>
    </w:p>
    <w:p>
      <w:pPr>
        <w:pStyle w:val="BodyText"/>
        <w:ind w:left="425" w:hanging="425"/>
        <w:jc w:val="left"/>
      </w:pPr>
      <w:r>
        <w:t xml:space="preserve">Cardini AJ and DeWolf JT (2009) Implementation of a long-term bridge weigh-in-motion system for a steel girder bridge in the interstate highway system.</w:t>
      </w:r>
      <w:r>
        <w:t xml:space="preserve"> </w:t>
      </w:r>
      <w:r>
        <w:rPr>
          <w:iCs/>
          <w:i/>
        </w:rPr>
        <w:t xml:space="preserve">Journal of Bridge Engineering</w:t>
      </w:r>
      <w:r>
        <w:t xml:space="preserve"> </w:t>
      </w:r>
      <w:r>
        <w:t xml:space="preserve">14(6): 418–423. DOI: 10.1061/(ASCE)1084-0702(2009)14:6(418).</w:t>
      </w:r>
    </w:p>
    <w:p>
      <w:pPr>
        <w:pStyle w:val="BodyText"/>
        <w:ind w:left="425" w:hanging="425"/>
        <w:jc w:val="left"/>
      </w:pPr>
      <w:r>
        <w:t xml:space="preserve">CEN (2003)</w:t>
      </w:r>
      <w:r>
        <w:t xml:space="preserve"> </w:t>
      </w:r>
      <w:r>
        <w:rPr>
          <w:iCs/>
          <w:i/>
        </w:rPr>
        <w:t xml:space="preserve">EN 1991-2:2003, Eurocode 1: Actions on Structures – Part 2: Traffic Loads on Bridges</w:t>
      </w:r>
      <w:r>
        <w:t xml:space="preserve">. Brussels: CEN.</w:t>
      </w:r>
    </w:p>
    <w:p>
      <w:pPr>
        <w:pStyle w:val="BodyText"/>
        <w:ind w:left="425" w:hanging="425"/>
        <w:jc w:val="left"/>
      </w:pPr>
      <w:r>
        <w:t xml:space="preserve">Chan THT, Law SS, Yung TH and Yuan XR (1999) An interpretive method for moving force identification.</w:t>
      </w:r>
      <w:r>
        <w:t xml:space="preserve"> </w:t>
      </w:r>
      <w:r>
        <w:rPr>
          <w:iCs/>
          <w:i/>
        </w:rPr>
        <w:t xml:space="preserve">Journal of Sound and Vibration</w:t>
      </w:r>
      <w:r>
        <w:t xml:space="preserve"> </w:t>
      </w:r>
      <w:r>
        <w:t xml:space="preserve">219(3): 503–524. DOI: 10.1006/jsvi.1998.1904.</w:t>
      </w:r>
    </w:p>
    <w:p>
      <w:pPr>
        <w:pStyle w:val="BodyText"/>
        <w:ind w:left="425" w:hanging="425"/>
        <w:jc w:val="left"/>
      </w:pPr>
      <w:r>
        <w:t xml:space="preserve">Chaudhary MTA, Morgese M, Taylor TW and Ansari F (2025) Method and application for influence-line-free distributed detection of gross vehicle weights in bridges.</w:t>
      </w:r>
      <w:r>
        <w:t xml:space="preserve"> </w:t>
      </w:r>
      <w:r>
        <w:rPr>
          <w:iCs/>
          <w:i/>
        </w:rPr>
        <w:t xml:space="preserve">Structures</w:t>
      </w:r>
      <w:r>
        <w:t xml:space="preserve"> </w:t>
      </w:r>
      <w:r>
        <w:t xml:space="preserve">73: 108298. DOI: 10.1016/j.istruc.2025.108298.</w:t>
      </w:r>
    </w:p>
    <w:p>
      <w:pPr>
        <w:pStyle w:val="BodyText"/>
        <w:ind w:left="425" w:hanging="425"/>
        <w:jc w:val="left"/>
      </w:pPr>
      <w:r>
        <w:t xml:space="preserve">Cross EJ, Koo KY, Brownjohn JMW and Worden K (2013) Long-term monitoring and data analysis of the Tamar Bridge.</w:t>
      </w:r>
      <w:r>
        <w:t xml:space="preserve"> </w:t>
      </w:r>
      <w:r>
        <w:rPr>
          <w:iCs/>
          <w:i/>
        </w:rPr>
        <w:t xml:space="preserve">Mechanical Systems and Signal Processing</w:t>
      </w:r>
      <w:r>
        <w:t xml:space="preserve"> </w:t>
      </w:r>
      <w:r>
        <w:t xml:space="preserve">35(1–2): 16–34. DOI: 10.1016/j.ymssp.2012.08.026.</w:t>
      </w:r>
    </w:p>
    <w:p>
      <w:pPr>
        <w:pStyle w:val="BodyText"/>
        <w:ind w:left="425" w:hanging="425"/>
        <w:jc w:val="left"/>
      </w:pPr>
      <w:r>
        <w:t xml:space="preserve">Dang NTV, Ho DD and Ha MT (2023) [Diagnosis of stiffness reduction in beam structures using displacement influence line data].</w:t>
      </w:r>
      <w:r>
        <w:t xml:space="preserve"> </w:t>
      </w:r>
      <w:r>
        <w:rPr>
          <w:iCs/>
          <w:i/>
        </w:rPr>
        <w:t xml:space="preserve">Journal of Science and Technology in Civil Engineering (HUCE)</w:t>
      </w:r>
      <w:r>
        <w:t xml:space="preserve"> </w:t>
      </w:r>
      <w:r>
        <w:t xml:space="preserve">17(3V): 47–65 (in Vietnamese). DOI: 10.31814/stce.huce2023-17(3V)-04.</w:t>
      </w:r>
    </w:p>
    <w:p>
      <w:pPr>
        <w:pStyle w:val="BodyText"/>
        <w:ind w:left="425" w:hanging="425"/>
        <w:jc w:val="left"/>
      </w:pPr>
      <w:r>
        <w:t xml:space="preserve">Deng L, Liu P, Huang T and Kaewunruen S (2025) A novel moving load identification method for continuous rigid-frame bridges using a field-based displacement influence line.</w:t>
      </w:r>
      <w:r>
        <w:t xml:space="preserve"> </w:t>
      </w:r>
      <w:r>
        <w:rPr>
          <w:iCs/>
          <w:i/>
        </w:rPr>
        <w:t xml:space="preserve">Applied Sciences</w:t>
      </w:r>
      <w:r>
        <w:t xml:space="preserve"> </w:t>
      </w:r>
      <w:r>
        <w:t xml:space="preserve">15(11): 6028. DOI: 10.3390/app15116028.</w:t>
      </w:r>
    </w:p>
    <w:p>
      <w:pPr>
        <w:pStyle w:val="BodyText"/>
        <w:ind w:left="425" w:hanging="425"/>
        <w:jc w:val="left"/>
      </w:pPr>
      <w:r>
        <w:t xml:space="preserve">Elfving G (1952) Optimum allocation in linear regression theory.</w:t>
      </w:r>
      <w:r>
        <w:t xml:space="preserve"> </w:t>
      </w:r>
      <w:r>
        <w:rPr>
          <w:iCs/>
          <w:i/>
        </w:rPr>
        <w:t xml:space="preserve">Annals of Mathematical Statistics</w:t>
      </w:r>
      <w:r>
        <w:t xml:space="preserve"> </w:t>
      </w:r>
      <w:r>
        <w:t xml:space="preserve">23(2): 255–262. DOI: 10.1214/aoms/1177729442.</w:t>
      </w:r>
    </w:p>
    <w:p>
      <w:pPr>
        <w:pStyle w:val="BodyText"/>
        <w:ind w:left="425" w:hanging="425"/>
        <w:jc w:val="left"/>
      </w:pPr>
      <w:r>
        <w:t xml:space="preserve">Fan Y, Zhu J, Pei J, Li Z and Wu Y (2015) Analysis for Yangmingtan Bridge collapse.</w:t>
      </w:r>
      <w:r>
        <w:t xml:space="preserve"> </w:t>
      </w:r>
      <w:r>
        <w:rPr>
          <w:iCs/>
          <w:i/>
        </w:rPr>
        <w:t xml:space="preserve">Engineering Failure Analysis</w:t>
      </w:r>
      <w:r>
        <w:t xml:space="preserve"> </w:t>
      </w:r>
      <w:r>
        <w:t xml:space="preserve">56: 20–27. DOI: 10.1016/j.engfailanal.2015.05.003.</w:t>
      </w:r>
    </w:p>
    <w:p>
      <w:pPr>
        <w:pStyle w:val="BodyText"/>
        <w:ind w:left="425" w:hanging="425"/>
        <w:jc w:val="left"/>
      </w:pPr>
      <w:r>
        <w:t xml:space="preserve">Frýba L (1999)</w:t>
      </w:r>
      <w:r>
        <w:t xml:space="preserve"> </w:t>
      </w:r>
      <w:r>
        <w:rPr>
          <w:iCs/>
          <w:i/>
        </w:rPr>
        <w:t xml:space="preserve">Vibration of Solids and Structures under Moving Loads</w:t>
      </w:r>
      <w:r>
        <w:t xml:space="preserve">. 3rd ed. London: Thomas Telford.</w:t>
      </w:r>
    </w:p>
    <w:p>
      <w:pPr>
        <w:pStyle w:val="BodyText"/>
        <w:ind w:left="425" w:hanging="425"/>
        <w:jc w:val="left"/>
      </w:pPr>
      <w:r>
        <w:t xml:space="preserve">Ghali A, Neville AM and Brown TG (2017)</w:t>
      </w:r>
      <w:r>
        <w:t xml:space="preserve"> </w:t>
      </w:r>
      <w:r>
        <w:rPr>
          <w:iCs/>
          <w:i/>
        </w:rPr>
        <w:t xml:space="preserve">Structural Analysis: A Unified Classical and Matrix Approach</w:t>
      </w:r>
      <w:r>
        <w:t xml:space="preserve">. 6th ed. Boca Raton: CRC Press. DOI: 10.1201/9781315273006.</w:t>
      </w:r>
    </w:p>
    <w:p>
      <w:pPr>
        <w:pStyle w:val="BodyText"/>
        <w:ind w:left="425" w:hanging="425"/>
        <w:jc w:val="left"/>
      </w:pPr>
      <w:r>
        <w:t xml:space="preserve">Hao T, Xie Z and Yu M (2019) The identification technology of vehicle weight based on bridge strain time-history curve.</w:t>
      </w:r>
      <w:r>
        <w:t xml:space="preserve"> </w:t>
      </w:r>
      <w:r>
        <w:rPr>
          <w:iCs/>
          <w:i/>
        </w:rPr>
        <w:t xml:space="preserve">Advances in Structural Engineering</w:t>
      </w:r>
      <w:r>
        <w:t xml:space="preserve"> </w:t>
      </w:r>
      <w:r>
        <w:t xml:space="preserve">22(7): 1606–1616. DOI: 10.1177/1369433218823487.</w:t>
      </w:r>
    </w:p>
    <w:p>
      <w:pPr>
        <w:pStyle w:val="BodyText"/>
        <w:ind w:left="425" w:hanging="425"/>
        <w:jc w:val="left"/>
      </w:pPr>
      <w:r>
        <w:t xml:space="preserve">Helmi K, Bakht B and Mufti A (2014) Accurate measurements of gross vehicle weight through bridge weigh-in-motion: a case study.</w:t>
      </w:r>
      <w:r>
        <w:t xml:space="preserve"> </w:t>
      </w:r>
      <w:r>
        <w:rPr>
          <w:iCs/>
          <w:i/>
        </w:rPr>
        <w:t xml:space="preserve">Journal of Civil Structural Health Monitoring</w:t>
      </w:r>
      <w:r>
        <w:t xml:space="preserve"> </w:t>
      </w:r>
      <w:r>
        <w:t xml:space="preserve">4(3): 195–208. DOI: 10.1007/s13349-014-0076-5.</w:t>
      </w:r>
    </w:p>
    <w:p>
      <w:pPr>
        <w:pStyle w:val="BodyText"/>
        <w:ind w:left="425" w:hanging="425"/>
        <w:jc w:val="left"/>
      </w:pPr>
      <w:r>
        <w:t xml:space="preserve">Hong W, Cao Y and Wu Z (2016) Strain-based damage-assessment method for bridges under moving vehicular loads using long-gauge strain sensing.</w:t>
      </w:r>
      <w:r>
        <w:t xml:space="preserve"> </w:t>
      </w:r>
      <w:r>
        <w:rPr>
          <w:iCs/>
          <w:i/>
        </w:rPr>
        <w:t xml:space="preserve">Journal of Bridge Engineering</w:t>
      </w:r>
      <w:r>
        <w:t xml:space="preserve"> </w:t>
      </w:r>
      <w:r>
        <w:t xml:space="preserve">21(10): 04016059. DOI: 10.1061/(ASCE)BE.1943-5592.0000933.</w:t>
      </w:r>
    </w:p>
    <w:p>
      <w:pPr>
        <w:pStyle w:val="BodyText"/>
        <w:ind w:left="425" w:hanging="425"/>
        <w:jc w:val="left"/>
      </w:pPr>
      <w:r>
        <w:t xml:space="preserve">Jacob B, OBrien EJ and Jehaes S (eds) (2002)</w:t>
      </w:r>
      <w:r>
        <w:t xml:space="preserve"> </w:t>
      </w:r>
      <w:r>
        <w:rPr>
          <w:iCs/>
          <w:i/>
        </w:rPr>
        <w:t xml:space="preserve">Weigh-in-Motion of Road Vehicles: Final Report of the COST 323 Action</w:t>
      </w:r>
      <w:r>
        <w:t xml:space="preserve">. Paris: LCPC.</w:t>
      </w:r>
    </w:p>
    <w:p>
      <w:pPr>
        <w:pStyle w:val="BodyText"/>
        <w:ind w:left="425" w:hanging="425"/>
        <w:jc w:val="left"/>
      </w:pPr>
      <w:r>
        <w:t xml:space="preserve">Katafygiotis LS and Beck JL (1998) Updating models and their uncertainties. II: Model identifiability.</w:t>
      </w:r>
      <w:r>
        <w:t xml:space="preserve"> </w:t>
      </w:r>
      <w:r>
        <w:rPr>
          <w:iCs/>
          <w:i/>
        </w:rPr>
        <w:t xml:space="preserve">Journal of Engineering Mechanics</w:t>
      </w:r>
      <w:r>
        <w:t xml:space="preserve"> </w:t>
      </w:r>
      <w:r>
        <w:t xml:space="preserve">124(4): 463–467. DOI: 10.1061/(ASCE)0733-9399(1998)124:4(463).</w:t>
      </w:r>
    </w:p>
    <w:p>
      <w:pPr>
        <w:pStyle w:val="BodyText"/>
        <w:ind w:left="425" w:hanging="425"/>
        <w:jc w:val="left"/>
      </w:pPr>
      <w:r>
        <w:t xml:space="preserve">Law SS and Zhu XQ (2000) Study on different beam models in moving force identification.</w:t>
      </w:r>
      <w:r>
        <w:t xml:space="preserve"> </w:t>
      </w:r>
      <w:r>
        <w:rPr>
          <w:iCs/>
          <w:i/>
        </w:rPr>
        <w:t xml:space="preserve">Journal of Sound and Vibration</w:t>
      </w:r>
      <w:r>
        <w:t xml:space="preserve"> </w:t>
      </w:r>
      <w:r>
        <w:t xml:space="preserve">234(4): 661–679. DOI: 10.1006/jsvi.2000.2867.</w:t>
      </w:r>
    </w:p>
    <w:p>
      <w:pPr>
        <w:pStyle w:val="BodyText"/>
        <w:ind w:left="425" w:hanging="425"/>
        <w:jc w:val="left"/>
      </w:pPr>
      <w:r>
        <w:t xml:space="preserve">Law SS, Chan THT and Zeng QH (1997) Moving force identification: a time domain method.</w:t>
      </w:r>
      <w:r>
        <w:t xml:space="preserve"> </w:t>
      </w:r>
      <w:r>
        <w:rPr>
          <w:iCs/>
          <w:i/>
        </w:rPr>
        <w:t xml:space="preserve">Journal of Sound and Vibration</w:t>
      </w:r>
      <w:r>
        <w:t xml:space="preserve"> </w:t>
      </w:r>
      <w:r>
        <w:t xml:space="preserve">201(1): 1–22. DOI: 10.1006/jsvi.1996.0774.</w:t>
      </w:r>
    </w:p>
    <w:p>
      <w:pPr>
        <w:pStyle w:val="BodyText"/>
        <w:ind w:left="425" w:hanging="425"/>
        <w:jc w:val="left"/>
      </w:pPr>
      <w:r>
        <w:t xml:space="preserve">Lin SW, Du YL, Yi TH and Yang DH (2023) Influence lines-based model updating of suspension bridges considering boundary conditions.</w:t>
      </w:r>
      <w:r>
        <w:t xml:space="preserve"> </w:t>
      </w:r>
      <w:r>
        <w:rPr>
          <w:iCs/>
          <w:i/>
        </w:rPr>
        <w:t xml:space="preserve">Advances in Structural Engineering</w:t>
      </w:r>
      <w:r>
        <w:t xml:space="preserve"> </w:t>
      </w:r>
      <w:r>
        <w:t xml:space="preserve">26(2): 316–328. DOI: 10.1177/13694332221126374.</w:t>
      </w:r>
    </w:p>
    <w:p>
      <w:pPr>
        <w:pStyle w:val="BodyText"/>
        <w:ind w:left="425" w:hanging="425"/>
        <w:jc w:val="left"/>
      </w:pPr>
      <w:r>
        <w:t xml:space="preserve">Lobo Aguilar S and Christenson RE (2018) A simplified shear-strain based bridge weigh-in-motion method for in-service highway bridges.</w:t>
      </w:r>
      <w:r>
        <w:t xml:space="preserve"> </w:t>
      </w:r>
      <w:r>
        <w:rPr>
          <w:iCs/>
          <w:i/>
        </w:rPr>
        <w:t xml:space="preserve">Métodos y Materiales</w:t>
      </w:r>
      <w:r>
        <w:t xml:space="preserve"> </w:t>
      </w:r>
      <w:r>
        <w:t xml:space="preserve">8: 11–22. DOI: 10.15517/mym.v8i1.34551.</w:t>
      </w:r>
    </w:p>
    <w:p>
      <w:pPr>
        <w:pStyle w:val="BodyText"/>
        <w:ind w:left="425" w:hanging="425"/>
        <w:jc w:val="left"/>
      </w:pPr>
      <w:r>
        <w:t xml:space="preserve">Moghadam A (2022)</w:t>
      </w:r>
      <w:r>
        <w:t xml:space="preserve"> </w:t>
      </w:r>
      <w:r>
        <w:rPr>
          <w:iCs/>
          <w:i/>
        </w:rPr>
        <w:t xml:space="preserve">Integration of Traffic and Structural Health Monitoring Systems Using a Novel Nothing-On-Road (NOR) Bridge-Weigh-In-Motion (BWIM) System</w:t>
      </w:r>
      <w:r>
        <w:t xml:space="preserve">. PhD dissertation, Virginia Polytechnic Institute and State University, Blacksburg, VA. http://hdl.handle.net/10919/111390.</w:t>
      </w:r>
    </w:p>
    <w:p>
      <w:pPr>
        <w:pStyle w:val="BodyText"/>
        <w:ind w:left="425" w:hanging="425"/>
        <w:jc w:val="left"/>
      </w:pPr>
      <w:r>
        <w:t xml:space="preserve">Moghadam A and Sarlo R (2024)</w:t>
      </w:r>
      <w:r>
        <w:t xml:space="preserve"> </w:t>
      </w:r>
      <w:r>
        <w:rPr>
          <w:iCs/>
          <w:i/>
        </w:rPr>
        <w:t xml:space="preserve">Nothing-on-Road Bridge-Weigh-In-Motion (NOR-BWIM) Dataset</w:t>
      </w:r>
      <w:r>
        <w:t xml:space="preserve">, version 1. University Libraries, Virginia Tech, figshare. DOI: 10.7294/26880898.v1.</w:t>
      </w:r>
    </w:p>
    <w:p>
      <w:pPr>
        <w:pStyle w:val="BodyText"/>
        <w:ind w:left="425" w:hanging="425"/>
        <w:jc w:val="left"/>
      </w:pPr>
      <w:r>
        <w:t xml:space="preserve">Moghadam A, AlHamaydeh M and Sarlo R (2022) Bridge-weigh-in-motion approach for simultaneous multiple vehicles on concrete-box-girder bridges.</w:t>
      </w:r>
      <w:r>
        <w:t xml:space="preserve"> </w:t>
      </w:r>
      <w:r>
        <w:rPr>
          <w:iCs/>
          <w:i/>
        </w:rPr>
        <w:t xml:space="preserve">Automation in Construction</w:t>
      </w:r>
      <w:r>
        <w:t xml:space="preserve"> </w:t>
      </w:r>
      <w:r>
        <w:t xml:space="preserve">137: 104179. DOI: 10.1016/j.autcon.2022.104179.</w:t>
      </w:r>
    </w:p>
    <w:p>
      <w:pPr>
        <w:pStyle w:val="BodyText"/>
        <w:ind w:left="425" w:hanging="425"/>
        <w:jc w:val="left"/>
      </w:pPr>
      <w:r>
        <w:t xml:space="preserve">Moghadam A, AlHamaydeh M and Sarlo R (2023a) Nothing-on-road bridge-weigh-in-motion used for long-span, concrete-box-girder bridges: an experimental case study.</w:t>
      </w:r>
      <w:r>
        <w:t xml:space="preserve"> </w:t>
      </w:r>
      <w:r>
        <w:rPr>
          <w:iCs/>
          <w:i/>
        </w:rPr>
        <w:t xml:space="preserve">Journal of Structural Integrity and Maintenance</w:t>
      </w:r>
      <w:r>
        <w:t xml:space="preserve"> </w:t>
      </w:r>
      <w:r>
        <w:t xml:space="preserve">8(2): 79–90. DOI: 10.1080/24705314.2023.2165606.</w:t>
      </w:r>
    </w:p>
    <w:p>
      <w:pPr>
        <w:pStyle w:val="BodyText"/>
        <w:ind w:left="425" w:hanging="425"/>
        <w:jc w:val="left"/>
      </w:pPr>
      <w:r>
        <w:t xml:space="preserve">Moghadam A, AlHamaydeh M and Sarlo R (2023b) Dual-purpose procedure for bridge health monitoring and weigh-in-motion used for multiple-vehicle events.</w:t>
      </w:r>
      <w:r>
        <w:t xml:space="preserve"> </w:t>
      </w:r>
      <w:r>
        <w:rPr>
          <w:iCs/>
          <w:i/>
        </w:rPr>
        <w:t xml:space="preserve">Automation in Construction</w:t>
      </w:r>
      <w:r>
        <w:t xml:space="preserve"> </w:t>
      </w:r>
      <w:r>
        <w:t xml:space="preserve">148: 104768. DOI: 10.1016/j.autcon.2023.104768.</w:t>
      </w:r>
    </w:p>
    <w:p>
      <w:pPr>
        <w:pStyle w:val="BodyText"/>
        <w:ind w:left="425" w:hanging="425"/>
        <w:jc w:val="left"/>
      </w:pPr>
      <w:r>
        <w:t xml:space="preserve">Moses F (1979) Weigh-in-motion system using instrumented bridges.</w:t>
      </w:r>
      <w:r>
        <w:t xml:space="preserve"> </w:t>
      </w:r>
      <w:r>
        <w:rPr>
          <w:iCs/>
          <w:i/>
        </w:rPr>
        <w:t xml:space="preserve">Transportation Engineering Journal of ASCE</w:t>
      </w:r>
      <w:r>
        <w:t xml:space="preserve"> </w:t>
      </w:r>
      <w:r>
        <w:t xml:space="preserve">105(3): 233–249. DOI: 10.1061/TPEJAN.0000783.</w:t>
      </w:r>
    </w:p>
    <w:p>
      <w:pPr>
        <w:pStyle w:val="BodyText"/>
        <w:ind w:left="425" w:hanging="425"/>
        <w:jc w:val="left"/>
      </w:pPr>
      <w:r>
        <w:t xml:space="preserve">Nguyen QB, Hoang T and Nguyen HS (2024) [Determination of the load applied on a simply supported beam based on measured deflection data].</w:t>
      </w:r>
      <w:r>
        <w:t xml:space="preserve"> </w:t>
      </w:r>
      <w:r>
        <w:rPr>
          <w:iCs/>
          <w:i/>
        </w:rPr>
        <w:t xml:space="preserve">Journal of Science and Technology in Civil Engineering (HUCE)</w:t>
      </w:r>
      <w:r>
        <w:t xml:space="preserve"> </w:t>
      </w:r>
      <w:r>
        <w:t xml:space="preserve">18(2V): 61–71 (in Vietnamese). DOI: 10.31814/stce.huce2024-18(2V)-05.</w:t>
      </w:r>
    </w:p>
    <w:p>
      <w:pPr>
        <w:pStyle w:val="BodyText"/>
        <w:ind w:left="425" w:hanging="425"/>
        <w:jc w:val="left"/>
      </w:pPr>
      <w:r>
        <w:t xml:space="preserve">OBrien EJ, Quilligan MJ and Karoumi R (2006) Calculating an influence line from direct measurements.</w:t>
      </w:r>
      <w:r>
        <w:t xml:space="preserve"> </w:t>
      </w:r>
      <w:r>
        <w:rPr>
          <w:iCs/>
          <w:i/>
        </w:rPr>
        <w:t xml:space="preserve">Proceedings of the Institution of Civil Engineers: Bridge Engineering</w:t>
      </w:r>
      <w:r>
        <w:t xml:space="preserve"> </w:t>
      </w:r>
      <w:r>
        <w:t xml:space="preserve">159(1): 31–34. DOI: 10.1680/bren.2006.159.1.31.</w:t>
      </w:r>
    </w:p>
    <w:p>
      <w:pPr>
        <w:pStyle w:val="BodyText"/>
        <w:ind w:left="425" w:hanging="425"/>
        <w:jc w:val="left"/>
      </w:pPr>
      <w:r>
        <w:t xml:space="preserve">OBrien EJ, Rowley CW, González A and Green MF (2009) A regularised solution to the bridge weigh-in-motion equations.</w:t>
      </w:r>
      <w:r>
        <w:t xml:space="preserve"> </w:t>
      </w:r>
      <w:r>
        <w:rPr>
          <w:iCs/>
          <w:i/>
        </w:rPr>
        <w:t xml:space="preserve">International Journal of Heavy Vehicle Systems</w:t>
      </w:r>
      <w:r>
        <w:t xml:space="preserve"> </w:t>
      </w:r>
      <w:r>
        <w:t xml:space="preserve">16(3): 310–327. DOI: 10.1504/IJHVS.2009.027135.</w:t>
      </w:r>
    </w:p>
    <w:p>
      <w:pPr>
        <w:pStyle w:val="BodyText"/>
        <w:ind w:left="425" w:hanging="425"/>
        <w:jc w:val="left"/>
      </w:pPr>
      <w:r>
        <w:t xml:space="preserve">Ojio T and Yamada K (2002) Bridge weigh-in-motion systems using stringers of plate girder bridges. In:</w:t>
      </w:r>
      <w:r>
        <w:t xml:space="preserve"> </w:t>
      </w:r>
      <w:r>
        <w:rPr>
          <w:iCs/>
          <w:i/>
        </w:rPr>
        <w:t xml:space="preserve">Proceedings of the Third International Conference on Weigh-in-Motion (ICWIM3)</w:t>
      </w:r>
      <w:r>
        <w:t xml:space="preserve">. Orlando, FL, pp. 209–218.</w:t>
      </w:r>
    </w:p>
    <w:p>
      <w:pPr>
        <w:pStyle w:val="BodyText"/>
        <w:ind w:left="425" w:hanging="425"/>
        <w:jc w:val="left"/>
      </w:pPr>
      <w:r>
        <w:t xml:space="preserve">Papadimitriou C (2004) Optimal sensor placement methodology for parametric identification of structural systems.</w:t>
      </w:r>
      <w:r>
        <w:t xml:space="preserve"> </w:t>
      </w:r>
      <w:r>
        <w:rPr>
          <w:iCs/>
          <w:i/>
        </w:rPr>
        <w:t xml:space="preserve">Journal of Sound and Vibration</w:t>
      </w:r>
      <w:r>
        <w:t xml:space="preserve"> </w:t>
      </w:r>
      <w:r>
        <w:t xml:space="preserve">278(4–5): 923–947. DOI: 10.1016/j.jsv.2003.10.063.</w:t>
      </w:r>
    </w:p>
    <w:p>
      <w:pPr>
        <w:pStyle w:val="BodyText"/>
        <w:ind w:left="425" w:hanging="425"/>
        <w:jc w:val="left"/>
      </w:pPr>
      <w:r>
        <w:t xml:space="preserve">Pukelsheim F (2006)</w:t>
      </w:r>
      <w:r>
        <w:t xml:space="preserve"> </w:t>
      </w:r>
      <w:r>
        <w:rPr>
          <w:iCs/>
          <w:i/>
        </w:rPr>
        <w:t xml:space="preserve">Optimal Design of Experiments</w:t>
      </w:r>
      <w:r>
        <w:t xml:space="preserve">. Philadelphia: SIAM. DOI: 10.1137/1.9780898719109.</w:t>
      </w:r>
    </w:p>
    <w:p>
      <w:pPr>
        <w:pStyle w:val="BodyText"/>
        <w:ind w:left="425" w:hanging="425"/>
        <w:jc w:val="left"/>
      </w:pPr>
      <w:r>
        <w:t xml:space="preserve">Sherman J and Morrison WJ (1950) Adjustment of an inverse matrix corresponding to a change in one element of a given matrix.</w:t>
      </w:r>
      <w:r>
        <w:t xml:space="preserve"> </w:t>
      </w:r>
      <w:r>
        <w:rPr>
          <w:iCs/>
          <w:i/>
        </w:rPr>
        <w:t xml:space="preserve">Annals of Mathematical Statistics</w:t>
      </w:r>
      <w:r>
        <w:t xml:space="preserve"> </w:t>
      </w:r>
      <w:r>
        <w:t xml:space="preserve">21(1): 124–127. DOI: 10.1214/aoms/1177729893.</w:t>
      </w:r>
    </w:p>
    <w:p>
      <w:pPr>
        <w:pStyle w:val="BodyText"/>
        <w:ind w:left="425" w:hanging="425"/>
        <w:jc w:val="left"/>
      </w:pPr>
      <w:r>
        <w:t xml:space="preserve">Shi S, Yarnold M, Hurlebaus S and Mander J (2025) Evaluation of a load cell-based bridge weigh-in-motion system.</w:t>
      </w:r>
      <w:r>
        <w:t xml:space="preserve"> </w:t>
      </w:r>
      <w:r>
        <w:rPr>
          <w:iCs/>
          <w:i/>
        </w:rPr>
        <w:t xml:space="preserve">Transportation Research Record</w:t>
      </w:r>
      <w:r>
        <w:t xml:space="preserve"> </w:t>
      </w:r>
      <w:r>
        <w:t xml:space="preserve">2679(2): 535–549. DOI: 10.1177/03611981241263336.</w:t>
      </w:r>
    </w:p>
    <w:p>
      <w:pPr>
        <w:pStyle w:val="BodyText"/>
        <w:ind w:left="425" w:hanging="425"/>
        <w:jc w:val="left"/>
      </w:pPr>
      <w:r>
        <w:t xml:space="preserve">Sohn H (2007) Effects of environmental and operational variability on structural health monitoring.</w:t>
      </w:r>
      <w:r>
        <w:t xml:space="preserve"> </w:t>
      </w:r>
      <w:r>
        <w:rPr>
          <w:iCs/>
          <w:i/>
        </w:rPr>
        <w:t xml:space="preserve">Philosophical Transactions of the Royal Society A</w:t>
      </w:r>
      <w:r>
        <w:t xml:space="preserve"> </w:t>
      </w:r>
      <w:r>
        <w:t xml:space="preserve">365(1851): 539–560. DOI: 10.1098/rsta.2006.1935.</w:t>
      </w:r>
    </w:p>
    <w:p>
      <w:pPr>
        <w:pStyle w:val="BodyText"/>
        <w:ind w:left="425" w:hanging="425"/>
        <w:jc w:val="left"/>
      </w:pPr>
      <w:r>
        <w:t xml:space="preserve">Udwadia FE (1994) Methodology for optimum sensor locations for parameter identification in dynamic systems.</w:t>
      </w:r>
      <w:r>
        <w:t xml:space="preserve"> </w:t>
      </w:r>
      <w:r>
        <w:rPr>
          <w:iCs/>
          <w:i/>
        </w:rPr>
        <w:t xml:space="preserve">Journal of Engineering Mechanics</w:t>
      </w:r>
      <w:r>
        <w:t xml:space="preserve"> </w:t>
      </w:r>
      <w:r>
        <w:t xml:space="preserve">120(2): 368–390. DOI: 10.1061/(ASCE)0733-9399(1994)120:2(368).</w:t>
      </w:r>
    </w:p>
    <w:p>
      <w:pPr>
        <w:pStyle w:val="BodyText"/>
        <w:ind w:left="425" w:hanging="425"/>
        <w:jc w:val="left"/>
      </w:pPr>
      <w:r>
        <w:t xml:space="preserve">Ventura R, Barabino B and Maternini G (2024) Estimating the frequency of traffic overloading on road bridges.</w:t>
      </w:r>
      <w:r>
        <w:t xml:space="preserve"> </w:t>
      </w:r>
      <w:r>
        <w:rPr>
          <w:iCs/>
          <w:i/>
        </w:rPr>
        <w:t xml:space="preserve">Journal of Traffic and Transportation Engineering (English Edition)</w:t>
      </w:r>
      <w:r>
        <w:t xml:space="preserve"> </w:t>
      </w:r>
      <w:r>
        <w:t xml:space="preserve">11(4): 776–796. DOI: 10.1016/j.jtte.2023.11.005.</w:t>
      </w:r>
    </w:p>
    <w:p>
      <w:pPr>
        <w:pStyle w:val="BodyText"/>
        <w:ind w:left="425" w:hanging="425"/>
        <w:jc w:val="left"/>
      </w:pPr>
      <w:r>
        <w:t xml:space="preserve">Vu DC, Luong ND, Cu VH, Vu NQ and Bui NS (2023) Study on the application of TLS for bridge deflection inspection in Vietnam.</w:t>
      </w:r>
      <w:r>
        <w:t xml:space="preserve"> </w:t>
      </w:r>
      <w:r>
        <w:rPr>
          <w:iCs/>
          <w:i/>
        </w:rPr>
        <w:t xml:space="preserve">Journal of Science and Technology in Civil Engineering (HUCE)</w:t>
      </w:r>
      <w:r>
        <w:t xml:space="preserve"> </w:t>
      </w:r>
      <w:r>
        <w:t xml:space="preserve">17(4): 14–25. DOI: 10.31814/stce.huce2023-17(4)-02.</w:t>
      </w:r>
    </w:p>
    <w:p>
      <w:pPr>
        <w:pStyle w:val="BodyText"/>
        <w:ind w:left="425" w:hanging="425"/>
        <w:jc w:val="left"/>
      </w:pPr>
      <w:r>
        <w:t xml:space="preserve">Wang C, Zhang WS, Pan X, He WY and Ren WX (2026) Deflection influence line identification under moving vehicle based on variational modal decomposition and B-spline basis function.</w:t>
      </w:r>
      <w:r>
        <w:t xml:space="preserve"> </w:t>
      </w:r>
      <w:r>
        <w:rPr>
          <w:iCs/>
          <w:i/>
        </w:rPr>
        <w:t xml:space="preserve">Advances in Structural Engineering</w:t>
      </w:r>
      <w:r>
        <w:t xml:space="preserve"> </w:t>
      </w:r>
      <w:r>
        <w:t xml:space="preserve">29(4): 779–792. DOI: 10.1177/13694332251363355.</w:t>
      </w:r>
    </w:p>
    <w:p>
      <w:pPr>
        <w:pStyle w:val="BodyText"/>
        <w:ind w:left="425" w:hanging="425"/>
        <w:jc w:val="left"/>
      </w:pPr>
      <w:r>
        <w:t xml:space="preserve">Wu B, Wu G, Yang C and He Y (2018) Damage identification method for continuous girder bridges based on spatially-distributed long-gauge strain sensing under moving loads.</w:t>
      </w:r>
      <w:r>
        <w:t xml:space="preserve"> </w:t>
      </w:r>
      <w:r>
        <w:rPr>
          <w:iCs/>
          <w:i/>
        </w:rPr>
        <w:t xml:space="preserve">Mechanical Systems and Signal Processing</w:t>
      </w:r>
      <w:r>
        <w:t xml:space="preserve"> </w:t>
      </w:r>
      <w:r>
        <w:t xml:space="preserve">104: 415–435. DOI: 10.1016/j.ymssp.2017.10.040.</w:t>
      </w:r>
    </w:p>
    <w:p>
      <w:pPr>
        <w:pStyle w:val="BodyText"/>
        <w:ind w:left="425" w:hanging="425"/>
        <w:jc w:val="left"/>
      </w:pPr>
      <w:r>
        <w:t xml:space="preserve">Wu H, Zhao H, Liu J and Hu Z (2020) A filtering-based bridge weigh-in-motion system on a continuous multi-girder bridge considering the influence lines of different lanes.</w:t>
      </w:r>
      <w:r>
        <w:t xml:space="preserve"> </w:t>
      </w:r>
      <w:r>
        <w:rPr>
          <w:iCs/>
          <w:i/>
        </w:rPr>
        <w:t xml:space="preserve">Frontiers of Structural and Civil Engineering</w:t>
      </w:r>
      <w:r>
        <w:t xml:space="preserve"> </w:t>
      </w:r>
      <w:r>
        <w:t xml:space="preserve">14(5): 1232–1246. DOI: 10.1007/s11709-020-0653-0.</w:t>
      </w:r>
    </w:p>
    <w:p>
      <w:pPr>
        <w:pStyle w:val="BodyText"/>
        <w:ind w:left="425" w:hanging="425"/>
        <w:jc w:val="left"/>
      </w:pPr>
      <w:r>
        <w:t xml:space="preserve">Yamaguchi E, Kawamura SI, Matuso K, Matsuki Y and Naito Y (2009) Bridge-weigh-in-motion by two-span continuous bridge with skew and heavy-truck flow in Fukuoka area, Japan.</w:t>
      </w:r>
      <w:r>
        <w:t xml:space="preserve"> </w:t>
      </w:r>
      <w:r>
        <w:rPr>
          <w:iCs/>
          <w:i/>
        </w:rPr>
        <w:t xml:space="preserve">Advances in Structural Engineering</w:t>
      </w:r>
      <w:r>
        <w:t xml:space="preserve"> </w:t>
      </w:r>
      <w:r>
        <w:t xml:space="preserve">12(1): 115–125. DOI: 10.1260/136943309787522614.</w:t>
      </w:r>
    </w:p>
    <w:p>
      <w:pPr>
        <w:pStyle w:val="BodyText"/>
        <w:ind w:left="425" w:hanging="425"/>
        <w:jc w:val="left"/>
      </w:pPr>
      <w:r>
        <w:t xml:space="preserve">Yan WJ, Hao TT, Yuen KV and Papadimitriou C (2022) Monitoring gross vehicle weight with a probabilistic and influence line-free bridge weight-in-motion scheme based on a transmissibility-like index.</w:t>
      </w:r>
      <w:r>
        <w:t xml:space="preserve"> </w:t>
      </w:r>
      <w:r>
        <w:rPr>
          <w:iCs/>
          <w:i/>
        </w:rPr>
        <w:t xml:space="preserve">Mechanical Systems and Signal Processing</w:t>
      </w:r>
      <w:r>
        <w:t xml:space="preserve"> </w:t>
      </w:r>
      <w:r>
        <w:t xml:space="preserve">177: 109133. DOI: 10.1016/j.ymssp.2022.109133.</w:t>
      </w:r>
    </w:p>
    <w:p>
      <w:pPr>
        <w:pStyle w:val="BodyText"/>
        <w:ind w:left="425" w:hanging="425"/>
        <w:jc w:val="left"/>
      </w:pPr>
      <w:r>
        <w:t xml:space="preserve">Yang J, Hou P, Yang C and Zhang Y (2021) Study on the method of moving load identification based on strain influence line.</w:t>
      </w:r>
      <w:r>
        <w:t xml:space="preserve"> </w:t>
      </w:r>
      <w:r>
        <w:rPr>
          <w:iCs/>
          <w:i/>
        </w:rPr>
        <w:t xml:space="preserve">Applied Sciences</w:t>
      </w:r>
      <w:r>
        <w:t xml:space="preserve"> </w:t>
      </w:r>
      <w:r>
        <w:t xml:space="preserve">11(2): 853. DOI: 10.3390/app11020853.</w:t>
      </w:r>
    </w:p>
    <w:p>
      <w:pPr>
        <w:pStyle w:val="BodyText"/>
        <w:ind w:left="425" w:hanging="425"/>
        <w:jc w:val="left"/>
      </w:pPr>
      <w:r>
        <w:t xml:space="preserve">Yu Y, Cai CS and Deng L (2016) State-of-the-art review on bridge weigh-in-motion technology.</w:t>
      </w:r>
      <w:r>
        <w:t xml:space="preserve"> </w:t>
      </w:r>
      <w:r>
        <w:rPr>
          <w:iCs/>
          <w:i/>
        </w:rPr>
        <w:t xml:space="preserve">Advances in Structural Engineering</w:t>
      </w:r>
      <w:r>
        <w:t xml:space="preserve"> </w:t>
      </w:r>
      <w:r>
        <w:t xml:space="preserve">19(9): 1514–1530. DOI: 10.1177/1369433216655922.</w:t>
      </w:r>
    </w:p>
    <w:p>
      <w:pPr>
        <w:pStyle w:val="BodyText"/>
        <w:ind w:left="425" w:hanging="425"/>
        <w:jc w:val="left"/>
      </w:pPr>
      <w:r>
        <w:t xml:space="preserve">Yu Y, Cai CS and Deng L (2018) Nothing-on-road bridge weigh-in-motion considering the transverse position of the vehicle.</w:t>
      </w:r>
      <w:r>
        <w:t xml:space="preserve"> </w:t>
      </w:r>
      <w:r>
        <w:rPr>
          <w:iCs/>
          <w:i/>
        </w:rPr>
        <w:t xml:space="preserve">Structure and Infrastructure Engineering</w:t>
      </w:r>
      <w:r>
        <w:t xml:space="preserve"> </w:t>
      </w:r>
      <w:r>
        <w:t xml:space="preserve">14(8): 1108–1122. DOI: 10.1080/15732479.2017.1401095.</w:t>
      </w:r>
    </w:p>
    <w:p>
      <w:pPr>
        <w:pStyle w:val="BodyText"/>
        <w:ind w:left="425" w:hanging="425"/>
        <w:jc w:val="left"/>
      </w:pPr>
      <w:r>
        <w:t xml:space="preserve">Zhang J, Liu Y and Fan X (2026) An AR(1)-Tikhonov-SVD-GCV framework for stochastic moving load identification driven by bridge multi-point deflection data.</w:t>
      </w:r>
      <w:r>
        <w:t xml:space="preserve"> </w:t>
      </w:r>
      <w:r>
        <w:rPr>
          <w:iCs/>
          <w:i/>
        </w:rPr>
        <w:t xml:space="preserve">Structures</w:t>
      </w:r>
      <w:r>
        <w:t xml:space="preserve"> </w:t>
      </w:r>
      <w:r>
        <w:t xml:space="preserve">88: 111844. DOI: 10.1016/j.istruc.2026.111844.</w:t>
      </w:r>
    </w:p>
    <w:p>
      <w:pPr>
        <w:pStyle w:val="BodyText"/>
        <w:ind w:left="425" w:hanging="425"/>
        <w:jc w:val="left"/>
      </w:pPr>
      <w:r>
        <w:t xml:space="preserve">Zhou C, Demartino C, Narazaki Y, Xu Y, Chatzi E and Spencer BF (2025) Optimal sensor placement for bridge weigh-in-motion using an augmented Kalman filter.</w:t>
      </w:r>
      <w:r>
        <w:t xml:space="preserve"> </w:t>
      </w:r>
      <w:r>
        <w:rPr>
          <w:iCs/>
          <w:i/>
        </w:rPr>
        <w:t xml:space="preserve">Mechanical Systems and Signal Processing</w:t>
      </w:r>
      <w:r>
        <w:t xml:space="preserve"> </w:t>
      </w:r>
      <w:r>
        <w:t xml:space="preserve">241: 113522. DOI: 10.1016/j.ymssp.2025.113522.</w:t>
      </w:r>
    </w:p>
    <w:p>
      <w:pPr>
        <w:pStyle w:val="BodyText"/>
        <w:ind w:left="425" w:hanging="425"/>
        <w:jc w:val="left"/>
      </w:pPr>
      <w:r>
        <w:t xml:space="preserve">Zhou Y, Feng Z, Di SK and Jia ZJ (2026) A novel approach for bending stiffness inversion and rapid evaluation of continuous beam bridges based on a deflection influence line.</w:t>
      </w:r>
      <w:r>
        <w:t xml:space="preserve"> </w:t>
      </w:r>
      <w:r>
        <w:rPr>
          <w:iCs/>
          <w:i/>
        </w:rPr>
        <w:t xml:space="preserve">Structural Control and Health Monitoring</w:t>
      </w:r>
      <w:r>
        <w:t xml:space="preserve"> </w:t>
      </w:r>
      <w:r>
        <w:t xml:space="preserve">2026(1): 1361157. DOI: 10.1155/stc/1361157.</w:t>
      </w:r>
    </w:p>
    <w:p>
      <w:pPr>
        <w:pStyle w:val="BodyText"/>
        <w:ind w:left="425" w:hanging="425"/>
        <w:jc w:val="left"/>
      </w:pPr>
      <w:r>
        <w:t xml:space="preserve">Zhu JH, Wang C, Qi TY and Zhou ZS (2022) Vehicle load identification on orthotropic steel box beam bridge based on the strain response area.</w:t>
      </w:r>
      <w:r>
        <w:t xml:space="preserve"> </w:t>
      </w:r>
      <w:r>
        <w:rPr>
          <w:iCs/>
          <w:i/>
        </w:rPr>
        <w:t xml:space="preserve">Applied Sciences</w:t>
      </w:r>
      <w:r>
        <w:t xml:space="preserve"> </w:t>
      </w:r>
      <w:r>
        <w:t xml:space="preserve">12(23): 12394. DOI: 10.3390/app122312394.</w:t>
      </w:r>
    </w:p>
    <w:p>
      <w:pPr>
        <w:pStyle w:val="BodyText"/>
        <w:ind w:left="425" w:hanging="425"/>
        <w:jc w:val="left"/>
      </w:pPr>
      <w:r>
        <w:t xml:space="preserve">Zhu XQ and Law SS (2006) Moving load identification on multi-span continuous bridges with elastic bearings.</w:t>
      </w:r>
      <w:r>
        <w:t xml:space="preserve"> </w:t>
      </w:r>
      <w:r>
        <w:rPr>
          <w:iCs/>
          <w:i/>
        </w:rPr>
        <w:t xml:space="preserve">Mechanical Systems and Signal Processing</w:t>
      </w:r>
      <w:r>
        <w:t xml:space="preserve"> </w:t>
      </w:r>
      <w:r>
        <w:t xml:space="preserve">20(7): 1759–1782. DOI: 10.1016/j.ymssp.2005.06.004.</w:t>
      </w:r>
    </w:p>
    <w:p>
      <w:pPr>
        <w:pStyle w:val="BodyText"/>
        <w:ind w:left="425" w:hanging="425"/>
        <w:jc w:val="left"/>
      </w:pPr>
      <w:r>
        <w:t xml:space="preserve">Žnidarič A, Kalin J and Kreslin M (2018) Improved accuracy and robustness of bridge weigh-in-motion systems.</w:t>
      </w:r>
      <w:r>
        <w:t xml:space="preserve"> </w:t>
      </w:r>
      <w:r>
        <w:rPr>
          <w:iCs/>
          <w:i/>
        </w:rPr>
        <w:t xml:space="preserve">Structure and Infrastructure Engineering</w:t>
      </w:r>
      <w:r>
        <w:t xml:space="preserve"> </w:t>
      </w:r>
      <w:r>
        <w:t xml:space="preserve">14(4): 412–424. DOI: 10.1080/15732479.2017.1406958.</w:t>
      </w:r>
    </w:p>
    <w:p>
      <w:pPr>
        <w:pStyle w:val="BodyText"/>
        <w:ind w:left="425" w:hanging="425"/>
        <w:jc w:val="left"/>
      </w:pPr>
      <w:r>
        <w:t xml:space="preserve">Zuo XH, He WY and Ren WX (2019) Vehicle weight identification for a bridge with multi-T-girders based on load transverse distribution coefficient.</w:t>
      </w:r>
      <w:r>
        <w:t xml:space="preserve"> </w:t>
      </w:r>
      <w:r>
        <w:rPr>
          <w:iCs/>
          <w:i/>
        </w:rPr>
        <w:t xml:space="preserve">Advances in Structural Engineering</w:t>
      </w:r>
      <w:r>
        <w:t xml:space="preserve"> </w:t>
      </w:r>
      <w:r>
        <w:t xml:space="preserve">22(16): 3435–3443. DOI: 10.1177/1369433219854548.</w:t>
      </w:r>
    </w:p>
    <w:bookmarkEnd w:id="69"/>
    <w:sectPr>
      <w:footerReference r:id="rId9" w:type="default"/>
      <w:pgSz w:h="16838" w:w="11906"/>
      <w:lnNumType w:countBy="1" w:restart="continuous" w:distance="283"/>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pPr>
      <w:widowControl/>
      <w:spacing w:after="120" w:before="180" w:line="360" w:lineRule="auto"/>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widowControl/>
      <w:spacing w:after="120" w:line="360" w:lineRule="auto"/>
      <w:jc w:val="both"/>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line="360" w:lineRule="auto"/>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spacing w:line="360" w:lineRule="auto"/>
      <w:jc w:val="center"/>
    </w:pPr>
    <w:rPr>
      <w:rFonts w:ascii="Times New Roman" w:cs="Times New Roman" w:eastAsia="Times New Roman" w:hAnsi="Times New Roman"/>
      <w:sz w:val="24"/>
    </w:rPr>
  </w:style>
  <w:style w:styleId="Date" w:type="paragraph">
    <w:name w:val="Date"/>
    <w:next w:val="BodyText"/>
    <w:qFormat/>
    <w:pPr>
      <w:keepNext/>
      <w:keepLines/>
      <w:spacing w:line="360" w:lineRule="auto"/>
      <w:jc w:val="center"/>
    </w:pPr>
    <w:rPr>
      <w:rFonts w:ascii="Times New Roman" w:cs="Times New Roman" w:eastAsia="Times New Roman" w:hAnsi="Times New Roman"/>
      <w:sz w:val="24"/>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widowControl/>
      <w:spacing w:after="300" w:before="100" w:line="360" w:lineRule="auto"/>
      <w:jc w:val="both"/>
    </w:pPr>
    <w:rPr>
      <w:rFonts w:ascii="Times New Roman" w:cs="Times New Roman" w:eastAsia="Times New Roman" w:hAnsi="Times New Roman"/>
      <w:sz w:val="24"/>
      <w:szCs w:val="20"/>
    </w:rPr>
  </w:style>
  <w:style w:styleId="Bibliography" w:type="paragraph">
    <w:name w:val="Bibliography"/>
    <w:basedOn w:val="Normal"/>
    <w:next w:val="Bibliography"/>
    <w:qFormat/>
    <w:pPr>
      <w:widowControl/>
      <w:spacing w:line="360" w:lineRule="auto"/>
      <w:jc w:val="both"/>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line="360" w:lineRule="auto"/>
      <w:jc w:val="left"/>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line="360" w:lineRule="auto"/>
      <w:jc w:val="left"/>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line="360" w:lineRule="auto"/>
      <w:jc w:val="left"/>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pPr>
      <w:keepNext/>
      <w:widowControl/>
      <w:spacing w:after="0" w:before="120" w:line="240" w:lineRule="auto"/>
      <w:jc w:val="center"/>
    </w:pPr>
    <w:rPr>
      <w:rFonts w:ascii="Times New Roman" w:cs="Times New Roman" w:eastAsia="Times New Roman" w:hAnsi="Times New Roman"/>
      <w:i w:val="0"/>
      <w:sz w:val="24"/>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Titleblock" w:type="paragraph">
    <w:name w:val="Title block"/>
    <w:basedOn w:val="Normal"/>
    <w:pPr>
      <w:keepNext w:val="0"/>
      <w:widowControl/>
      <w:spacing w:after="120" w:before="0" w:line="360" w:lineRule="auto"/>
      <w:jc w:val="center"/>
    </w:pPr>
    <w:rPr>
      <w:rFonts w:ascii="Times New Roman" w:hAnsi="Times New Roman"/>
      <w:i w:val="0"/>
      <w:sz w:val="24"/>
    </w:rPr>
  </w:style>
  <w:style w:customStyle="1" w:styleId="Captioncentred" w:type="paragraph">
    <w:name w:val="Caption centred"/>
    <w:basedOn w:val="Normal"/>
    <w:pPr>
      <w:keepNext w:val="0"/>
      <w:widowControl/>
      <w:spacing w:after="240" w:before="0" w:line="276" w:lineRule="auto"/>
      <w:jc w:val="center"/>
    </w:pPr>
    <w:rPr>
      <w:rFonts w:ascii="Times New Roman" w:hAnsi="Times New Roman"/>
      <w:i w:val="0"/>
      <w:sz w:val="22"/>
    </w:rPr>
  </w:style>
  <w:style w:customStyle="1" w:styleId="Captionjustified" w:type="paragraph">
    <w:name w:val="Caption justified"/>
    <w:basedOn w:val="Normal"/>
    <w:pPr>
      <w:keepNext w:val="0"/>
      <w:widowControl/>
      <w:spacing w:after="240" w:before="0" w:line="276" w:lineRule="auto"/>
      <w:jc w:val="both"/>
    </w:pPr>
    <w:rPr>
      <w:rFonts w:ascii="Times New Roman" w:hAnsi="Times New Roman"/>
      <w:i w:val="0"/>
      <w:sz w:val="22"/>
    </w:rPr>
  </w:style>
  <w:style w:customStyle="1" w:styleId="Figureplaceholder" w:type="paragraph">
    <w:name w:val="Figure placeholder"/>
    <w:basedOn w:val="Normal"/>
    <w:pPr>
      <w:jc w:val="center"/>
    </w:pPr>
    <w:rPr>
      <w:i/>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3" Type="http://schemas.openxmlformats.org/officeDocument/2006/relationships/image" Target="media/rId23.png"/><Relationship Id="rId26" Type="http://schemas.openxmlformats.org/officeDocument/2006/relationships/image" Target="media/rId26.png"/><Relationship Id="rId29" Type="http://schemas.openxmlformats.org/officeDocument/2006/relationships/image" Target="media/rId29.png"/><Relationship Id="rId38" Type="http://schemas.openxmlformats.org/officeDocument/2006/relationships/image" Target="media/rId38.png"/><Relationship Id="rId42" Type="http://schemas.openxmlformats.org/officeDocument/2006/relationships/image" Target="media/rId42.png"/><Relationship Id="rId48" Type="http://schemas.openxmlformats.org/officeDocument/2006/relationships/image" Target="media/rId48.png"/><Relationship Id="rId52" Type="http://schemas.openxmlformats.org/officeDocument/2006/relationships/image" Target="media/rId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2026-10-21T12:29:25Z</dcterms:created>
  <dcterms:modified xsi:type="dcterms:W3CDTF">2026-10-21T12:29:25Z</dcterms:modified>
</cp:coreProperties>
</file>

<file path=docProps/custom.xml><?xml version="1.0" encoding="utf-8"?>
<Properties xmlns="http://schemas.openxmlformats.org/officeDocument/2006/custom-properties" xmlns:vt="http://schemas.openxmlformats.org/officeDocument/2006/docPropsVTypes"/>
</file>