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keepLines/>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nor/>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deflection coefficient of the main span of a symmetric three-span beam,</w:t>
            </w:r>
            <w:r>
              <w:t xml:space="preserve"> </w:t>
            </w:r>
            <m:oMath>
              <m:r>
                <m:t>ν</m:t>
              </m:r>
              <m:r>
                <m:rPr>
                  <m:sty m:val="p"/>
                </m:rPr>
                <m:t>=</m:t>
              </m:r>
              <m:r>
                <m:t>1.5</m:t>
              </m:r>
              <m:sSub>
                <m:e>
                  <m:acc>
                    <m:accPr>
                      <m:chr m:val="¯"/>
                    </m:accPr>
                    <m:e>
                      <m:r>
                        <m:t>M</m:t>
                      </m:r>
                    </m:e>
                  </m:acc>
                </m:e>
                <m:sub>
                  <m:r>
                    <m:rPr>
                      <m:sty m:val="p"/>
                      <m:nor/>
                    </m:rPr>
                    <m:t>main</m:t>
                  </m:r>
                </m:sub>
              </m:sSub>
            </m:oMath>
            <w:r>
              <w:t xml:space="preserve"> </w:t>
            </w:r>
            <w:r>
              <w:t xml:space="preserve">for pinned piers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grow/>
          </m:dPr>
          <m:e>
            <m:r>
              <m:t>8</m:t>
            </m:r>
            <m:d>
              <m:dPr>
                <m:begChr m:val="("/>
                <m:end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grow/>
          </m:dPr>
          <m:e>
            <m:r>
              <m:t>1</m:t>
            </m:r>
            <m:r>
              <m:rPr>
                <m:sty m:val="p"/>
              </m:rPr>
              <m:t>−</m:t>
            </m:r>
            <m:r>
              <m:t>ξ</m:t>
            </m:r>
          </m:e>
        </m:d>
        <m:d>
          <m:dPr>
            <m:begChr m:val="("/>
            <m:end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grow/>
                  </m:dPr>
                  <m:e>
                    <m:f>
                      <m:fPr>
                        <m:type m:val="bar"/>
                      </m:fPr>
                      <m:num>
                        <m:r>
                          <m:t>1</m:t>
                        </m:r>
                      </m:num>
                      <m:den>
                        <m:r>
                          <m:t>3</m:t>
                        </m:r>
                      </m:den>
                    </m:f>
                    <m:r>
                      <m:rPr>
                        <m:sty m:val="p"/>
                        <m:nor/>
                      </m:rPr>
                      <m:t>arccos</m:t>
                    </m:r>
                    <m:r>
                      <m:t>​</m:t>
                    </m:r>
                    <m:d>
                      <m:dPr>
                        <m:begChr m:val="("/>
                        <m:endChr m:val=")"/>
                        <m:grow/>
                      </m:dPr>
                      <m:e>
                        <m:f>
                          <m:fPr>
                            <m:type m:val="bar"/>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grow/>
          </m:dPr>
          <m:e>
            <m:r>
              <m:t>12</m:t>
            </m:r>
            <m:r>
              <m:rPr>
                <m:sty m:val="p"/>
              </m:rPr>
              <m:t>−</m:t>
            </m:r>
            <m:r>
              <m:t>3</m:t>
            </m:r>
            <m:r>
              <m:t>μ</m:t>
            </m:r>
          </m:e>
        </m:d>
        <m:sSup>
          <m:e>
            <m:r>
              <m:t>ξ</m:t>
            </m:r>
          </m:e>
          <m:sup>
            <m:r>
              <m:t>2</m:t>
            </m:r>
          </m:sup>
        </m:sSup>
        <m:r>
          <m:rPr>
            <m:sty m:val="p"/>
          </m:rPr>
          <m:t>+</m:t>
        </m:r>
        <m:d>
          <m:dPr>
            <m:begChr m:val="("/>
            <m:end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grow/>
          </m:dPr>
          <m:e>
            <m:r>
              <m:t>ζ</m:t>
            </m:r>
            <m:d>
              <m:dPr>
                <m:begChr m:val="("/>
                <m:end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grow/>
          </m:dPr>
          <m:e>
            <m:r>
              <m:t>γ</m:t>
            </m:r>
            <m:r>
              <m:rPr>
                <m:sty m:val="p"/>
              </m:rPr>
              <m:t>+</m:t>
            </m:r>
            <m:sSup>
              <m:e>
                <m:r>
                  <m:t>β</m:t>
                </m:r>
              </m:e>
              <m:sup>
                <m:r>
                  <m:t>3</m:t>
                </m:r>
              </m:sup>
            </m:sSup>
          </m:e>
        </m:d>
        <m:r>
          <m:rPr>
            <m:sty m:val="p"/>
          </m:rPr>
          <m:t>/</m:t>
        </m:r>
        <m:d>
          <m:dPr>
            <m:begChr m:val="["/>
            <m:endChr m:val="]"/>
            <m:grow/>
          </m:dPr>
          <m:e>
            <m:sSup>
              <m:e>
                <m:r>
                  <m:t>β</m:t>
                </m:r>
              </m:e>
              <m:sup>
                <m:r>
                  <m:t>2</m:t>
                </m:r>
              </m:sup>
            </m:sSup>
            <m:d>
              <m:dPr>
                <m:begChr m:val="("/>
                <m:end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keepLines/>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keepNext/>
              <w:pStyle w:val="Compact"/>
              <w:jc w:val="right"/>
            </w:pPr>
            <m:oMath>
              <m:r>
                <m:t>β</m:t>
              </m:r>
            </m:oMath>
          </w:p>
        </w:tc>
        <w:tc>
          <w:tcPr>
            <w:tcW w:type="dxa" w:w="1744"/>
            <w:tcBorders>
              <w:top w:val="nil"/>
              <w:left w:val="nil"/>
              <w:bottom w:val="single" w:sz="6" w:space="0" w:color="000000"/>
              <w:right w:val="nil"/>
            </w:tcBorders>
          </w:tcPr>
          <w:p>
            <w:pPr>
              <w:keepNext/>
              <w:pStyle w:val="Compact"/>
              <w:jc w:val="right"/>
            </w:pPr>
            <m:oMath>
              <m:r>
                <m:t>μ</m:t>
              </m:r>
            </m:oMath>
          </w:p>
        </w:tc>
        <w:tc>
          <w:tcPr>
            <w:tcW w:type="dxa" w:w="1744"/>
            <w:tcBorders>
              <w:top w:val="nil"/>
              <w:left w:val="nil"/>
              <w:bottom w:val="single" w:sz="6" w:space="0" w:color="000000"/>
              <w:right w:val="nil"/>
            </w:tcBorders>
          </w:tcPr>
          <w:p>
            <w:pPr>
              <w:keepNext/>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keepNext/>
              <w:pStyle w:val="Compact"/>
              <w:jc w:val="right"/>
            </w:pPr>
            <w:r>
              <w:t xml:space="preserve">1.0</w:t>
            </w:r>
          </w:p>
        </w:tc>
        <w:tc>
          <w:tcPr>
            <w:tcW w:type="dxa" w:w="1744"/>
          </w:tcPr>
          <w:p>
            <w:pPr>
              <w:keepNext/>
              <w:pStyle w:val="Compact"/>
              <w:jc w:val="right"/>
            </w:pPr>
            <w:r>
              <w:t xml:space="preserve">0.800</w:t>
            </w:r>
          </w:p>
        </w:tc>
        <w:tc>
          <w:tcPr>
            <w:tcW w:type="dxa" w:w="1744"/>
          </w:tcPr>
          <w:p>
            <w:pPr>
              <w:keepNext/>
              <w:pStyle w:val="Compact"/>
              <w:jc w:val="right"/>
            </w:pPr>
            <w:r>
              <w:t xml:space="preserve">0.4460</w:t>
            </w:r>
          </w:p>
        </w:tc>
        <w:tc>
          <w:tcPr>
            <w:tcW w:type="dxa" w:w="1744"/>
          </w:tcPr>
          <w:p>
            <w:pPr>
              <w:keepNext/>
              <w:pStyle w:val="Compact"/>
              <w:jc w:val="right"/>
            </w:pPr>
            <w:r>
              <w:t xml:space="preserve">1.322</w:t>
            </w:r>
          </w:p>
        </w:tc>
        <w:tc>
          <w:tcPr>
            <w:tcW w:type="dxa" w:w="1744"/>
          </w:tcPr>
          <w:p>
            <w:pPr>
              <w:keepNext/>
              <w:pStyle w:val="Compact"/>
              <w:jc w:val="right"/>
            </w:pPr>
            <w:r>
              <w:t xml:space="preserve">1.300</w:t>
            </w:r>
          </w:p>
        </w:tc>
      </w:tr>
      <w:tr>
        <w:trPr>
          <w:cantSplit/>
        </w:trPr>
        <w:tc>
          <w:tcPr>
            <w:tcW w:type="dxa" w:w="2093"/>
          </w:tcPr>
          <w:p>
            <w:pPr>
              <w:keepNext/>
              <w:pStyle w:val="Compact"/>
              <w:jc w:val="right"/>
            </w:pPr>
            <w:r>
              <w:t xml:space="preserve">1.2</w:t>
            </w:r>
          </w:p>
        </w:tc>
        <w:tc>
          <w:tcPr>
            <w:tcW w:type="dxa" w:w="1744"/>
          </w:tcPr>
          <w:p>
            <w:pPr>
              <w:keepNext/>
              <w:pStyle w:val="Compact"/>
              <w:jc w:val="right"/>
            </w:pPr>
            <w:r>
              <w:t xml:space="preserve">0.9743</w:t>
            </w:r>
          </w:p>
        </w:tc>
        <w:tc>
          <w:tcPr>
            <w:tcW w:type="dxa" w:w="1744"/>
          </w:tcPr>
          <w:p>
            <w:pPr>
              <w:keepNext/>
              <w:pStyle w:val="Compact"/>
              <w:jc w:val="right"/>
            </w:pPr>
            <w:r>
              <w:t xml:space="preserve">0.4251</w:t>
            </w:r>
          </w:p>
        </w:tc>
        <w:tc>
          <w:tcPr>
            <w:tcW w:type="dxa" w:w="1744"/>
          </w:tcPr>
          <w:p>
            <w:pPr>
              <w:keepNext/>
              <w:pStyle w:val="Compact"/>
              <w:jc w:val="right"/>
            </w:pPr>
            <w:r>
              <w:t xml:space="preserve">1.076</w:t>
            </w:r>
          </w:p>
        </w:tc>
        <w:tc>
          <w:tcPr>
            <w:tcW w:type="dxa" w:w="1744"/>
          </w:tcPr>
          <w:p>
            <w:pPr>
              <w:keepNext/>
              <w:pStyle w:val="Compact"/>
              <w:jc w:val="right"/>
            </w:pPr>
            <w:r>
              <w:t xml:space="preserve">1.039</w:t>
            </w:r>
          </w:p>
        </w:tc>
      </w:tr>
      <w:tr>
        <w:trPr>
          <w:cantSplit/>
        </w:trPr>
        <w:tc>
          <w:tcPr>
            <w:tcW w:type="dxa" w:w="2093"/>
          </w:tcPr>
          <w:p>
            <w:pPr>
              <w:keepNext/>
              <w:pStyle w:val="Compact"/>
              <w:jc w:val="right"/>
            </w:pPr>
            <w:r>
              <w:t xml:space="preserve">1.4</w:t>
            </w:r>
          </w:p>
        </w:tc>
        <w:tc>
          <w:tcPr>
            <w:tcW w:type="dxa" w:w="1744"/>
          </w:tcPr>
          <w:p>
            <w:pPr>
              <w:keepNext/>
              <w:pStyle w:val="Compact"/>
              <w:jc w:val="right"/>
            </w:pPr>
            <w:r>
              <w:t xml:space="preserve">1.208</w:t>
            </w:r>
          </w:p>
        </w:tc>
        <w:tc>
          <w:tcPr>
            <w:tcW w:type="dxa" w:w="1744"/>
          </w:tcPr>
          <w:p>
            <w:pPr>
              <w:keepNext/>
              <w:pStyle w:val="Compact"/>
              <w:jc w:val="right"/>
            </w:pPr>
            <w:r>
              <w:t xml:space="preserve">0.3875</w:t>
            </w:r>
          </w:p>
        </w:tc>
        <w:tc>
          <w:tcPr>
            <w:tcW w:type="dxa" w:w="1744"/>
          </w:tcPr>
          <w:p>
            <w:pPr>
              <w:keepNext/>
              <w:pStyle w:val="Compact"/>
              <w:jc w:val="right"/>
            </w:pPr>
            <w:r>
              <w:t xml:space="preserve">0.7585</w:t>
            </w:r>
          </w:p>
        </w:tc>
        <w:tc>
          <w:tcPr>
            <w:tcW w:type="dxa" w:w="1744"/>
          </w:tcPr>
          <w:p>
            <w:pPr>
              <w:keepNext/>
              <w:pStyle w:val="Compact"/>
              <w:jc w:val="right"/>
            </w:pPr>
            <w:r>
              <w:t xml:space="preserve">0.6884</w:t>
            </w:r>
          </w:p>
        </w:tc>
      </w:tr>
      <w:tr>
        <w:trPr>
          <w:cantSplit/>
        </w:trPr>
        <w:tc>
          <w:tcPr>
            <w:tcW w:type="dxa" w:w="2093"/>
          </w:tcPr>
          <w:p>
            <w:pPr>
              <w:keepNext/>
              <w:pStyle w:val="Compact"/>
              <w:jc w:val="right"/>
            </w:pPr>
            <w:r>
              <w:t xml:space="preserve">1.5</w:t>
            </w:r>
          </w:p>
        </w:tc>
        <w:tc>
          <w:tcPr>
            <w:tcW w:type="dxa" w:w="1744"/>
          </w:tcPr>
          <w:p>
            <w:pPr>
              <w:keepNext/>
              <w:pStyle w:val="Compact"/>
              <w:jc w:val="right"/>
            </w:pPr>
            <w:r>
              <w:t xml:space="preserve">1.346</w:t>
            </w:r>
          </w:p>
        </w:tc>
        <w:tc>
          <w:tcPr>
            <w:tcW w:type="dxa" w:w="1744"/>
          </w:tcPr>
          <w:p>
            <w:pPr>
              <w:keepNext/>
              <w:pStyle w:val="Compact"/>
              <w:jc w:val="right"/>
            </w:pPr>
            <w:r>
              <w:t xml:space="preserve">0.3582</w:t>
            </w:r>
          </w:p>
        </w:tc>
        <w:tc>
          <w:tcPr>
            <w:tcW w:type="dxa" w:w="1744"/>
          </w:tcPr>
          <w:p>
            <w:pPr>
              <w:keepNext/>
              <w:pStyle w:val="Compact"/>
              <w:jc w:val="right"/>
            </w:pPr>
            <w:r>
              <w:t xml:space="preserve">0.5807</w:t>
            </w:r>
          </w:p>
        </w:tc>
        <w:tc>
          <w:tcPr>
            <w:tcW w:type="dxa" w:w="1744"/>
          </w:tcPr>
          <w:p>
            <w:pPr>
              <w:keepNext/>
              <w:pStyle w:val="Compact"/>
              <w:jc w:val="right"/>
            </w:pPr>
            <w:r>
              <w:t xml:space="preserve">0.4808</w:t>
            </w:r>
          </w:p>
        </w:tc>
      </w:tr>
      <w:tr>
        <w:trPr>
          <w:cantSplit/>
        </w:trPr>
        <w:tc>
          <w:tcPr>
            <w:tcW w:type="dxa" w:w="2093"/>
          </w:tcPr>
          <w:p>
            <w:pPr>
              <w:keepNext/>
              <w:pStyle w:val="Compact"/>
              <w:jc w:val="right"/>
            </w:pPr>
            <w:r>
              <w:t xml:space="preserve">1.636 (= 90/55)</w:t>
            </w:r>
          </w:p>
        </w:tc>
        <w:tc>
          <w:tcPr>
            <w:tcW w:type="dxa" w:w="1744"/>
          </w:tcPr>
          <w:p>
            <w:pPr>
              <w:keepNext/>
              <w:pStyle w:val="Compact"/>
              <w:jc w:val="right"/>
            </w:pPr>
            <w:r>
              <w:t xml:space="preserve">1.558</w:t>
            </w:r>
          </w:p>
        </w:tc>
        <w:tc>
          <w:tcPr>
            <w:tcW w:type="dxa" w:w="1744"/>
          </w:tcPr>
          <w:p>
            <w:pPr>
              <w:keepNext/>
              <w:pStyle w:val="Compact"/>
              <w:jc w:val="right"/>
            </w:pPr>
            <w:r>
              <w:t xml:space="preserve">0.2994</w:t>
            </w:r>
          </w:p>
        </w:tc>
        <w:tc>
          <w:tcPr>
            <w:tcW w:type="dxa" w:w="1744"/>
          </w:tcPr>
          <w:p>
            <w:pPr>
              <w:keepNext/>
              <w:pStyle w:val="Compact"/>
              <w:jc w:val="right"/>
            </w:pPr>
            <w:r>
              <w:t xml:space="preserve">0.3316</w:t>
            </w:r>
          </w:p>
        </w:tc>
        <w:tc>
          <w:tcPr>
            <w:tcW w:type="dxa" w:w="1744"/>
          </w:tcPr>
          <w:p>
            <w:pPr>
              <w:keepNext/>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keepLines/>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keepLines/>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keepLines/>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keepNext/>
              <w:pStyle w:val="Compact"/>
              <w:jc w:val="right"/>
            </w:pPr>
            <w:r>
              <w:t xml:space="preserve">Threshold</w:t>
            </w:r>
          </w:p>
        </w:tc>
        <w:tc>
          <w:tcPr>
            <w:tcW w:type="dxa" w:w="2075"/>
            <w:tcBorders>
              <w:top w:val="nil"/>
              <w:left w:val="nil"/>
              <w:bottom w:val="single" w:sz="6" w:space="0" w:color="000000"/>
              <w:right w:val="nil"/>
            </w:tcBorders>
          </w:tcPr>
          <w:p>
            <w:pPr>
              <w:keepNext/>
              <w:pStyle w:val="Compact"/>
              <w:jc w:val="right"/>
            </w:pPr>
            <w:r>
              <w:t xml:space="preserve">Strain, two equal spans</w:t>
            </w:r>
          </w:p>
        </w:tc>
        <w:tc>
          <w:tcPr>
            <w:tcW w:type="dxa" w:w="2707"/>
            <w:tcBorders>
              <w:top w:val="nil"/>
              <w:left w:val="nil"/>
              <w:bottom w:val="single" w:sz="6" w:space="0" w:color="000000"/>
              <w:right w:val="nil"/>
            </w:tcBorders>
          </w:tcPr>
          <w:p>
            <w:pPr>
              <w:keepNext/>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keepNext/>
              <w:pStyle w:val="Compact"/>
              <w:jc w:val="right"/>
            </w:pPr>
            <w:r>
              <w:t xml:space="preserve">Deflection, mid side span, three spans:</w:t>
            </w:r>
            <w:r>
              <w:t xml:space="preserve"> </w:t>
            </w:r>
            <m:oMath>
              <m:r>
                <m:t>β</m:t>
              </m:r>
            </m:oMath>
          </w:p>
        </w:tc>
      </w:tr>
      <w:tr>
        <w:trPr>
          <w:cantSplit/>
        </w:trPr>
        <w:tc>
          <w:tcPr>
            <w:tcW w:type="dxa" w:w="1579"/>
          </w:tcPr>
          <w:p>
            <w:pPr>
              <w:keepNext/>
              <w:pStyle w:val="Compact"/>
              <w:jc w:val="right"/>
            </w:pPr>
            <w:r>
              <w:t xml:space="preserve">0.1</w:t>
            </w:r>
          </w:p>
        </w:tc>
        <w:tc>
          <w:tcPr>
            <w:tcW w:type="dxa" w:w="2075"/>
          </w:tcPr>
          <w:p>
            <w:pPr>
              <w:keepNext/>
              <w:pStyle w:val="Compact"/>
              <w:jc w:val="right"/>
            </w:pPr>
            <w:r>
              <w:t xml:space="preserve">0.218–0.285</w:t>
            </w:r>
          </w:p>
        </w:tc>
        <w:tc>
          <w:tcPr>
            <w:tcW w:type="dxa" w:w="2707"/>
          </w:tcPr>
          <w:p>
            <w:pPr>
              <w:keepNext/>
              <w:pStyle w:val="Compact"/>
              <w:jc w:val="right"/>
            </w:pPr>
            <w:r>
              <w:t xml:space="preserve">1.422–1.492</w:t>
            </w:r>
          </w:p>
        </w:tc>
        <w:tc>
          <w:tcPr>
            <w:tcW w:type="dxa" w:w="2707"/>
          </w:tcPr>
          <w:p>
            <w:pPr>
              <w:keepNext/>
              <w:pStyle w:val="Compact"/>
              <w:jc w:val="right"/>
            </w:pPr>
            <w:r>
              <w:t xml:space="preserve">1.662–1.738</w:t>
            </w:r>
          </w:p>
        </w:tc>
      </w:tr>
      <w:tr>
        <w:trPr>
          <w:cantSplit/>
        </w:trPr>
        <w:tc>
          <w:tcPr>
            <w:tcW w:type="dxa" w:w="1579"/>
          </w:tcPr>
          <w:p>
            <w:pPr>
              <w:keepNext/>
              <w:pStyle w:val="Compact"/>
              <w:jc w:val="right"/>
            </w:pPr>
            <w:r>
              <w:t xml:space="preserve">0.2</w:t>
            </w:r>
          </w:p>
        </w:tc>
        <w:tc>
          <w:tcPr>
            <w:tcW w:type="dxa" w:w="2075"/>
          </w:tcPr>
          <w:p>
            <w:pPr>
              <w:keepNext/>
              <w:pStyle w:val="Compact"/>
              <w:jc w:val="right"/>
            </w:pPr>
            <w:r>
              <w:t xml:space="preserve">0.188–0.324</w:t>
            </w:r>
          </w:p>
        </w:tc>
        <w:tc>
          <w:tcPr>
            <w:tcW w:type="dxa" w:w="2707"/>
          </w:tcPr>
          <w:p>
            <w:pPr>
              <w:keepNext/>
              <w:pStyle w:val="Compact"/>
              <w:jc w:val="right"/>
            </w:pPr>
            <w:r>
              <w:t xml:space="preserve">1.385–1.525</w:t>
            </w:r>
          </w:p>
        </w:tc>
        <w:tc>
          <w:tcPr>
            <w:tcW w:type="dxa" w:w="2707"/>
          </w:tcPr>
          <w:p>
            <w:pPr>
              <w:keepNext/>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t>
      </w:r>
      <w:r>
        <w:t xml:space="preserve">in span 1 and</w:t>
      </w:r>
      <w:r>
        <w:t xml:space="preserve"> </w:t>
      </w:r>
      <m:oMath>
        <m:d>
          <m:dPr>
            <m:begChr m:val="("/>
            <m:end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grow/>
          </m:dPr>
          <m:e>
            <m:r>
              <m:t>0</m:t>
            </m:r>
            <m:r>
              <m:rPr>
                <m:sty m:val="p"/>
              </m:rPr>
              <m:t>,</m:t>
            </m:r>
            <m:r>
              <m:t>μ</m:t>
            </m:r>
          </m:e>
        </m:d>
      </m:oMath>
      <w:r>
        <w:t xml:space="preserve"> </w:t>
      </w:r>
      <w:r>
        <w:t xml:space="preserve">in the side span and</w:t>
      </w:r>
      <w:r>
        <w:t xml:space="preserve"> </w:t>
      </w:r>
      <m:oMath>
        <m:d>
          <m:dPr>
            <m:begChr m:val="("/>
            <m:end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y</m:t>
            </m:r>
          </m:e>
          <m:sub>
            <m:r>
              <m:t>j</m:t>
            </m:r>
          </m:sub>
        </m:sSub>
        <m:d>
          <m:dPr>
            <m:begChr m:val="("/>
            <m:endChr m:val=")"/>
            <m:grow/>
          </m:dPr>
          <m:e>
            <m:r>
              <m:t>x</m:t>
            </m:r>
          </m:e>
        </m:d>
        <m:r>
          <m:t> </m:t>
        </m:r>
        <m:r>
          <m:rPr>
            <m:sty m:val="p"/>
            <m:nor/>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η</m:t>
            </m:r>
          </m:e>
          <m:sub>
            <m:r>
              <m:t>j</m:t>
            </m:r>
          </m:sub>
        </m:sSub>
        <m:d>
          <m:dPr>
            <m:begChr m:val="("/>
            <m:endChr m:val=")"/>
            <m:grow/>
          </m:dPr>
          <m:e>
            <m:r>
              <m:t>x</m:t>
            </m:r>
            <m:r>
              <m:rPr>
                <m:sty m:val="p"/>
              </m:rPr>
              <m:t>−</m:t>
            </m:r>
            <m:r>
              <m:t>s</m:t>
            </m:r>
          </m:e>
        </m:d>
        <m:r>
          <m:t> </m:t>
        </m:r>
        <m:r>
          <m:rPr>
            <m:sty m:val="p"/>
            <m:nor/>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grow/>
              </m:dPr>
              <m:e>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e>
            </m:d>
          </m:e>
        </m:nary>
        <m:r>
          <m:t>η</m:t>
        </m:r>
        <m:d>
          <m:dPr>
            <m:begChr m:val="("/>
            <m:endChr m:val=")"/>
            <m:grow/>
          </m:dPr>
          <m:e>
            <m:r>
              <m:t>u</m:t>
            </m:r>
          </m:e>
        </m:d>
        <m:r>
          <m:t> </m:t>
        </m:r>
        <m:r>
          <m:rPr>
            <m:sty m:val="p"/>
            <m:nor/>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keepLines/>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grow/>
          </m:dPr>
          <m:e>
            <m:r>
              <m:t>1</m:t>
            </m:r>
            <m:r>
              <m:rPr>
                <m:sty m:val="p"/>
              </m:rPr>
              <m:t>,</m:t>
            </m:r>
            <m:r>
              <m:rPr>
                <m:sty m:val="p"/>
              </m:rPr>
              <m:t>−</m:t>
            </m:r>
            <m:r>
              <m:t>1</m:t>
            </m:r>
          </m:e>
        </m:d>
        <m:r>
          <m:rPr>
            <m:sty m:val="p"/>
          </m:rPr>
          <m:t>/</m:t>
        </m:r>
        <m:d>
          <m:dPr>
            <m:begChr m:val="("/>
            <m:end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noise model above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keepLines/>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keepLines/>
      </w:pPr>
      <w:r>
        <w:rPr>
          <w:bCs/>
          <w:b/>
        </w:rPr>
        <w:t xml:space="preserve">Figure S5.</w:t>
      </w:r>
      <w:r>
        <w:t xml:space="preserve"> </w:t>
      </w:r>
      <w:r>
        <w:t xml:space="preserve">Uniform-load response</w:t>
      </w:r>
      <w:r>
        <w:t xml:space="preserve"> </w:t>
      </w:r>
      <m:oMath>
        <m:r>
          <m:t>C</m:t>
        </m:r>
        <m:d>
          <m:dPr>
            <m:begChr m:val="("/>
            <m:end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keepLines/>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nor/>
          </m:rPr>
          <m:t>d</m:t>
        </m:r>
        <m:sSub>
          <m:e>
            <m:r>
              <m:t>C</m:t>
            </m:r>
          </m:e>
          <m:sub>
            <m:r>
              <m:t>m</m:t>
            </m:r>
          </m:sub>
        </m:sSub>
        <m:r>
          <m:rPr>
            <m:sty m:val="p"/>
          </m:rPr>
          <m:t>/</m:t>
        </m:r>
        <m:r>
          <m:rPr>
            <m:sty m:val="p"/>
            <m:nor/>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keepLines/>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both by the trapezoidal rule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keepLines/>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keepLines/>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keepNext/>
              <w:pStyle w:val="Compact"/>
              <w:jc w:val="left"/>
            </w:pPr>
            <w:r>
              <w:t xml:space="preserve">Configuration</w:t>
            </w:r>
          </w:p>
        </w:tc>
        <w:tc>
          <w:tcPr>
            <w:tcW w:type="dxa" w:w="1306"/>
            <w:tcBorders>
              <w:top w:val="nil"/>
              <w:left w:val="nil"/>
              <w:bottom w:val="single" w:sz="6" w:space="0" w:color="000000"/>
              <w:right w:val="nil"/>
            </w:tcBorders>
          </w:tcPr>
          <w:p>
            <w:pPr>
              <w:keepNext/>
              <w:pStyle w:val="Compact"/>
              <w:jc w:val="right"/>
            </w:pPr>
            <w:r>
              <w:t xml:space="preserve">Weighed (N)</w:t>
            </w:r>
          </w:p>
        </w:tc>
        <w:tc>
          <w:tcPr>
            <w:tcW w:type="dxa" w:w="1152"/>
            <w:tcBorders>
              <w:top w:val="nil"/>
              <w:left w:val="nil"/>
              <w:bottom w:val="single" w:sz="6" w:space="0" w:color="000000"/>
              <w:right w:val="nil"/>
            </w:tcBorders>
          </w:tcPr>
          <w:p>
            <w:pPr>
              <w:keepNext/>
              <w:pStyle w:val="Compact"/>
              <w:jc w:val="right"/>
            </w:pPr>
            <w:r>
              <w:t xml:space="preserve">BPM (N)</w:t>
            </w:r>
          </w:p>
        </w:tc>
        <w:tc>
          <w:tcPr>
            <w:tcW w:type="dxa" w:w="1614"/>
            <w:tcBorders>
              <w:top w:val="nil"/>
              <w:left w:val="nil"/>
              <w:bottom w:val="single" w:sz="6" w:space="0" w:color="000000"/>
              <w:right w:val="nil"/>
            </w:tcBorders>
          </w:tcPr>
          <w:p>
            <w:pPr>
              <w:keepNext/>
              <w:pStyle w:val="Compact"/>
              <w:jc w:val="right"/>
            </w:pPr>
            <w:r>
              <w:t xml:space="preserve">BPM deviation</w:t>
            </w:r>
          </w:p>
        </w:tc>
        <w:tc>
          <w:tcPr>
            <w:tcW w:type="dxa" w:w="1152"/>
            <w:tcBorders>
              <w:top w:val="nil"/>
              <w:left w:val="nil"/>
              <w:bottom w:val="single" w:sz="6" w:space="0" w:color="000000"/>
              <w:right w:val="nil"/>
            </w:tcBorders>
          </w:tcPr>
          <w:p>
            <w:pPr>
              <w:keepNext/>
              <w:pStyle w:val="Compact"/>
              <w:jc w:val="right"/>
            </w:pPr>
            <w:r>
              <w:t xml:space="preserve">SLM (N)</w:t>
            </w:r>
          </w:p>
        </w:tc>
        <w:tc>
          <w:tcPr>
            <w:tcW w:type="dxa" w:w="1614"/>
            <w:tcBorders>
              <w:top w:val="nil"/>
              <w:left w:val="nil"/>
              <w:bottom w:val="single" w:sz="6" w:space="0" w:color="000000"/>
              <w:right w:val="nil"/>
            </w:tcBorders>
          </w:tcPr>
          <w:p>
            <w:pPr>
              <w:keepNext/>
              <w:pStyle w:val="Compact"/>
              <w:jc w:val="right"/>
            </w:pPr>
            <w:r>
              <w:t xml:space="preserve">SLM deviation</w:t>
            </w:r>
          </w:p>
        </w:tc>
      </w:tr>
      <w:tr>
        <w:trPr>
          <w:cantSplit/>
        </w:trPr>
        <w:tc>
          <w:tcPr>
            <w:tcW w:type="dxa" w:w="2229"/>
          </w:tcPr>
          <w:p>
            <w:pPr>
              <w:keepNext/>
              <w:pStyle w:val="Compact"/>
              <w:jc w:val="left"/>
            </w:pPr>
            <w:r>
              <w:t xml:space="preserve">Two loads</w:t>
            </w:r>
          </w:p>
        </w:tc>
        <w:tc>
          <w:tcPr>
            <w:tcW w:type="dxa" w:w="1306"/>
          </w:tcPr>
          <w:p>
            <w:pPr>
              <w:keepNext/>
              <w:pStyle w:val="Compact"/>
              <w:jc w:val="right"/>
            </w:pPr>
            <w:r>
              <w:t xml:space="preserve">66.99</w:t>
            </w:r>
          </w:p>
        </w:tc>
        <w:tc>
          <w:tcPr>
            <w:tcW w:type="dxa" w:w="1152"/>
          </w:tcPr>
          <w:p>
            <w:pPr>
              <w:keepNext/>
              <w:pStyle w:val="Compact"/>
              <w:jc w:val="right"/>
            </w:pPr>
            <w:r>
              <w:t xml:space="preserve">67.73</w:t>
            </w:r>
          </w:p>
        </w:tc>
        <w:tc>
          <w:tcPr>
            <w:tcW w:type="dxa" w:w="1614"/>
          </w:tcPr>
          <w:p>
            <w:pPr>
              <w:keepNext/>
              <w:pStyle w:val="Compact"/>
              <w:jc w:val="right"/>
            </w:pPr>
            <w:r>
              <w:t xml:space="preserve">+1.10 %</w:t>
            </w:r>
          </w:p>
        </w:tc>
        <w:tc>
          <w:tcPr>
            <w:tcW w:type="dxa" w:w="1152"/>
          </w:tcPr>
          <w:p>
            <w:pPr>
              <w:keepNext/>
              <w:pStyle w:val="Compact"/>
              <w:jc w:val="right"/>
            </w:pPr>
            <w:r>
              <w:t xml:space="preserve">67.40</w:t>
            </w:r>
          </w:p>
        </w:tc>
        <w:tc>
          <w:tcPr>
            <w:tcW w:type="dxa" w:w="1614"/>
          </w:tcPr>
          <w:p>
            <w:pPr>
              <w:keepNext/>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keepLines/>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standard deviation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keepLines/>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keepLines/>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keepLines/>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keepLines/>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keepLines/>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keepNext/>
              <w:pStyle w:val="Compact"/>
              <w:jc w:val="left"/>
            </w:pPr>
            <w:r>
              <w:t xml:space="preserve">Day, channel</w:t>
            </w:r>
          </w:p>
        </w:tc>
        <w:tc>
          <w:tcPr>
            <w:tcW w:type="dxa" w:w="804"/>
            <w:tcBorders>
              <w:top w:val="nil"/>
              <w:left w:val="nil"/>
              <w:bottom w:val="single" w:sz="6" w:space="0" w:color="000000"/>
              <w:right w:val="nil"/>
            </w:tcBorders>
          </w:tcPr>
          <w:p>
            <w:pPr>
              <w:keepNext/>
              <w:pStyle w:val="Compact"/>
              <w:jc w:val="right"/>
            </w:pPr>
            <w:r>
              <w:t xml:space="preserve">Runs</w:t>
            </w:r>
          </w:p>
        </w:tc>
        <w:tc>
          <w:tcPr>
            <w:tcW w:type="dxa" w:w="1755"/>
            <w:tcBorders>
              <w:top w:val="nil"/>
              <w:left w:val="nil"/>
              <w:bottom w:val="single" w:sz="6" w:space="0" w:color="000000"/>
              <w:right w:val="nil"/>
            </w:tcBorders>
          </w:tcPr>
          <w:p>
            <w:pPr>
              <w:keepNext/>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keepNext/>
              <w:pStyle w:val="Compact"/>
              <w:jc w:val="right"/>
            </w:pPr>
            <w:r>
              <w:t xml:space="preserve">CV observed (%)</w:t>
            </w:r>
          </w:p>
        </w:tc>
        <w:tc>
          <w:tcPr>
            <w:tcW w:type="dxa" w:w="1389"/>
            <w:tcBorders>
              <w:top w:val="nil"/>
              <w:left w:val="nil"/>
              <w:bottom w:val="single" w:sz="6" w:space="0" w:color="000000"/>
              <w:right w:val="nil"/>
            </w:tcBorders>
          </w:tcPr>
          <w:p>
            <w:pPr>
              <w:keepNext/>
              <w:pStyle w:val="Compact"/>
              <w:jc w:val="right"/>
            </w:pPr>
            <w:r>
              <w:t xml:space="preserve">CV expected (%)</w:t>
            </w:r>
          </w:p>
        </w:tc>
        <w:tc>
          <w:tcPr>
            <w:tcW w:type="dxa" w:w="950"/>
            <w:tcBorders>
              <w:top w:val="nil"/>
              <w:left w:val="nil"/>
              <w:bottom w:val="single" w:sz="6" w:space="0" w:color="000000"/>
              <w:right w:val="nil"/>
            </w:tcBorders>
          </w:tcPr>
          <w:p>
            <w:pPr>
              <w:keepNext/>
              <w:pStyle w:val="Compact"/>
              <w:jc w:val="right"/>
            </w:pPr>
            <m:oMath>
              <m:sSup>
                <m:e>
                  <m:r>
                    <m:t>χ</m:t>
                  </m:r>
                </m:e>
                <m:sup>
                  <m:r>
                    <m:t>2</m:t>
                  </m:r>
                </m:sup>
              </m:sSup>
            </m:oMath>
            <w:r>
              <w:t xml:space="preserve"> </w:t>
            </w:r>
            <m:oMath>
              <m:r>
                <m:t>p</m:t>
              </m:r>
            </m:oMath>
          </w:p>
        </w:tc>
      </w:tr>
      <w:tr>
        <w:trPr>
          <w:cantSplit/>
        </w:trPr>
        <w:tc>
          <w:tcPr>
            <w:tcW w:type="dxa" w:w="2633"/>
          </w:tcPr>
          <w:p>
            <w:pPr>
              <w:keepNext/>
              <w:pStyle w:val="Compact"/>
              <w:jc w:val="left"/>
            </w:pPr>
            <w:r>
              <w:t xml:space="preserve">1, ch11 (best)</w:t>
            </w:r>
          </w:p>
        </w:tc>
        <w:tc>
          <w:tcPr>
            <w:tcW w:type="dxa" w:w="804"/>
          </w:tcPr>
          <w:p>
            <w:pPr>
              <w:keepNext/>
              <w:pStyle w:val="Compact"/>
              <w:jc w:val="right"/>
            </w:pPr>
            <w:r>
              <w:t xml:space="preserve">7</w:t>
            </w:r>
          </w:p>
        </w:tc>
        <w:tc>
          <w:tcPr>
            <w:tcW w:type="dxa" w:w="1755"/>
          </w:tcPr>
          <w:p>
            <w:pPr>
              <w:keepNext/>
              <w:pStyle w:val="Compact"/>
              <w:jc w:val="right"/>
            </w:pPr>
            <w:r>
              <w:t xml:space="preserve">−5.85 (−6.17, −5.53)</w:t>
            </w:r>
          </w:p>
        </w:tc>
        <w:tc>
          <w:tcPr>
            <w:tcW w:type="dxa" w:w="1536"/>
          </w:tcPr>
          <w:p>
            <w:pPr>
              <w:keepNext/>
              <w:pStyle w:val="Compact"/>
              <w:jc w:val="right"/>
            </w:pPr>
            <w:r>
              <w:t xml:space="preserve">5.8</w:t>
            </w:r>
          </w:p>
        </w:tc>
        <w:tc>
          <w:tcPr>
            <w:tcW w:type="dxa" w:w="1389"/>
          </w:tcPr>
          <w:p>
            <w:pPr>
              <w:keepNext/>
              <w:pStyle w:val="Compact"/>
              <w:jc w:val="right"/>
            </w:pPr>
            <w:r>
              <w:t xml:space="preserve">6.8</w:t>
            </w:r>
          </w:p>
        </w:tc>
        <w:tc>
          <w:tcPr>
            <w:tcW w:type="dxa" w:w="950"/>
          </w:tcPr>
          <w:p>
            <w:pPr>
              <w:keepNext/>
              <w:pStyle w:val="Compact"/>
              <w:jc w:val="right"/>
            </w:pPr>
            <w:r>
              <w:t xml:space="preserve">0.60</w:t>
            </w:r>
          </w:p>
        </w:tc>
      </w:tr>
      <w:tr>
        <w:trPr>
          <w:cantSplit/>
        </w:trPr>
        <w:tc>
          <w:tcPr>
            <w:tcW w:type="dxa" w:w="2633"/>
          </w:tcPr>
          <w:p>
            <w:pPr>
              <w:keepNext/>
              <w:pStyle w:val="Compact"/>
              <w:jc w:val="left"/>
            </w:pPr>
            <w:r>
              <w:t xml:space="preserve">1, gauge average (4 wheel-path gauges)</w:t>
            </w:r>
          </w:p>
        </w:tc>
        <w:tc>
          <w:tcPr>
            <w:tcW w:type="dxa" w:w="804"/>
          </w:tcPr>
          <w:p>
            <w:pPr>
              <w:keepNext/>
              <w:pStyle w:val="Compact"/>
              <w:jc w:val="right"/>
            </w:pPr>
            <w:r>
              <w:t xml:space="preserve">7</w:t>
            </w:r>
          </w:p>
        </w:tc>
        <w:tc>
          <w:tcPr>
            <w:tcW w:type="dxa" w:w="1755"/>
          </w:tcPr>
          <w:p>
            <w:pPr>
              <w:keepNext/>
              <w:pStyle w:val="Compact"/>
              <w:jc w:val="right"/>
            </w:pPr>
            <w:r>
              <w:t xml:space="preserve">−4.03 (−4.24, −3.82)</w:t>
            </w:r>
          </w:p>
        </w:tc>
        <w:tc>
          <w:tcPr>
            <w:tcW w:type="dxa" w:w="1536"/>
          </w:tcPr>
          <w:p>
            <w:pPr>
              <w:keepNext/>
              <w:pStyle w:val="Compact"/>
              <w:jc w:val="right"/>
            </w:pPr>
            <w:r>
              <w:t xml:space="preserve">5.6</w:t>
            </w:r>
          </w:p>
        </w:tc>
        <w:tc>
          <w:tcPr>
            <w:tcW w:type="dxa" w:w="1389"/>
          </w:tcPr>
          <w:p>
            <w:pPr>
              <w:keepNext/>
              <w:pStyle w:val="Compact"/>
              <w:jc w:val="right"/>
            </w:pPr>
            <w:r>
              <w:t xml:space="preserve">6.1</w:t>
            </w:r>
          </w:p>
        </w:tc>
        <w:tc>
          <w:tcPr>
            <w:tcW w:type="dxa" w:w="950"/>
          </w:tcPr>
          <w:p>
            <w:pPr>
              <w:keepNext/>
              <w:pStyle w:val="Compact"/>
              <w:jc w:val="right"/>
            </w:pPr>
            <w:r>
              <w:t xml:space="preserve">0.53</w:t>
            </w:r>
          </w:p>
        </w:tc>
      </w:tr>
      <w:tr>
        <w:trPr>
          <w:cantSplit/>
        </w:trPr>
        <w:tc>
          <w:tcPr>
            <w:tcW w:type="dxa" w:w="2633"/>
          </w:tcPr>
          <w:p>
            <w:pPr>
              <w:keepNext/>
              <w:pStyle w:val="Compact"/>
              <w:jc w:val="left"/>
            </w:pPr>
            <w:r>
              <w:t xml:space="preserve">1, ch1, ch2, ch8, ch9</w:t>
            </w:r>
          </w:p>
        </w:tc>
        <w:tc>
          <w:tcPr>
            <w:tcW w:type="dxa" w:w="804"/>
          </w:tcPr>
          <w:p>
            <w:pPr>
              <w:keepNext/>
              <w:pStyle w:val="Compact"/>
              <w:jc w:val="right"/>
            </w:pPr>
            <w:r>
              <w:t xml:space="preserve">7</w:t>
            </w:r>
          </w:p>
        </w:tc>
        <w:tc>
          <w:tcPr>
            <w:tcW w:type="dxa" w:w="1755"/>
          </w:tcPr>
          <w:p>
            <w:pPr>
              <w:keepNext/>
              <w:pStyle w:val="Compact"/>
              <w:jc w:val="right"/>
            </w:pPr>
            <w:r>
              <w:t xml:space="preserve">−1.49 to −2.38</w:t>
            </w:r>
          </w:p>
        </w:tc>
        <w:tc>
          <w:tcPr>
            <w:tcW w:type="dxa" w:w="1536"/>
          </w:tcPr>
          <w:p>
            <w:pPr>
              <w:keepNext/>
              <w:pStyle w:val="Compact"/>
              <w:jc w:val="right"/>
            </w:pPr>
            <w:r>
              <w:t xml:space="preserve">17.2–19.1</w:t>
            </w:r>
          </w:p>
        </w:tc>
        <w:tc>
          <w:tcPr>
            <w:tcW w:type="dxa" w:w="1389"/>
          </w:tcPr>
          <w:p>
            <w:pPr>
              <w:keepNext/>
              <w:pStyle w:val="Compact"/>
              <w:jc w:val="right"/>
            </w:pPr>
            <w:r>
              <w:t xml:space="preserve">7.8–11.0</w:t>
            </w:r>
          </w:p>
        </w:tc>
        <w:tc>
          <w:tcPr>
            <w:tcW w:type="dxa" w:w="950"/>
          </w:tcPr>
          <w:p>
            <w:pPr>
              <w:keepNext/>
              <w:pStyle w:val="Compact"/>
              <w:jc w:val="right"/>
            </w:pPr>
            <w:r>
              <w:t xml:space="preserve">≤ 0.012</w:t>
            </w:r>
          </w:p>
        </w:tc>
      </w:tr>
      <w:tr>
        <w:trPr>
          <w:cantSplit/>
        </w:trPr>
        <w:tc>
          <w:tcPr>
            <w:tcW w:type="dxa" w:w="2633"/>
          </w:tcPr>
          <w:p>
            <w:pPr>
              <w:keepNext/>
              <w:pStyle w:val="Compact"/>
              <w:jc w:val="left"/>
            </w:pPr>
            <w:r>
              <w:t xml:space="preserve">2, st36</w:t>
            </w:r>
          </w:p>
        </w:tc>
        <w:tc>
          <w:tcPr>
            <w:tcW w:type="dxa" w:w="804"/>
          </w:tcPr>
          <w:p>
            <w:pPr>
              <w:keepNext/>
              <w:pStyle w:val="Compact"/>
              <w:jc w:val="right"/>
            </w:pPr>
            <w:r>
              <w:t xml:space="preserve">8</w:t>
            </w:r>
          </w:p>
        </w:tc>
        <w:tc>
          <w:tcPr>
            <w:tcW w:type="dxa" w:w="1755"/>
          </w:tcPr>
          <w:p>
            <w:pPr>
              <w:keepNext/>
              <w:pStyle w:val="Compact"/>
              <w:jc w:val="right"/>
            </w:pPr>
            <w:r>
              <w:t xml:space="preserve">−5.97 (−6.57, −5.38)</w:t>
            </w:r>
          </w:p>
        </w:tc>
        <w:tc>
          <w:tcPr>
            <w:tcW w:type="dxa" w:w="1536"/>
          </w:tcPr>
          <w:p>
            <w:pPr>
              <w:keepNext/>
              <w:pStyle w:val="Compact"/>
              <w:jc w:val="right"/>
            </w:pPr>
            <w:r>
              <w:t xml:space="preserve">12.0</w:t>
            </w:r>
          </w:p>
        </w:tc>
        <w:tc>
          <w:tcPr>
            <w:tcW w:type="dxa" w:w="1389"/>
          </w:tcPr>
          <w:p>
            <w:pPr>
              <w:keepNext/>
              <w:pStyle w:val="Compact"/>
              <w:jc w:val="right"/>
            </w:pPr>
            <w:r>
              <w:t xml:space="preserve">16.5</w:t>
            </w:r>
          </w:p>
        </w:tc>
        <w:tc>
          <w:tcPr>
            <w:tcW w:type="dxa" w:w="950"/>
          </w:tcPr>
          <w:p>
            <w:pPr>
              <w:keepNext/>
              <w:pStyle w:val="Compact"/>
              <w:jc w:val="right"/>
            </w:pPr>
            <w:r>
              <w:t xml:space="preserve">0.73</w:t>
            </w:r>
          </w:p>
        </w:tc>
      </w:tr>
      <w:tr>
        <w:trPr>
          <w:cantSplit/>
        </w:trPr>
        <w:tc>
          <w:tcPr>
            <w:tcW w:type="dxa" w:w="2633"/>
          </w:tcPr>
          <w:p>
            <w:pPr>
              <w:keepNext/>
              <w:pStyle w:val="Compact"/>
              <w:jc w:val="left"/>
            </w:pPr>
            <w:r>
              <w:t xml:space="preserve">2, gauge average (4 gauges)</w:t>
            </w:r>
          </w:p>
        </w:tc>
        <w:tc>
          <w:tcPr>
            <w:tcW w:type="dxa" w:w="804"/>
          </w:tcPr>
          <w:p>
            <w:pPr>
              <w:keepNext/>
              <w:pStyle w:val="Compact"/>
              <w:jc w:val="right"/>
            </w:pPr>
            <w:r>
              <w:t xml:space="preserve">8</w:t>
            </w:r>
          </w:p>
        </w:tc>
        <w:tc>
          <w:tcPr>
            <w:tcW w:type="dxa" w:w="1755"/>
          </w:tcPr>
          <w:p>
            <w:pPr>
              <w:keepNext/>
              <w:pStyle w:val="Compact"/>
              <w:jc w:val="right"/>
            </w:pPr>
            <w:r>
              <w:t xml:space="preserve">−4.12 (−4.62, −3.63)</w:t>
            </w:r>
          </w:p>
        </w:tc>
        <w:tc>
          <w:tcPr>
            <w:tcW w:type="dxa" w:w="1536"/>
          </w:tcPr>
          <w:p>
            <w:pPr>
              <w:keepNext/>
              <w:pStyle w:val="Compact"/>
              <w:jc w:val="right"/>
            </w:pPr>
            <w:r>
              <w:t xml:space="preserve">14.4</w:t>
            </w:r>
          </w:p>
        </w:tc>
        <w:tc>
          <w:tcPr>
            <w:tcW w:type="dxa" w:w="1389"/>
          </w:tcPr>
          <w:p>
            <w:pPr>
              <w:keepNext/>
              <w:pStyle w:val="Compact"/>
              <w:jc w:val="right"/>
            </w:pPr>
            <w:r>
              <w:t xml:space="preserve">20.2</w:t>
            </w:r>
          </w:p>
        </w:tc>
        <w:tc>
          <w:tcPr>
            <w:tcW w:type="dxa" w:w="950"/>
          </w:tcPr>
          <w:p>
            <w:pPr>
              <w:keepNext/>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keepLines/>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keepNext/>
              <w:pStyle w:val="Compact"/>
              <w:jc w:val="left"/>
            </w:pPr>
            <w:r>
              <w:t xml:space="preserve">Day, channel</w:t>
            </w:r>
          </w:p>
        </w:tc>
        <w:tc>
          <w:tcPr>
            <w:tcW w:type="dxa" w:w="2604"/>
            <w:tcBorders>
              <w:top w:val="nil"/>
              <w:left w:val="nil"/>
              <w:bottom w:val="single" w:sz="6" w:space="0" w:color="000000"/>
              <w:right w:val="nil"/>
            </w:tcBorders>
          </w:tcPr>
          <w:p>
            <w:pPr>
              <w:keepNext/>
              <w:pStyle w:val="Compact"/>
              <w:jc w:val="right"/>
            </w:pPr>
            <w:r>
              <w:t xml:space="preserve">Ratio (95 % CI)</w:t>
            </w:r>
          </w:p>
        </w:tc>
        <w:tc>
          <w:tcPr>
            <w:tcW w:type="dxa" w:w="3232"/>
            <w:tcBorders>
              <w:top w:val="nil"/>
              <w:left w:val="nil"/>
              <w:bottom w:val="single" w:sz="6" w:space="0" w:color="000000"/>
              <w:right w:val="nil"/>
            </w:tcBorders>
          </w:tcPr>
          <w:p>
            <w:pPr>
              <w:keepNext/>
              <w:pStyle w:val="Compact"/>
              <w:jc w:val="left"/>
            </w:pPr>
            <w:r>
              <w:t xml:space="preserve">Equivalence</w:t>
            </w:r>
          </w:p>
        </w:tc>
      </w:tr>
      <w:tr>
        <w:trPr>
          <w:cantSplit/>
        </w:trPr>
        <w:tc>
          <w:tcPr>
            <w:tcW w:type="dxa" w:w="3232"/>
          </w:tcPr>
          <w:p>
            <w:pPr>
              <w:keepNext/>
              <w:pStyle w:val="Compact"/>
              <w:jc w:val="left"/>
            </w:pPr>
            <w:r>
              <w:t xml:space="preserve">1, ch11 (best)</w:t>
            </w:r>
          </w:p>
        </w:tc>
        <w:tc>
          <w:tcPr>
            <w:tcW w:type="dxa" w:w="2604"/>
          </w:tcPr>
          <w:p>
            <w:pPr>
              <w:keepNext/>
              <w:pStyle w:val="Compact"/>
              <w:jc w:val="right"/>
            </w:pPr>
            <w:r>
              <w:t xml:space="preserve">0.996 (0.874–1.136)</w:t>
            </w:r>
          </w:p>
        </w:tc>
        <w:tc>
          <w:tcPr>
            <w:tcW w:type="dxa" w:w="3232"/>
          </w:tcPr>
          <w:p>
            <w:pPr>
              <w:keepNext/>
              <w:pStyle w:val="Compact"/>
              <w:jc w:val="left"/>
            </w:pPr>
            <w:r>
              <w:t xml:space="preserve">shown within ±10 %</w:t>
            </w:r>
          </w:p>
        </w:tc>
      </w:tr>
      <w:tr>
        <w:trPr>
          <w:cantSplit/>
        </w:trPr>
        <w:tc>
          <w:tcPr>
            <w:tcW w:type="dxa" w:w="3232"/>
          </w:tcPr>
          <w:p>
            <w:pPr>
              <w:keepNext/>
              <w:pStyle w:val="Compact"/>
              <w:jc w:val="left"/>
            </w:pPr>
            <w:r>
              <w:t xml:space="preserve">1, gauge average (4 wheel-path gauges)</w:t>
            </w:r>
          </w:p>
        </w:tc>
        <w:tc>
          <w:tcPr>
            <w:tcW w:type="dxa" w:w="2604"/>
          </w:tcPr>
          <w:p>
            <w:pPr>
              <w:keepNext/>
              <w:pStyle w:val="Compact"/>
              <w:jc w:val="right"/>
            </w:pPr>
            <w:r>
              <w:t xml:space="preserve">0.955 (0.863–1.057)</w:t>
            </w:r>
          </w:p>
        </w:tc>
        <w:tc>
          <w:tcPr>
            <w:tcW w:type="dxa" w:w="3232"/>
          </w:tcPr>
          <w:p>
            <w:pPr>
              <w:keepNext/>
              <w:pStyle w:val="Compact"/>
              <w:jc w:val="left"/>
            </w:pPr>
            <w:r>
              <w:t xml:space="preserve">shown only within ±11.8 %</w:t>
            </w:r>
          </w:p>
        </w:tc>
      </w:tr>
      <w:tr>
        <w:trPr>
          <w:cantSplit/>
        </w:trPr>
        <w:tc>
          <w:tcPr>
            <w:tcW w:type="dxa" w:w="3232"/>
          </w:tcPr>
          <w:p>
            <w:pPr>
              <w:keepNext/>
              <w:pStyle w:val="Compact"/>
              <w:jc w:val="left"/>
            </w:pPr>
            <w:r>
              <w:t xml:space="preserve">1, ch1, ch2, ch8, ch9</w:t>
            </w:r>
          </w:p>
        </w:tc>
        <w:tc>
          <w:tcPr>
            <w:tcW w:type="dxa" w:w="2604"/>
          </w:tcPr>
          <w:p>
            <w:pPr>
              <w:keepNext/>
              <w:pStyle w:val="Compact"/>
              <w:jc w:val="right"/>
            </w:pPr>
            <w:r>
              <w:t xml:space="preserve">0.740–0.783</w:t>
            </w:r>
          </w:p>
        </w:tc>
        <w:tc>
          <w:tcPr>
            <w:tcW w:type="dxa" w:w="3232"/>
          </w:tcPr>
          <w:p>
            <w:pPr>
              <w:keepNext/>
              <w:pStyle w:val="Compact"/>
              <w:jc w:val="left"/>
            </w:pPr>
            <w:r>
              <w:t xml:space="preserve">invariance rejected (CIs exclude 1)</w:t>
            </w:r>
          </w:p>
        </w:tc>
      </w:tr>
      <w:tr>
        <w:trPr>
          <w:cantSplit/>
        </w:trPr>
        <w:tc>
          <w:tcPr>
            <w:tcW w:type="dxa" w:w="3232"/>
          </w:tcPr>
          <w:p>
            <w:pPr>
              <w:keepNext/>
              <w:pStyle w:val="Compact"/>
              <w:jc w:val="left"/>
            </w:pPr>
            <w:r>
              <w:t xml:space="preserve">2, st36</w:t>
            </w:r>
          </w:p>
        </w:tc>
        <w:tc>
          <w:tcPr>
            <w:tcW w:type="dxa" w:w="2604"/>
          </w:tcPr>
          <w:p>
            <w:pPr>
              <w:keepNext/>
              <w:pStyle w:val="Compact"/>
              <w:jc w:val="right"/>
            </w:pPr>
            <w:r>
              <w:t xml:space="preserve">1.005 (0.735–1.375)</w:t>
            </w:r>
          </w:p>
        </w:tc>
        <w:tc>
          <w:tcPr>
            <w:tcW w:type="dxa" w:w="3232"/>
          </w:tcPr>
          <w:p>
            <w:pPr>
              <w:keepNext/>
              <w:pStyle w:val="Compact"/>
              <w:jc w:val="left"/>
            </w:pPr>
            <w:r>
              <w:t xml:space="preserve">not shown</w:t>
            </w:r>
          </w:p>
        </w:tc>
      </w:tr>
      <w:tr>
        <w:trPr>
          <w:cantSplit/>
        </w:trPr>
        <w:tc>
          <w:tcPr>
            <w:tcW w:type="dxa" w:w="3232"/>
          </w:tcPr>
          <w:p>
            <w:pPr>
              <w:keepNext/>
              <w:pStyle w:val="Compact"/>
              <w:jc w:val="left"/>
            </w:pPr>
            <w:r>
              <w:t xml:space="preserve">2, gauge average (4 gauges)</w:t>
            </w:r>
          </w:p>
        </w:tc>
        <w:tc>
          <w:tcPr>
            <w:tcW w:type="dxa" w:w="2604"/>
          </w:tcPr>
          <w:p>
            <w:pPr>
              <w:keepNext/>
              <w:pStyle w:val="Compact"/>
              <w:jc w:val="right"/>
            </w:pPr>
            <w:r>
              <w:t xml:space="preserve">0.978 (0.697–1.374)</w:t>
            </w:r>
          </w:p>
        </w:tc>
        <w:tc>
          <w:tcPr>
            <w:tcW w:type="dxa" w:w="3232"/>
          </w:tcPr>
          <w:p>
            <w:pPr>
              <w:keepNext/>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keepLines/>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keepNext/>
              <w:pStyle w:val="Compact"/>
              <w:jc w:val="left"/>
            </w:pPr>
            <w:r>
              <w:t xml:space="preserve">Estimator</w:t>
            </w:r>
          </w:p>
        </w:tc>
        <w:tc>
          <w:tcPr>
            <w:tcW w:type="dxa" w:w="2356"/>
            <w:tcBorders>
              <w:top w:val="nil"/>
              <w:left w:val="nil"/>
              <w:bottom w:val="single" w:sz="6" w:space="0" w:color="000000"/>
              <w:right w:val="nil"/>
            </w:tcBorders>
          </w:tcPr>
          <w:p>
            <w:pPr>
              <w:keepNext/>
              <w:pStyle w:val="Compact"/>
              <w:jc w:val="right"/>
            </w:pPr>
            <w:r>
              <w:t xml:space="preserve">Day 2, leave-one-run-out</w:t>
            </w:r>
          </w:p>
        </w:tc>
        <w:tc>
          <w:tcPr>
            <w:tcW w:type="dxa" w:w="840"/>
            <w:tcBorders>
              <w:top w:val="nil"/>
              <w:left w:val="nil"/>
              <w:bottom w:val="single" w:sz="6" w:space="0" w:color="000000"/>
              <w:right w:val="nil"/>
            </w:tcBorders>
          </w:tcPr>
          <w:p>
            <w:pPr>
              <w:keepNext/>
              <w:pStyle w:val="Compact"/>
              <w:jc w:val="right"/>
            </w:pPr>
            <w:r>
              <w:t xml:space="preserve">Day 2, LOTO</w:t>
            </w:r>
          </w:p>
        </w:tc>
        <w:tc>
          <w:tcPr>
            <w:tcW w:type="dxa" w:w="1592"/>
            <w:tcBorders>
              <w:top w:val="nil"/>
              <w:left w:val="nil"/>
              <w:bottom w:val="single" w:sz="6" w:space="0" w:color="000000"/>
              <w:right w:val="nil"/>
            </w:tcBorders>
          </w:tcPr>
          <w:p>
            <w:pPr>
              <w:keepNext/>
              <w:pStyle w:val="Compact"/>
              <w:jc w:val="right"/>
            </w:pPr>
            <w:r>
              <w:t xml:space="preserve">Day 1, 12 gauges</w:t>
            </w:r>
          </w:p>
        </w:tc>
        <w:tc>
          <w:tcPr>
            <w:tcW w:type="dxa" w:w="1987"/>
            <w:tcBorders>
              <w:top w:val="nil"/>
              <w:left w:val="nil"/>
              <w:bottom w:val="single" w:sz="6" w:space="0" w:color="000000"/>
              <w:right w:val="nil"/>
            </w:tcBorders>
          </w:tcPr>
          <w:p>
            <w:pPr>
              <w:keepNext/>
              <w:pStyle w:val="Compact"/>
              <w:jc w:val="right"/>
            </w:pPr>
            <w:r>
              <w:t xml:space="preserve">Day 1, 4 wheel-path gauges</w:t>
            </w:r>
          </w:p>
        </w:tc>
      </w:tr>
      <w:tr>
        <w:trPr>
          <w:cantSplit/>
        </w:trPr>
        <w:tc>
          <w:tcPr>
            <w:tcW w:type="dxa" w:w="2292"/>
          </w:tcPr>
          <w:p>
            <w:pPr>
              <w:keepNext/>
              <w:pStyle w:val="Compact"/>
              <w:jc w:val="left"/>
            </w:pPr>
            <w:r>
              <w:t xml:space="preserve">Best single gauge (chosen after the fact)</w:t>
            </w:r>
          </w:p>
        </w:tc>
        <w:tc>
          <w:tcPr>
            <w:tcW w:type="dxa" w:w="2356"/>
          </w:tcPr>
          <w:p>
            <w:pPr>
              <w:keepNext/>
              <w:pStyle w:val="Compact"/>
              <w:jc w:val="right"/>
            </w:pPr>
            <w:r>
              <w:t xml:space="preserve">8.4 (2.9–15.3)</w:t>
            </w:r>
          </w:p>
        </w:tc>
        <w:tc>
          <w:tcPr>
            <w:tcW w:type="dxa" w:w="840"/>
          </w:tcPr>
          <w:p>
            <w:pPr>
              <w:keepNext/>
              <w:pStyle w:val="Compact"/>
              <w:jc w:val="right"/>
            </w:pPr>
            <w:r>
              <w:t xml:space="preserve">7.6</w:t>
            </w:r>
          </w:p>
        </w:tc>
        <w:tc>
          <w:tcPr>
            <w:tcW w:type="dxa" w:w="1592"/>
          </w:tcPr>
          <w:p>
            <w:pPr>
              <w:keepNext/>
              <w:pStyle w:val="Compact"/>
              <w:jc w:val="right"/>
            </w:pPr>
            <w:r>
              <w:t xml:space="preserve">4.8 (1.8–7.9)</w:t>
            </w:r>
          </w:p>
        </w:tc>
        <w:tc>
          <w:tcPr>
            <w:tcW w:type="dxa" w:w="1987"/>
          </w:tcPr>
          <w:p>
            <w:pPr>
              <w:keepNext/>
              <w:pStyle w:val="Compact"/>
              <w:jc w:val="right"/>
            </w:pPr>
            <w:r>
              <w:t xml:space="preserve">4.8 (1.8–7.9)</w:t>
            </w:r>
          </w:p>
        </w:tc>
      </w:tr>
      <w:tr>
        <w:trPr>
          <w:cantSplit/>
        </w:trPr>
        <w:tc>
          <w:tcPr>
            <w:tcW w:type="dxa" w:w="2292"/>
          </w:tcPr>
          <w:p>
            <w:pPr>
              <w:keepNext/>
              <w:pStyle w:val="Compact"/>
              <w:jc w:val="left"/>
            </w:pPr>
            <w:r>
              <w:t xml:space="preserve">Worst single gauge</w:t>
            </w:r>
          </w:p>
        </w:tc>
        <w:tc>
          <w:tcPr>
            <w:tcW w:type="dxa" w:w="2356"/>
          </w:tcPr>
          <w:p>
            <w:pPr>
              <w:keepNext/>
              <w:pStyle w:val="Compact"/>
              <w:jc w:val="right"/>
            </w:pPr>
            <w:r>
              <w:t xml:space="preserve">27.9 (12.9–44.5)</w:t>
            </w:r>
          </w:p>
        </w:tc>
        <w:tc>
          <w:tcPr>
            <w:tcW w:type="dxa" w:w="840"/>
          </w:tcPr>
          <w:p>
            <w:pPr>
              <w:keepNext/>
              <w:pStyle w:val="Compact"/>
              <w:jc w:val="right"/>
            </w:pPr>
            <w:r>
              <w:t xml:space="preserve">24.3</w:t>
            </w:r>
          </w:p>
        </w:tc>
        <w:tc>
          <w:tcPr>
            <w:tcW w:type="dxa" w:w="1592"/>
          </w:tcPr>
          <w:p>
            <w:pPr>
              <w:keepNext/>
              <w:pStyle w:val="Compact"/>
              <w:jc w:val="right"/>
            </w:pPr>
            <w:r>
              <w:t xml:space="preserve">17.6 (11.0–23.4)</w:t>
            </w:r>
          </w:p>
        </w:tc>
        <w:tc>
          <w:tcPr>
            <w:tcW w:type="dxa" w:w="1987"/>
          </w:tcPr>
          <w:p>
            <w:pPr>
              <w:keepNext/>
              <w:pStyle w:val="Compact"/>
              <w:jc w:val="right"/>
            </w:pPr>
            <w:r>
              <w:t xml:space="preserve">12.1</w:t>
            </w:r>
          </w:p>
        </w:tc>
      </w:tr>
      <w:tr>
        <w:trPr>
          <w:cantSplit/>
        </w:trPr>
        <w:tc>
          <w:tcPr>
            <w:tcW w:type="dxa" w:w="2292"/>
          </w:tcPr>
          <w:p>
            <w:pPr>
              <w:keepNext/>
              <w:pStyle w:val="Compact"/>
              <w:jc w:val="left"/>
            </w:pPr>
            <w:r>
              <w:t xml:space="preserve">Gauge average</w:t>
            </w:r>
          </w:p>
        </w:tc>
        <w:tc>
          <w:tcPr>
            <w:tcW w:type="dxa" w:w="2356"/>
          </w:tcPr>
          <w:p>
            <w:pPr>
              <w:keepNext/>
              <w:pStyle w:val="Compact"/>
              <w:jc w:val="right"/>
            </w:pPr>
            <w:r>
              <w:t xml:space="preserve">11.9 (6.0–18.6)</w:t>
            </w:r>
          </w:p>
        </w:tc>
        <w:tc>
          <w:tcPr>
            <w:tcW w:type="dxa" w:w="840"/>
          </w:tcPr>
          <w:p>
            <w:pPr>
              <w:keepNext/>
              <w:pStyle w:val="Compact"/>
              <w:jc w:val="right"/>
            </w:pPr>
            <w:r>
              <w:t xml:space="preserve">11.1</w:t>
            </w:r>
          </w:p>
        </w:tc>
        <w:tc>
          <w:tcPr>
            <w:tcW w:type="dxa" w:w="1592"/>
          </w:tcPr>
          <w:p>
            <w:pPr>
              <w:keepNext/>
              <w:pStyle w:val="Compact"/>
              <w:jc w:val="right"/>
            </w:pPr>
            <w:r>
              <w:t xml:space="preserve">5.3 (2.5–7.8)</w:t>
            </w:r>
          </w:p>
        </w:tc>
        <w:tc>
          <w:tcPr>
            <w:tcW w:type="dxa" w:w="1987"/>
          </w:tcPr>
          <w:p>
            <w:pPr>
              <w:keepNext/>
              <w:pStyle w:val="Compact"/>
              <w:jc w:val="right"/>
            </w:pPr>
            <w:r>
              <w:t xml:space="preserve">5.4 (3.3–7.4)</w:t>
            </w:r>
          </w:p>
        </w:tc>
      </w:tr>
      <w:tr>
        <w:trPr>
          <w:cantSplit/>
        </w:trPr>
        <w:tc>
          <w:tcPr>
            <w:tcW w:type="dxa" w:w="2292"/>
          </w:tcPr>
          <w:p>
            <w:pPr>
              <w:keepNext/>
              <w:pStyle w:val="Compact"/>
              <w:jc w:val="left"/>
            </w:pPr>
            <w:r>
              <w:t xml:space="preserve">GLS, diagonal</w:t>
            </w:r>
            <w:r>
              <w:t xml:space="preserve"> </w:t>
            </w:r>
            <m:oMath>
              <m:r>
                <m:t>Σ</m:t>
              </m:r>
            </m:oMath>
          </w:p>
        </w:tc>
        <w:tc>
          <w:tcPr>
            <w:tcW w:type="dxa" w:w="2356"/>
          </w:tcPr>
          <w:p>
            <w:pPr>
              <w:keepNext/>
              <w:pStyle w:val="Compact"/>
              <w:jc w:val="right"/>
            </w:pPr>
            <w:r>
              <w:t xml:space="preserve">11.4 (6.0–18.0)</w:t>
            </w:r>
          </w:p>
        </w:tc>
        <w:tc>
          <w:tcPr>
            <w:tcW w:type="dxa" w:w="840"/>
          </w:tcPr>
          <w:p>
            <w:pPr>
              <w:keepNext/>
              <w:pStyle w:val="Compact"/>
              <w:jc w:val="right"/>
            </w:pPr>
            <w:r>
              <w:t xml:space="preserve">10.8</w:t>
            </w:r>
          </w:p>
        </w:tc>
        <w:tc>
          <w:tcPr>
            <w:tcW w:type="dxa" w:w="1592"/>
          </w:tcPr>
          <w:p>
            <w:pPr>
              <w:keepNext/>
              <w:pStyle w:val="Compact"/>
              <w:jc w:val="right"/>
            </w:pPr>
            <w:r>
              <w:t xml:space="preserve">5.3 (2.5–8.0)</w:t>
            </w:r>
          </w:p>
        </w:tc>
        <w:tc>
          <w:tcPr>
            <w:tcW w:type="dxa" w:w="1987"/>
          </w:tcPr>
          <w:p>
            <w:pPr>
              <w:keepNext/>
              <w:pStyle w:val="Compact"/>
              <w:jc w:val="right"/>
            </w:pPr>
            <w:r>
              <w:t xml:space="preserve">5.2 (3.3–7.1)</w:t>
            </w:r>
          </w:p>
        </w:tc>
      </w:tr>
      <w:tr>
        <w:trPr>
          <w:cantSplit/>
        </w:trPr>
        <w:tc>
          <w:tcPr>
            <w:tcW w:type="dxa" w:w="2292"/>
          </w:tcPr>
          <w:p>
            <w:pPr>
              <w:keepNext/>
              <w:pStyle w:val="Compact"/>
              <w:jc w:val="left"/>
            </w:pPr>
            <w:r>
              <w:t xml:space="preserve">GLS, measured</w:t>
            </w:r>
            <w:r>
              <w:t xml:space="preserve"> </w:t>
            </w:r>
            <m:oMath>
              <m:r>
                <m:t>Σ</m:t>
              </m:r>
            </m:oMath>
          </w:p>
        </w:tc>
        <w:tc>
          <w:tcPr>
            <w:tcW w:type="dxa" w:w="2356"/>
          </w:tcPr>
          <w:p>
            <w:pPr>
              <w:keepNext/>
              <w:pStyle w:val="Compact"/>
              <w:jc w:val="right"/>
            </w:pPr>
            <w:r>
              <w:t xml:space="preserve">20.4 (12.3–28.8)</w:t>
            </w:r>
          </w:p>
        </w:tc>
        <w:tc>
          <w:tcPr>
            <w:tcW w:type="dxa" w:w="840"/>
          </w:tcPr>
          <w:p>
            <w:pPr>
              <w:keepNext/>
              <w:pStyle w:val="Compact"/>
              <w:jc w:val="right"/>
            </w:pPr>
            <w:r>
              <w:t xml:space="preserve">17.7</w:t>
            </w:r>
          </w:p>
        </w:tc>
        <w:tc>
          <w:tcPr>
            <w:tcW w:type="dxa" w:w="1592"/>
          </w:tcPr>
          <w:p>
            <w:pPr>
              <w:keepNext/>
              <w:pStyle w:val="Compact"/>
              <w:jc w:val="right"/>
            </w:pPr>
            <w:r>
              <w:t xml:space="preserve">5.8 (3.5–8.1)</w:t>
            </w:r>
          </w:p>
        </w:tc>
        <w:tc>
          <w:tcPr>
            <w:tcW w:type="dxa" w:w="1987"/>
          </w:tcPr>
          <w:p>
            <w:pPr>
              <w:keepNext/>
              <w:pStyle w:val="Compact"/>
              <w:jc w:val="right"/>
            </w:pPr>
            <w:r>
              <w:t xml:space="preserve">4.9 (3.0–6.9)</w:t>
            </w:r>
          </w:p>
        </w:tc>
      </w:tr>
      <w:tr>
        <w:trPr>
          <w:cantSplit/>
        </w:trPr>
        <w:tc>
          <w:tcPr>
            <w:tcW w:type="dxa" w:w="2292"/>
          </w:tcPr>
          <w:p>
            <w:pPr>
              <w:keepNext/>
              <w:pStyle w:val="Compact"/>
              <w:jc w:val="left"/>
            </w:pPr>
            <w:r>
              <w:t xml:space="preserve">Zero-sum, measured</w:t>
            </w:r>
            <w:r>
              <w:t xml:space="preserve"> </w:t>
            </w:r>
            <m:oMath>
              <m:r>
                <m:t>Σ</m:t>
              </m:r>
            </m:oMath>
          </w:p>
        </w:tc>
        <w:tc>
          <w:tcPr>
            <w:tcW w:type="dxa" w:w="2356"/>
          </w:tcPr>
          <w:p>
            <w:pPr>
              <w:keepNext/>
              <w:pStyle w:val="Compact"/>
              <w:jc w:val="right"/>
            </w:pPr>
            <w:r>
              <w:t xml:space="preserve">20.3 (12.4–28.6)</w:t>
            </w:r>
          </w:p>
        </w:tc>
        <w:tc>
          <w:tcPr>
            <w:tcW w:type="dxa" w:w="840"/>
          </w:tcPr>
          <w:p>
            <w:pPr>
              <w:keepNext/>
              <w:pStyle w:val="Compact"/>
              <w:jc w:val="right"/>
            </w:pPr>
            <w:r>
              <w:t xml:space="preserve">18.0</w:t>
            </w:r>
          </w:p>
        </w:tc>
        <w:tc>
          <w:tcPr>
            <w:tcW w:type="dxa" w:w="1592"/>
          </w:tcPr>
          <w:p>
            <w:pPr>
              <w:keepNext/>
              <w:pStyle w:val="Compact"/>
              <w:jc w:val="right"/>
            </w:pPr>
            <w:r>
              <w:t xml:space="preserve">6.0 (2.9–9.3)</w:t>
            </w:r>
          </w:p>
        </w:tc>
        <w:tc>
          <w:tcPr>
            <w:tcW w:type="dxa" w:w="1987"/>
          </w:tcPr>
          <w:p>
            <w:pPr>
              <w:keepNext/>
              <w:pStyle w:val="Compact"/>
              <w:jc w:val="right"/>
            </w:pPr>
            <w:r>
              <w:t xml:space="preserve">8.3 (3.9–13.4)</w:t>
            </w:r>
          </w:p>
        </w:tc>
      </w:tr>
      <w:tr>
        <w:trPr>
          <w:cantSplit/>
        </w:trPr>
        <w:tc>
          <w:tcPr>
            <w:tcW w:type="dxa" w:w="2292"/>
          </w:tcPr>
          <w:p>
            <w:pPr>
              <w:keepNext/>
              <w:pStyle w:val="Compact"/>
              <w:jc w:val="left"/>
            </w:pPr>
            <w:r>
              <w:t xml:space="preserve">Zero-sum,</w:t>
            </w:r>
            <w:r>
              <w:t xml:space="preserve"> </w:t>
            </w:r>
            <m:oMath>
              <m:r>
                <m:t>Σ</m:t>
              </m:r>
            </m:oMath>
            <w:r>
              <w:t xml:space="preserve"> </w:t>
            </w:r>
            <w:r>
              <w:t xml:space="preserve">= identity matrix</w:t>
            </w:r>
          </w:p>
        </w:tc>
        <w:tc>
          <w:tcPr>
            <w:tcW w:type="dxa" w:w="2356"/>
          </w:tcPr>
          <w:p>
            <w:pPr>
              <w:keepNext/>
              <w:pStyle w:val="Compact"/>
              <w:jc w:val="right"/>
            </w:pPr>
            <w:r>
              <w:t xml:space="preserve">12.3 (6.1–20.2)</w:t>
            </w:r>
          </w:p>
        </w:tc>
        <w:tc>
          <w:tcPr>
            <w:tcW w:type="dxa" w:w="840"/>
          </w:tcPr>
          <w:p>
            <w:pPr>
              <w:keepNext/>
              <w:pStyle w:val="Compact"/>
              <w:jc w:val="right"/>
            </w:pPr>
            <w:r>
              <w:t xml:space="preserve">10.8</w:t>
            </w:r>
          </w:p>
        </w:tc>
        <w:tc>
          <w:tcPr>
            <w:tcW w:type="dxa" w:w="1592"/>
          </w:tcPr>
          <w:p>
            <w:pPr>
              <w:keepNext/>
              <w:pStyle w:val="Compact"/>
              <w:jc w:val="right"/>
            </w:pPr>
            <w:r>
              <w:t xml:space="preserve">13.0 (7.1–19.0)</w:t>
            </w:r>
          </w:p>
        </w:tc>
        <w:tc>
          <w:tcPr>
            <w:tcW w:type="dxa" w:w="1987"/>
          </w:tcPr>
          <w:p>
            <w:pPr>
              <w:keepNext/>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keepLines/>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Correlation of</w:t>
            </w:r>
          </w:p>
        </w:tc>
        <w:tc>
          <w:tcPr>
            <w:tcW w:type="dxa" w:w="2636"/>
            <w:tcBorders>
              <w:top w:val="nil"/>
              <w:left w:val="nil"/>
              <w:bottom w:val="single" w:sz="6" w:space="0" w:color="000000"/>
              <w:right w:val="nil"/>
            </w:tcBorders>
          </w:tcPr>
          <w:p>
            <w:pPr>
              <w:keepNext/>
              <w:pStyle w:val="Compact"/>
              <w:jc w:val="right"/>
            </w:pPr>
            <w:r>
              <w:t xml:space="preserve">Day 2, 4 gauges</w:t>
            </w:r>
          </w:p>
        </w:tc>
        <w:tc>
          <w:tcPr>
            <w:tcW w:type="dxa" w:w="2636"/>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796"/>
          </w:tcPr>
          <w:p>
            <w:pPr>
              <w:keepNext/>
              <w:pStyle w:val="Compact"/>
              <w:jc w:val="left"/>
            </w:pPr>
            <w:r>
              <w:t xml:space="preserve">vehicle-free noise, non-overlapping windows</w:t>
            </w:r>
          </w:p>
        </w:tc>
        <w:tc>
          <w:tcPr>
            <w:tcW w:type="dxa" w:w="2636"/>
          </w:tcPr>
          <w:p>
            <w:pPr>
              <w:keepNext/>
              <w:pStyle w:val="Compact"/>
              <w:jc w:val="right"/>
            </w:pPr>
            <w:r>
              <w:t xml:space="preserve">0.92 (0.83–0.96)</w:t>
            </w:r>
          </w:p>
        </w:tc>
        <w:tc>
          <w:tcPr>
            <w:tcW w:type="dxa" w:w="2636"/>
          </w:tcPr>
          <w:p>
            <w:pPr>
              <w:keepNext/>
              <w:pStyle w:val="Compact"/>
              <w:jc w:val="right"/>
            </w:pPr>
            <w:r>
              <w:t xml:space="preserve">0.42 (0.26–0.54)</w:t>
            </w:r>
          </w:p>
        </w:tc>
      </w:tr>
      <w:tr>
        <w:trPr>
          <w:cantSplit/>
        </w:trPr>
        <w:tc>
          <w:tcPr>
            <w:tcW w:type="dxa" w:w="3796"/>
          </w:tcPr>
          <w:p>
            <w:pPr>
              <w:keepNext/>
              <w:pStyle w:val="Compact"/>
              <w:jc w:val="left"/>
            </w:pPr>
            <w:r>
              <w:t xml:space="preserve">vehicle-free noise, window length of each crossing</w:t>
            </w:r>
          </w:p>
        </w:tc>
        <w:tc>
          <w:tcPr>
            <w:tcW w:type="dxa" w:w="2636"/>
          </w:tcPr>
          <w:p>
            <w:pPr>
              <w:keepNext/>
              <w:pStyle w:val="Compact"/>
              <w:jc w:val="right"/>
            </w:pPr>
            <w:r>
              <w:t xml:space="preserve">0.90</w:t>
            </w:r>
          </w:p>
        </w:tc>
        <w:tc>
          <w:tcPr>
            <w:tcW w:type="dxa" w:w="2636"/>
          </w:tcPr>
          <w:p>
            <w:pPr>
              <w:keepNext/>
              <w:pStyle w:val="Compact"/>
              <w:jc w:val="right"/>
            </w:pPr>
            <w:r>
              <w:t xml:space="preserve">0.42</w:t>
            </w:r>
          </w:p>
        </w:tc>
      </w:tr>
      <w:tr>
        <w:trPr>
          <w:cantSplit/>
        </w:trPr>
        <w:tc>
          <w:tcPr>
            <w:tcW w:type="dxa" w:w="3796"/>
          </w:tcPr>
          <w:p>
            <w:pPr>
              <w:keepNext/>
              <w:pStyle w:val="Compact"/>
              <w:jc w:val="left"/>
            </w:pPr>
            <w:r>
              <w:t xml:space="preserve">crossing residuals</w:t>
            </w:r>
          </w:p>
        </w:tc>
        <w:tc>
          <w:tcPr>
            <w:tcW w:type="dxa" w:w="2636"/>
          </w:tcPr>
          <w:p>
            <w:pPr>
              <w:keepNext/>
              <w:pStyle w:val="Compact"/>
              <w:jc w:val="right"/>
            </w:pPr>
            <w:r>
              <w:t xml:space="preserve">0.63</w:t>
            </w:r>
          </w:p>
        </w:tc>
        <w:tc>
          <w:tcPr>
            <w:tcW w:type="dxa" w:w="2636"/>
          </w:tcPr>
          <w:p>
            <w:pPr>
              <w:keepNext/>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keepLines/>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keepNext/>
              <w:pStyle w:val="Compact"/>
              <w:jc w:val="left"/>
            </w:pPr>
            <w:r>
              <w:t xml:space="preserve">Quantity</w:t>
            </w:r>
          </w:p>
        </w:tc>
        <w:tc>
          <w:tcPr>
            <w:tcW w:type="dxa" w:w="2360"/>
            <w:tcBorders>
              <w:top w:val="nil"/>
              <w:left w:val="nil"/>
              <w:bottom w:val="single" w:sz="6" w:space="0" w:color="000000"/>
              <w:right w:val="nil"/>
            </w:tcBorders>
          </w:tcPr>
          <w:p>
            <w:pPr>
              <w:keepNext/>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keepNext/>
              <w:pStyle w:val="Compact"/>
              <w:jc w:val="right"/>
            </w:pPr>
            <w:r>
              <w:t xml:space="preserve">Gauge average</w:t>
            </w:r>
          </w:p>
        </w:tc>
      </w:tr>
      <w:tr>
        <w:trPr>
          <w:cantSplit/>
        </w:trPr>
        <w:tc>
          <w:tcPr>
            <w:tcW w:type="dxa" w:w="4597"/>
          </w:tcPr>
          <w:p>
            <w:pPr>
              <w:keepNext/>
              <w:pStyle w:val="Compact"/>
              <w:jc w:val="left"/>
            </w:pPr>
            <w:r>
              <w:t xml:space="preserve">SD predicted from the vehicle-free covariance</w:t>
            </w:r>
          </w:p>
        </w:tc>
        <w:tc>
          <w:tcPr>
            <w:tcW w:type="dxa" w:w="2360"/>
          </w:tcPr>
          <w:p>
            <w:pPr>
              <w:keepNext/>
              <w:pStyle w:val="Compact"/>
              <w:jc w:val="right"/>
            </w:pPr>
            <w:r>
              <w:t xml:space="preserve">12.7</w:t>
            </w:r>
          </w:p>
        </w:tc>
        <w:tc>
          <w:tcPr>
            <w:tcW w:type="dxa" w:w="2112"/>
          </w:tcPr>
          <w:p>
            <w:pPr>
              <w:keepNext/>
              <w:pStyle w:val="Compact"/>
              <w:jc w:val="right"/>
            </w:pPr>
            <w:r>
              <w:t xml:space="preserve">19.8</w:t>
            </w:r>
          </w:p>
        </w:tc>
      </w:tr>
      <w:tr>
        <w:trPr>
          <w:cantSplit/>
        </w:trPr>
        <w:tc>
          <w:tcPr>
            <w:tcW w:type="dxa" w:w="4597"/>
          </w:tcPr>
          <w:p>
            <w:pPr>
              <w:keepNext/>
              <w:pStyle w:val="Compact"/>
              <w:jc w:val="left"/>
            </w:pPr>
            <w:r>
              <w:t xml:space="preserve">SD predicted from the covariance of the crossing residuals</w:t>
            </w:r>
          </w:p>
        </w:tc>
        <w:tc>
          <w:tcPr>
            <w:tcW w:type="dxa" w:w="2360"/>
          </w:tcPr>
          <w:p>
            <w:pPr>
              <w:keepNext/>
              <w:pStyle w:val="Compact"/>
              <w:jc w:val="right"/>
            </w:pPr>
            <w:r>
              <w:t xml:space="preserve">21.0</w:t>
            </w:r>
          </w:p>
        </w:tc>
        <w:tc>
          <w:tcPr>
            <w:tcW w:type="dxa" w:w="2112"/>
          </w:tcPr>
          <w:p>
            <w:pPr>
              <w:keepNext/>
              <w:pStyle w:val="Compact"/>
              <w:jc w:val="right"/>
            </w:pPr>
            <w:r>
              <w:t xml:space="preserve">14.6</w:t>
            </w:r>
          </w:p>
        </w:tc>
      </w:tr>
      <w:tr>
        <w:trPr>
          <w:cantSplit/>
        </w:trPr>
        <w:tc>
          <w:tcPr>
            <w:tcW w:type="dxa" w:w="4597"/>
          </w:tcPr>
          <w:p>
            <w:pPr>
              <w:pStyle w:val="Compact"/>
              <w:jc w:val="left"/>
            </w:pPr>
            <w:r>
              <w:t xml:space="preserve">Observed MAE, leave-one-run-out (main-text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nor/>
              </m:rPr>
              <m:t>c</m:t>
            </m:r>
          </m:sub>
        </m:sSub>
      </m:oMath>
      <w:r>
        <w:t xml:space="preserve"> </w:t>
      </w:r>
      <w:r>
        <w:t xml:space="preserve">= 36 057 MPa. Model-form variants:</w:t>
      </w:r>
      <w:r>
        <w:t xml:space="preserve"> </w:t>
      </w:r>
      <m:oMath>
        <m:sSub>
          <m:e>
            <m:r>
              <m:t>L</m:t>
            </m:r>
          </m:e>
          <m:sub>
            <m:r>
              <m:rPr>
                <m:sty m:val="p"/>
                <m:nor/>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keepLines/>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keepLines/>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keepLines/>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keepNext/>
              <w:pStyle w:val="Compact"/>
              <w:jc w:val="right"/>
            </w:pPr>
            <w:r>
              <w:t xml:space="preserve">Truck</w:t>
            </w:r>
          </w:p>
        </w:tc>
        <w:tc>
          <w:tcPr>
            <w:tcW w:type="dxa" w:w="1799"/>
            <w:tcBorders>
              <w:top w:val="nil"/>
              <w:left w:val="nil"/>
              <w:bottom w:val="single" w:sz="6" w:space="0" w:color="000000"/>
              <w:right w:val="nil"/>
            </w:tcBorders>
          </w:tcPr>
          <w:p>
            <w:pPr>
              <w:keepNext/>
              <w:pStyle w:val="Compact"/>
              <w:jc w:val="right"/>
            </w:pPr>
            <w:r>
              <w:t xml:space="preserve">Gross weight (t)</w:t>
            </w:r>
          </w:p>
        </w:tc>
        <w:tc>
          <w:tcPr>
            <w:tcW w:type="dxa" w:w="2473"/>
            <w:tcBorders>
              <w:top w:val="nil"/>
              <w:left w:val="nil"/>
              <w:bottom w:val="single" w:sz="6" w:space="0" w:color="000000"/>
              <w:right w:val="nil"/>
            </w:tcBorders>
          </w:tcPr>
          <w:p>
            <w:pPr>
              <w:keepNext/>
              <w:pStyle w:val="Compact"/>
              <w:jc w:val="right"/>
            </w:pPr>
            <w:r>
              <w:t xml:space="preserve">Front axle spacing (m)</w:t>
            </w:r>
          </w:p>
        </w:tc>
        <w:tc>
          <w:tcPr>
            <w:tcW w:type="dxa" w:w="2361"/>
            <w:tcBorders>
              <w:top w:val="nil"/>
              <w:left w:val="nil"/>
              <w:bottom w:val="single" w:sz="6" w:space="0" w:color="000000"/>
              <w:right w:val="nil"/>
            </w:tcBorders>
          </w:tcPr>
          <w:p>
            <w:pPr>
              <w:keepNext/>
              <w:pStyle w:val="Compact"/>
              <w:jc w:val="right"/>
            </w:pPr>
            <w:r>
              <w:t xml:space="preserve">Rear axle spacing (m)</w:t>
            </w:r>
          </w:p>
        </w:tc>
        <w:tc>
          <w:tcPr>
            <w:tcW w:type="dxa" w:w="1218"/>
            <w:tcBorders>
              <w:top w:val="nil"/>
              <w:left w:val="nil"/>
              <w:bottom w:val="single" w:sz="6" w:space="0" w:color="000000"/>
              <w:right w:val="nil"/>
            </w:tcBorders>
          </w:tcPr>
          <w:p>
            <w:pPr>
              <w:keepNext/>
              <w:pStyle w:val="Compact"/>
              <w:jc w:val="right"/>
            </w:pPr>
            <w:r>
              <w:t xml:space="preserve">Track (m)</w:t>
            </w:r>
          </w:p>
        </w:tc>
      </w:tr>
      <w:tr>
        <w:trPr>
          <w:cantSplit/>
        </w:trPr>
        <w:tc>
          <w:tcPr>
            <w:tcW w:type="dxa" w:w="1218"/>
          </w:tcPr>
          <w:p>
            <w:pPr>
              <w:keepNext/>
              <w:pStyle w:val="Compact"/>
              <w:jc w:val="right"/>
            </w:pPr>
            <w:r>
              <w:t xml:space="preserve">1</w:t>
            </w:r>
          </w:p>
        </w:tc>
        <w:tc>
          <w:tcPr>
            <w:tcW w:type="dxa" w:w="1799"/>
          </w:tcPr>
          <w:p>
            <w:pPr>
              <w:keepNext/>
              <w:pStyle w:val="Compact"/>
              <w:jc w:val="right"/>
            </w:pPr>
            <w:r>
              <w:t xml:space="preserve">24.7</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2</w:t>
            </w:r>
          </w:p>
        </w:tc>
        <w:tc>
          <w:tcPr>
            <w:tcW w:type="dxa" w:w="1799"/>
          </w:tcPr>
          <w:p>
            <w:pPr>
              <w:keepNext/>
              <w:pStyle w:val="Compact"/>
              <w:jc w:val="right"/>
            </w:pPr>
            <w:r>
              <w:t xml:space="preserve">25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3</w:t>
            </w:r>
          </w:p>
        </w:tc>
        <w:tc>
          <w:tcPr>
            <w:tcW w:type="dxa" w:w="1799"/>
          </w:tcPr>
          <w:p>
            <w:pPr>
              <w:keepNext/>
              <w:pStyle w:val="Compact"/>
              <w:jc w:val="right"/>
            </w:pPr>
            <w:r>
              <w:t xml:space="preserve">25.66</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4</w:t>
            </w:r>
          </w:p>
        </w:tc>
        <w:tc>
          <w:tcPr>
            <w:tcW w:type="dxa" w:w="1799"/>
          </w:tcPr>
          <w:p>
            <w:pPr>
              <w:keepNext/>
              <w:pStyle w:val="Compact"/>
              <w:jc w:val="right"/>
            </w:pPr>
            <w:r>
              <w:t xml:space="preserve">25.06</w:t>
            </w:r>
          </w:p>
        </w:tc>
        <w:tc>
          <w:tcPr>
            <w:tcW w:type="dxa" w:w="2473"/>
          </w:tcPr>
          <w:p>
            <w:pPr>
              <w:keepNext/>
              <w:pStyle w:val="Compact"/>
              <w:jc w:val="right"/>
            </w:pPr>
            <w:r>
              <w:t xml:space="preserve">3.85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5</w:t>
            </w:r>
          </w:p>
        </w:tc>
        <w:tc>
          <w:tcPr>
            <w:tcW w:type="dxa" w:w="1799"/>
          </w:tcPr>
          <w:p>
            <w:pPr>
              <w:keepNext/>
              <w:pStyle w:val="Compact"/>
              <w:jc w:val="right"/>
            </w:pPr>
            <w:r>
              <w:t xml:space="preserve">25.05</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6</w:t>
            </w:r>
          </w:p>
        </w:tc>
        <w:tc>
          <w:tcPr>
            <w:tcW w:type="dxa" w:w="1799"/>
          </w:tcPr>
          <w:p>
            <w:pPr>
              <w:keepNext/>
              <w:pStyle w:val="Compact"/>
              <w:jc w:val="right"/>
            </w:pPr>
            <w:r>
              <w:t xml:space="preserve">25.3</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7</w:t>
            </w:r>
          </w:p>
        </w:tc>
        <w:tc>
          <w:tcPr>
            <w:tcW w:type="dxa" w:w="1799"/>
          </w:tcPr>
          <w:p>
            <w:pPr>
              <w:keepNext/>
              <w:pStyle w:val="Compact"/>
              <w:jc w:val="right"/>
            </w:pPr>
            <w:r>
              <w:t xml:space="preserve">25.1</w:t>
            </w:r>
          </w:p>
        </w:tc>
        <w:tc>
          <w:tcPr>
            <w:tcW w:type="dxa" w:w="2473"/>
          </w:tcPr>
          <w:p>
            <w:pPr>
              <w:keepNext/>
              <w:pStyle w:val="Compact"/>
              <w:jc w:val="right"/>
            </w:pPr>
            <w:r>
              <w:t xml:space="preserve">3.7</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8</w:t>
            </w:r>
          </w:p>
        </w:tc>
        <w:tc>
          <w:tcPr>
            <w:tcW w:type="dxa" w:w="1799"/>
          </w:tcPr>
          <w:p>
            <w:pPr>
              <w:keepNext/>
              <w:pStyle w:val="Compact"/>
              <w:jc w:val="right"/>
            </w:pPr>
            <w:r>
              <w:t xml:space="preserve">25.5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9</w:t>
            </w:r>
          </w:p>
        </w:tc>
        <w:tc>
          <w:tcPr>
            <w:tcW w:type="dxa" w:w="1799"/>
          </w:tcPr>
          <w:p>
            <w:pPr>
              <w:keepNext/>
              <w:pStyle w:val="Compact"/>
              <w:jc w:val="right"/>
            </w:pPr>
            <w:r>
              <w:t xml:space="preserve">24.6</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keepLines/>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keepNext/>
              <w:pStyle w:val="Compact"/>
              <w:jc w:val="left"/>
            </w:pPr>
            <w:r>
              <w:t xml:space="preserve">Section</w:t>
            </w:r>
          </w:p>
        </w:tc>
        <w:tc>
          <w:tcPr>
            <w:tcW w:type="dxa" w:w="2233"/>
            <w:tcBorders>
              <w:top w:val="nil"/>
              <w:left w:val="nil"/>
              <w:bottom w:val="single" w:sz="6" w:space="0" w:color="000000"/>
              <w:right w:val="nil"/>
            </w:tcBorders>
          </w:tcPr>
          <w:p>
            <w:pPr>
              <w:keepNext/>
              <w:pStyle w:val="Compact"/>
              <w:jc w:val="left"/>
            </w:pPr>
            <w:r>
              <w:t xml:space="preserve">Measuring point</w:t>
            </w:r>
          </w:p>
        </w:tc>
        <w:tc>
          <w:tcPr>
            <w:tcW w:type="dxa" w:w="1650"/>
            <w:tcBorders>
              <w:top w:val="nil"/>
              <w:left w:val="nil"/>
              <w:bottom w:val="single" w:sz="6" w:space="0" w:color="000000"/>
              <w:right w:val="nil"/>
            </w:tcBorders>
          </w:tcPr>
          <w:p>
            <w:pPr>
              <w:keepNext/>
              <w:pStyle w:val="Compact"/>
              <w:jc w:val="right"/>
            </w:pPr>
            <w:r>
              <w:t xml:space="preserve">Central</w:t>
            </w:r>
          </w:p>
        </w:tc>
        <w:tc>
          <w:tcPr>
            <w:tcW w:type="dxa" w:w="2039"/>
            <w:tcBorders>
              <w:top w:val="nil"/>
              <w:left w:val="nil"/>
              <w:bottom w:val="single" w:sz="6" w:space="0" w:color="000000"/>
              <w:right w:val="nil"/>
            </w:tcBorders>
          </w:tcPr>
          <w:p>
            <w:pPr>
              <w:keepNext/>
              <w:pStyle w:val="Compact"/>
              <w:jc w:val="right"/>
            </w:pPr>
            <w:r>
              <w:t xml:space="preserve">Eccentric</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right edge</w:t>
            </w:r>
          </w:p>
        </w:tc>
        <w:tc>
          <w:tcPr>
            <w:tcW w:type="dxa" w:w="1650"/>
          </w:tcPr>
          <w:p>
            <w:pPr>
              <w:keepNext/>
              <w:pStyle w:val="Compact"/>
              <w:jc w:val="right"/>
            </w:pPr>
            <w:r>
              <w:t xml:space="preserve">5.32</w:t>
            </w:r>
          </w:p>
        </w:tc>
        <w:tc>
          <w:tcPr>
            <w:tcW w:type="dxa" w:w="2039"/>
          </w:tcPr>
          <w:p>
            <w:pPr>
              <w:keepNext/>
              <w:pStyle w:val="Compact"/>
              <w:jc w:val="right"/>
            </w:pPr>
            <w:r>
              <w:t xml:space="preserve">5.91</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centerline</w:t>
            </w:r>
          </w:p>
        </w:tc>
        <w:tc>
          <w:tcPr>
            <w:tcW w:type="dxa" w:w="1650"/>
          </w:tcPr>
          <w:p>
            <w:pPr>
              <w:keepNext/>
              <w:pStyle w:val="Compact"/>
              <w:jc w:val="right"/>
            </w:pPr>
            <w:r>
              <w:t xml:space="preserve">5.56</w:t>
            </w:r>
          </w:p>
        </w:tc>
        <w:tc>
          <w:tcPr>
            <w:tcW w:type="dxa" w:w="2039"/>
          </w:tcPr>
          <w:p>
            <w:pPr>
              <w:keepNext/>
              <w:pStyle w:val="Compact"/>
              <w:jc w:val="right"/>
            </w:pPr>
            <w:r>
              <w:t xml:space="preserve">5.55</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left edge</w:t>
            </w:r>
          </w:p>
        </w:tc>
        <w:tc>
          <w:tcPr>
            <w:tcW w:type="dxa" w:w="1650"/>
          </w:tcPr>
          <w:p>
            <w:pPr>
              <w:keepNext/>
              <w:pStyle w:val="Compact"/>
              <w:jc w:val="right"/>
            </w:pPr>
            <w:r>
              <w:t xml:space="preserve">5.76</w:t>
            </w:r>
          </w:p>
        </w:tc>
        <w:tc>
          <w:tcPr>
            <w:tcW w:type="dxa" w:w="2039"/>
          </w:tcPr>
          <w:p>
            <w:pPr>
              <w:keepNext/>
              <w:pStyle w:val="Compact"/>
              <w:jc w:val="right"/>
            </w:pPr>
            <w:r>
              <w:t xml:space="preserve">5.22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right edge</w:t>
            </w:r>
          </w:p>
        </w:tc>
        <w:tc>
          <w:tcPr>
            <w:tcW w:type="dxa" w:w="1650"/>
          </w:tcPr>
          <w:p>
            <w:pPr>
              <w:keepNext/>
              <w:pStyle w:val="Compact"/>
              <w:jc w:val="right"/>
            </w:pPr>
            <w:r>
              <w:t xml:space="preserve">14.68</w:t>
            </w:r>
          </w:p>
        </w:tc>
        <w:tc>
          <w:tcPr>
            <w:tcW w:type="dxa" w:w="2039"/>
          </w:tcPr>
          <w:p>
            <w:pPr>
              <w:keepNext/>
              <w:pStyle w:val="Compact"/>
              <w:jc w:val="right"/>
            </w:pPr>
            <w:r>
              <w:t xml:space="preserve">14.62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centerline</w:t>
            </w:r>
          </w:p>
        </w:tc>
        <w:tc>
          <w:tcPr>
            <w:tcW w:type="dxa" w:w="1650"/>
          </w:tcPr>
          <w:p>
            <w:pPr>
              <w:keepNext/>
              <w:pStyle w:val="Compact"/>
              <w:jc w:val="right"/>
            </w:pPr>
            <w:r>
              <w:t xml:space="preserve">15.24</w:t>
            </w:r>
          </w:p>
        </w:tc>
        <w:tc>
          <w:tcPr>
            <w:tcW w:type="dxa" w:w="2039"/>
          </w:tcPr>
          <w:p>
            <w:pPr>
              <w:keepNext/>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keepLines/>
      </w:pPr>
      <w:r>
        <w:rPr>
          <w:bCs/>
          <w:b/>
        </w:rPr>
        <w:t xml:space="preserve">Table S13.</w:t>
      </w:r>
      <w:r>
        <w:t xml:space="preserve"> </w:t>
      </w:r>
      <w:r>
        <w:t xml:space="preserve">Admissible set of the Mây Bridge model (base model,</w:t>
      </w:r>
      <w:r>
        <w:t xml:space="preserve"> </w:t>
      </w:r>
      <m:oMath>
        <m:sSub>
          <m:e>
            <m:r>
              <m:t>L</m:t>
            </m:r>
          </m:e>
          <m:sub>
            <m:r>
              <m:rPr>
                <m:sty m:val="p"/>
                <m:nor/>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keepNext/>
              <w:pStyle w:val="Compact"/>
              <w:jc w:val="left"/>
            </w:pPr>
            <w:r>
              <w:t xml:space="preserve">Tolerance, prior</w:t>
            </w:r>
          </w:p>
        </w:tc>
        <w:tc>
          <w:tcPr>
            <w:tcW w:type="dxa" w:w="979"/>
            <w:tcBorders>
              <w:top w:val="nil"/>
              <w:left w:val="nil"/>
              <w:bottom w:val="single" w:sz="6" w:space="0" w:color="000000"/>
              <w:right w:val="nil"/>
            </w:tcBorders>
          </w:tcPr>
          <w:p>
            <w:pPr>
              <w:keepNext/>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keepNext/>
              <w:pStyle w:val="Compact"/>
              <w:jc w:val="right"/>
            </w:pPr>
            <m:oMath>
              <m:r>
                <m:t>α</m:t>
              </m:r>
            </m:oMath>
          </w:p>
        </w:tc>
        <w:tc>
          <w:tcPr>
            <w:tcW w:type="dxa" w:w="1030"/>
            <w:tcBorders>
              <w:top w:val="nil"/>
              <w:left w:val="nil"/>
              <w:bottom w:val="single" w:sz="6" w:space="0" w:color="000000"/>
              <w:right w:val="nil"/>
            </w:tcBorders>
          </w:tcPr>
          <w:p>
            <w:pPr>
              <w:keepNext/>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keepNext/>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max/min</w:t>
            </w:r>
          </w:p>
        </w:tc>
      </w:tr>
      <w:tr>
        <w:trPr>
          <w:cantSplit/>
        </w:trPr>
        <w:tc>
          <w:tcPr>
            <w:tcW w:type="dxa" w:w="1546"/>
          </w:tcPr>
          <w:p>
            <w:pPr>
              <w:keepNext/>
              <w:pStyle w:val="Compact"/>
              <w:jc w:val="left"/>
            </w:pPr>
            <m:oMath>
              <m:r>
                <m:t>τ</m:t>
              </m:r>
            </m:oMath>
            <w:r>
              <w:t xml:space="preserve"> </w:t>
            </w:r>
            <w:r>
              <w:t xml:space="preserve">= 3 %</w:t>
            </w:r>
          </w:p>
        </w:tc>
        <w:tc>
          <w:tcPr>
            <w:tcW w:type="dxa" w:w="979"/>
          </w:tcPr>
          <w:p>
            <w:pPr>
              <w:keepNext/>
              <w:pStyle w:val="Compact"/>
              <w:jc w:val="right"/>
            </w:pPr>
            <w:r>
              <w:t xml:space="preserve">1.0–3.0 × 10⁸</w:t>
            </w:r>
          </w:p>
        </w:tc>
        <w:tc>
          <w:tcPr>
            <w:tcW w:type="dxa" w:w="901"/>
          </w:tcPr>
          <w:p>
            <w:pPr>
              <w:keepNext/>
              <w:pStyle w:val="Compact"/>
              <w:jc w:val="right"/>
            </w:pPr>
            <w:r>
              <w:t xml:space="preserve">0.64–0.80</w:t>
            </w:r>
          </w:p>
        </w:tc>
        <w:tc>
          <w:tcPr>
            <w:tcW w:type="dxa" w:w="1030"/>
          </w:tcPr>
          <w:p>
            <w:pPr>
              <w:keepNext/>
              <w:pStyle w:val="Compact"/>
              <w:jc w:val="right"/>
            </w:pPr>
            <w:r>
              <w:t xml:space="preserve">0.30–0.37</w:t>
            </w:r>
          </w:p>
        </w:tc>
        <w:tc>
          <w:tcPr>
            <w:tcW w:type="dxa" w:w="1339"/>
          </w:tcPr>
          <w:p>
            <w:pPr>
              <w:keepNext/>
              <w:pStyle w:val="Compact"/>
              <w:jc w:val="right"/>
            </w:pPr>
            <w:r>
              <w:t xml:space="preserve">0.38–0.58</w:t>
            </w:r>
          </w:p>
        </w:tc>
        <w:tc>
          <w:tcPr>
            <w:tcW w:type="dxa" w:w="1082"/>
          </w:tcPr>
          <w:p>
            <w:pPr>
              <w:keepNext/>
              <w:pStyle w:val="Compact"/>
              <w:jc w:val="right"/>
            </w:pPr>
            <w:r>
              <w:t xml:space="preserve">9.1 × 10⁻⁵–1.4 × 10⁻⁴</w:t>
            </w:r>
          </w:p>
        </w:tc>
        <w:tc>
          <w:tcPr>
            <w:tcW w:type="dxa" w:w="730"/>
          </w:tcPr>
          <w:p>
            <w:pPr>
              <w:keepNext/>
              <w:pStyle w:val="Compact"/>
              <w:jc w:val="right"/>
            </w:pPr>
            <w:r>
              <w:t xml:space="preserve">1.5</w:t>
            </w:r>
          </w:p>
        </w:tc>
        <w:tc>
          <w:tcPr>
            <w:tcW w:type="dxa" w:w="730"/>
          </w:tcPr>
          <w:p>
            <w:pPr>
              <w:keepNext/>
              <w:pStyle w:val="Compact"/>
              <w:jc w:val="right"/>
            </w:pPr>
            <w:r>
              <w:t xml:space="preserve">3.8–4.3 × 10⁻⁴</w:t>
            </w:r>
          </w:p>
        </w:tc>
        <w:tc>
          <w:tcPr>
            <w:tcW w:type="dxa" w:w="730"/>
          </w:tcPr>
          <w:p>
            <w:pPr>
              <w:keepNext/>
              <w:pStyle w:val="Compact"/>
              <w:jc w:val="right"/>
            </w:pPr>
            <w:r>
              <w:t xml:space="preserve">1.1</w:t>
            </w:r>
          </w:p>
        </w:tc>
      </w:tr>
      <w:tr>
        <w:trPr>
          <w:cantSplit/>
        </w:trPr>
        <w:tc>
          <w:tcPr>
            <w:tcW w:type="dxa" w:w="1546"/>
          </w:tcPr>
          <w:p>
            <w:pPr>
              <w:keepNext/>
              <w:pStyle w:val="Compact"/>
              <w:jc w:val="left"/>
            </w:pPr>
            <m:oMath>
              <m:r>
                <m:t>τ</m:t>
              </m:r>
            </m:oMath>
            <w:r>
              <w:t xml:space="preserve"> </w:t>
            </w:r>
            <w:r>
              <w:t xml:space="preserve">= 4 %</w:t>
            </w:r>
          </w:p>
        </w:tc>
        <w:tc>
          <w:tcPr>
            <w:tcW w:type="dxa" w:w="979"/>
          </w:tcPr>
          <w:p>
            <w:pPr>
              <w:keepNext/>
              <w:pStyle w:val="Compact"/>
              <w:jc w:val="right"/>
            </w:pPr>
            <w:r>
              <w:t xml:space="preserve">4.2 × 10⁷–2.0 × 10⁹</w:t>
            </w:r>
          </w:p>
        </w:tc>
        <w:tc>
          <w:tcPr>
            <w:tcW w:type="dxa" w:w="901"/>
          </w:tcPr>
          <w:p>
            <w:pPr>
              <w:keepNext/>
              <w:pStyle w:val="Compact"/>
              <w:jc w:val="right"/>
            </w:pPr>
            <w:r>
              <w:t xml:space="preserve">0.54–0.98</w:t>
            </w:r>
          </w:p>
        </w:tc>
        <w:tc>
          <w:tcPr>
            <w:tcW w:type="dxa" w:w="1030"/>
          </w:tcPr>
          <w:p>
            <w:pPr>
              <w:keepNext/>
              <w:pStyle w:val="Compact"/>
              <w:jc w:val="right"/>
            </w:pPr>
            <w:r>
              <w:t xml:space="preserve">0.22–0.41</w:t>
            </w:r>
          </w:p>
        </w:tc>
        <w:tc>
          <w:tcPr>
            <w:tcW w:type="dxa" w:w="1339"/>
          </w:tcPr>
          <w:p>
            <w:pPr>
              <w:keepNext/>
              <w:pStyle w:val="Compact"/>
              <w:jc w:val="right"/>
            </w:pPr>
            <w:r>
              <w:t xml:space="preserve">0.23–0.77</w:t>
            </w:r>
          </w:p>
        </w:tc>
        <w:tc>
          <w:tcPr>
            <w:tcW w:type="dxa" w:w="1082"/>
          </w:tcPr>
          <w:p>
            <w:pPr>
              <w:keepNext/>
              <w:pStyle w:val="Compact"/>
              <w:jc w:val="right"/>
            </w:pPr>
            <w:r>
              <w:t xml:space="preserve">5.5 × 10⁻⁵–1.8 × 10⁻⁴</w:t>
            </w:r>
          </w:p>
        </w:tc>
        <w:tc>
          <w:tcPr>
            <w:tcW w:type="dxa" w:w="730"/>
          </w:tcPr>
          <w:p>
            <w:pPr>
              <w:keepNext/>
              <w:pStyle w:val="Compact"/>
              <w:jc w:val="right"/>
            </w:pPr>
            <w:r>
              <w:t xml:space="preserve">3.4</w:t>
            </w:r>
          </w:p>
        </w:tc>
        <w:tc>
          <w:tcPr>
            <w:tcW w:type="dxa" w:w="730"/>
          </w:tcPr>
          <w:p>
            <w:pPr>
              <w:keepNext/>
              <w:pStyle w:val="Compact"/>
              <w:jc w:val="right"/>
            </w:pPr>
            <w:r>
              <w:t xml:space="preserve">3.5–4.8 × 10⁻⁴</w:t>
            </w:r>
          </w:p>
        </w:tc>
        <w:tc>
          <w:tcPr>
            <w:tcW w:type="dxa" w:w="730"/>
          </w:tcPr>
          <w:p>
            <w:pPr>
              <w:keepNext/>
              <w:pStyle w:val="Compact"/>
              <w:jc w:val="right"/>
            </w:pPr>
            <w:r>
              <w:t xml:space="preserve">1.4</w:t>
            </w:r>
          </w:p>
        </w:tc>
      </w:tr>
      <w:tr>
        <w:trPr>
          <w:cantSplit/>
        </w:trPr>
        <w:tc>
          <w:tcPr>
            <w:tcW w:type="dxa" w:w="1546"/>
          </w:tcPr>
          <w:p>
            <w:pPr>
              <w:keepNext/>
              <w:pStyle w:val="Compact"/>
              <w:jc w:val="left"/>
            </w:pPr>
            <m:oMath>
              <m:r>
                <m:t>τ</m:t>
              </m:r>
            </m:oMath>
            <w:r>
              <w:t xml:space="preserve"> </w:t>
            </w:r>
            <w:r>
              <w:t xml:space="preserve">= 5.3 %</w:t>
            </w:r>
          </w:p>
        </w:tc>
        <w:tc>
          <w:tcPr>
            <w:tcW w:type="dxa" w:w="979"/>
          </w:tcPr>
          <w:p>
            <w:pPr>
              <w:keepNext/>
              <w:pStyle w:val="Compact"/>
              <w:jc w:val="right"/>
            </w:pPr>
            <w:r>
              <w:t xml:space="preserve">≥ 1.8 × 10⁷</w:t>
            </w:r>
          </w:p>
        </w:tc>
        <w:tc>
          <w:tcPr>
            <w:tcW w:type="dxa" w:w="901"/>
          </w:tcPr>
          <w:p>
            <w:pPr>
              <w:keepNext/>
              <w:pStyle w:val="Compact"/>
              <w:jc w:val="right"/>
            </w:pPr>
            <w:r>
              <w:t xml:space="preserve">0.51–1.15</w:t>
            </w:r>
          </w:p>
        </w:tc>
        <w:tc>
          <w:tcPr>
            <w:tcW w:type="dxa" w:w="1030"/>
          </w:tcPr>
          <w:p>
            <w:pPr>
              <w:keepNext/>
              <w:pStyle w:val="Compact"/>
              <w:jc w:val="right"/>
            </w:pPr>
            <w:r>
              <w:t xml:space="preserve">0.14–0.42</w:t>
            </w:r>
          </w:p>
        </w:tc>
        <w:tc>
          <w:tcPr>
            <w:tcW w:type="dxa" w:w="1339"/>
          </w:tcPr>
          <w:p>
            <w:pPr>
              <w:keepNext/>
              <w:pStyle w:val="Compact"/>
              <w:jc w:val="right"/>
            </w:pPr>
            <w:r>
              <w:t xml:space="preserve">0.12–0.82</w:t>
            </w:r>
          </w:p>
        </w:tc>
        <w:tc>
          <w:tcPr>
            <w:tcW w:type="dxa" w:w="1082"/>
          </w:tcPr>
          <w:p>
            <w:pPr>
              <w:keepNext/>
              <w:pStyle w:val="Compact"/>
              <w:jc w:val="right"/>
            </w:pPr>
            <w:r>
              <w:t xml:space="preserve">3.0 × 10⁻⁵–2.0 × 10⁻⁴</w:t>
            </w:r>
          </w:p>
        </w:tc>
        <w:tc>
          <w:tcPr>
            <w:tcW w:type="dxa" w:w="730"/>
          </w:tcPr>
          <w:p>
            <w:pPr>
              <w:keepNext/>
              <w:pStyle w:val="Compact"/>
              <w:jc w:val="right"/>
            </w:pPr>
            <w:r>
              <w:t xml:space="preserve">6.6</w:t>
            </w:r>
          </w:p>
        </w:tc>
        <w:tc>
          <w:tcPr>
            <w:tcW w:type="dxa" w:w="730"/>
          </w:tcPr>
          <w:p>
            <w:pPr>
              <w:keepNext/>
              <w:pStyle w:val="Compact"/>
              <w:jc w:val="right"/>
            </w:pPr>
            <w:r>
              <w:t xml:space="preserve">3.3–4.9 × 10⁻⁴</w:t>
            </w:r>
          </w:p>
        </w:tc>
        <w:tc>
          <w:tcPr>
            <w:tcW w:type="dxa" w:w="730"/>
          </w:tcPr>
          <w:p>
            <w:pPr>
              <w:keepNext/>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keepLines/>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keepNext/>
              <w:pStyle w:val="Compact"/>
              <w:jc w:val="left"/>
            </w:pPr>
            <w:r>
              <w:t xml:space="preserve">Span</w:t>
            </w:r>
          </w:p>
        </w:tc>
        <w:tc>
          <w:tcPr>
            <w:tcW w:type="dxa" w:w="3936"/>
            <w:tcBorders>
              <w:top w:val="nil"/>
              <w:left w:val="nil"/>
              <w:bottom w:val="single" w:sz="6" w:space="0" w:color="000000"/>
              <w:right w:val="nil"/>
            </w:tcBorders>
          </w:tcPr>
          <w:p>
            <w:pPr>
              <w:keepNext/>
              <w:pStyle w:val="Compact"/>
              <w:jc w:val="right"/>
            </w:pPr>
            <w:r>
              <w:t xml:space="preserve">Vertical frequency (Hz)</w:t>
            </w:r>
          </w:p>
        </w:tc>
      </w:tr>
      <w:tr>
        <w:trPr>
          <w:cantSplit/>
        </w:trPr>
        <w:tc>
          <w:tcPr>
            <w:tcW w:type="dxa" w:w="5133"/>
          </w:tcPr>
          <w:p>
            <w:pPr>
              <w:keepNext/>
              <w:pStyle w:val="Compact"/>
              <w:jc w:val="left"/>
            </w:pPr>
            <w:r>
              <w:t xml:space="preserve">Side span T5–T6 (55 m; T6 is the other inner pier)</w:t>
            </w:r>
          </w:p>
        </w:tc>
        <w:tc>
          <w:tcPr>
            <w:tcW w:type="dxa" w:w="3936"/>
          </w:tcPr>
          <w:p>
            <w:pPr>
              <w:keepNext/>
              <w:pStyle w:val="Compact"/>
              <w:jc w:val="right"/>
            </w:pPr>
            <w:r>
              <w:t xml:space="preserve">3.43</w:t>
            </w:r>
          </w:p>
        </w:tc>
      </w:tr>
      <w:tr>
        <w:trPr>
          <w:cantSplit/>
        </w:trPr>
        <w:tc>
          <w:tcPr>
            <w:tcW w:type="dxa" w:w="5133"/>
          </w:tcPr>
          <w:p>
            <w:pPr>
              <w:keepNext/>
              <w:pStyle w:val="Compact"/>
              <w:jc w:val="left"/>
            </w:pPr>
            <w:r>
              <w:t xml:space="preserve">Main span T6–T7 (90 m)</w:t>
            </w:r>
          </w:p>
        </w:tc>
        <w:tc>
          <w:tcPr>
            <w:tcW w:type="dxa" w:w="3936"/>
          </w:tcPr>
          <w:p>
            <w:pPr>
              <w:keepNext/>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keepLines/>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nor/>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keepNext/>
              <w:pStyle w:val="Compact"/>
              <w:jc w:val="left"/>
            </w:pPr>
            <w:r>
              <w:t xml:space="preserve">Model</w:t>
            </w:r>
          </w:p>
        </w:tc>
        <w:tc>
          <w:tcPr>
            <w:tcW w:type="dxa" w:w="150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keepNext/>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keepNext/>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keepNext/>
              <w:pStyle w:val="Compact"/>
              <w:jc w:val="right"/>
            </w:pPr>
            <m:oMath>
              <m:r>
                <m:t>R</m:t>
              </m:r>
            </m:oMath>
            <w:r>
              <w:t xml:space="preserve">, N8 at mid side span</w:t>
            </w:r>
          </w:p>
        </w:tc>
        <w:tc>
          <w:tcPr>
            <w:tcW w:type="dxa" w:w="1012"/>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1734"/>
          </w:tcPr>
          <w:p>
            <w:pPr>
              <w:keepNext/>
              <w:pStyle w:val="Compact"/>
              <w:jc w:val="left"/>
            </w:pPr>
            <w:r>
              <w:t xml:space="preserve">Prismatic beam, pinned piers</w:t>
            </w:r>
          </w:p>
        </w:tc>
        <w:tc>
          <w:tcPr>
            <w:tcW w:type="dxa" w:w="1503"/>
          </w:tcPr>
          <w:p>
            <w:pPr>
              <w:keepNext/>
              <w:pStyle w:val="Compact"/>
              <w:jc w:val="right"/>
            </w:pPr>
            <w:r>
              <w:t xml:space="preserve">0.287</w:t>
            </w:r>
          </w:p>
        </w:tc>
        <w:tc>
          <w:tcPr>
            <w:tcW w:type="dxa" w:w="1330"/>
          </w:tcPr>
          <w:p>
            <w:pPr>
              <w:keepNext/>
              <w:pStyle w:val="Compact"/>
              <w:jc w:val="right"/>
            </w:pPr>
            <w:r>
              <w:t xml:space="preserve">0.163</w:t>
            </w:r>
          </w:p>
        </w:tc>
        <w:tc>
          <w:tcPr>
            <w:tcW w:type="dxa" w:w="1204"/>
          </w:tcPr>
          <w:p>
            <w:pPr>
              <w:keepNext/>
              <w:pStyle w:val="Compact"/>
              <w:jc w:val="right"/>
            </w:pPr>
            <w:r>
              <w:t xml:space="preserve">0.755</w:t>
            </w:r>
          </w:p>
        </w:tc>
        <w:tc>
          <w:tcPr>
            <w:tcW w:type="dxa" w:w="1012"/>
          </w:tcPr>
          <w:p>
            <w:pPr>
              <w:keepNext/>
              <w:pStyle w:val="Compact"/>
              <w:jc w:val="right"/>
            </w:pPr>
            <w:r>
              <w:t xml:space="preserve">0.14</w:t>
            </w:r>
          </w:p>
        </w:tc>
        <w:tc>
          <w:tcPr>
            <w:tcW w:type="dxa" w:w="1272"/>
          </w:tcPr>
          <w:p>
            <w:pPr>
              <w:keepNext/>
              <w:pStyle w:val="Compact"/>
              <w:jc w:val="right"/>
            </w:pPr>
            <w:r>
              <w:t xml:space="preserve">0.08</w:t>
            </w:r>
          </w:p>
        </w:tc>
        <w:tc>
          <w:tcPr>
            <w:tcW w:type="dxa" w:w="1012"/>
          </w:tcPr>
          <w:p>
            <w:pPr>
              <w:keepNext/>
              <w:pStyle w:val="Compact"/>
              <w:jc w:val="right"/>
            </w:pPr>
            <w:r>
              <w:t xml:space="preserve">0.70</w:t>
            </w:r>
          </w:p>
        </w:tc>
      </w:tr>
      <w:tr>
        <w:trPr>
          <w:cantSplit/>
        </w:trPr>
        <w:tc>
          <w:tcPr>
            <w:tcW w:type="dxa" w:w="1734"/>
          </w:tcPr>
          <w:p>
            <w:pPr>
              <w:keepNext/>
              <w:pStyle w:val="Compact"/>
              <w:jc w:val="left"/>
            </w:pPr>
            <w:r>
              <w:t xml:space="preserve">Haunched, calibration A</w:t>
            </w:r>
          </w:p>
        </w:tc>
        <w:tc>
          <w:tcPr>
            <w:tcW w:type="dxa" w:w="1503"/>
          </w:tcPr>
          <w:p>
            <w:pPr>
              <w:keepNext/>
              <w:pStyle w:val="Compact"/>
              <w:jc w:val="right"/>
            </w:pPr>
            <w:r>
              <w:t xml:space="preserve">0.181</w:t>
            </w:r>
          </w:p>
        </w:tc>
        <w:tc>
          <w:tcPr>
            <w:tcW w:type="dxa" w:w="1330"/>
          </w:tcPr>
          <w:p>
            <w:pPr>
              <w:keepNext/>
              <w:pStyle w:val="Compact"/>
              <w:jc w:val="right"/>
            </w:pPr>
            <w:r>
              <w:t xml:space="preserve">0.105</w:t>
            </w:r>
          </w:p>
        </w:tc>
        <w:tc>
          <w:tcPr>
            <w:tcW w:type="dxa" w:w="1204"/>
          </w:tcPr>
          <w:p>
            <w:pPr>
              <w:keepNext/>
              <w:pStyle w:val="Compact"/>
              <w:jc w:val="right"/>
            </w:pPr>
            <w:r>
              <w:t xml:space="preserve">0.209</w:t>
            </w:r>
          </w:p>
        </w:tc>
        <w:tc>
          <w:tcPr>
            <w:tcW w:type="dxa" w:w="1012"/>
          </w:tcPr>
          <w:p>
            <w:pPr>
              <w:keepNext/>
              <w:pStyle w:val="Compact"/>
              <w:jc w:val="right"/>
            </w:pPr>
            <w:r>
              <w:t xml:space="preserve">0.18</w:t>
            </w:r>
          </w:p>
        </w:tc>
        <w:tc>
          <w:tcPr>
            <w:tcW w:type="dxa" w:w="1272"/>
          </w:tcPr>
          <w:p>
            <w:pPr>
              <w:keepNext/>
              <w:pStyle w:val="Compact"/>
              <w:jc w:val="right"/>
            </w:pPr>
            <w:r>
              <w:t xml:space="preserve">0.11</w:t>
            </w:r>
          </w:p>
        </w:tc>
        <w:tc>
          <w:tcPr>
            <w:tcW w:type="dxa" w:w="1012"/>
          </w:tcPr>
          <w:p>
            <w:pPr>
              <w:keepNext/>
              <w:pStyle w:val="Compact"/>
              <w:jc w:val="right"/>
            </w:pPr>
            <w:r>
              <w:t xml:space="preserve">0.59</w:t>
            </w:r>
          </w:p>
        </w:tc>
      </w:tr>
      <w:tr>
        <w:trPr>
          <w:cantSplit/>
        </w:trPr>
        <w:tc>
          <w:tcPr>
            <w:tcW w:type="dxa" w:w="1734"/>
          </w:tcPr>
          <w:p>
            <w:pPr>
              <w:keepNext/>
              <w:pStyle w:val="Compact"/>
              <w:jc w:val="left"/>
            </w:pPr>
            <w:r>
              <w:t xml:space="preserve">Haunched, calibration B</w:t>
            </w:r>
          </w:p>
        </w:tc>
        <w:tc>
          <w:tcPr>
            <w:tcW w:type="dxa" w:w="1503"/>
          </w:tcPr>
          <w:p>
            <w:pPr>
              <w:keepNext/>
              <w:pStyle w:val="Compact"/>
              <w:jc w:val="right"/>
            </w:pPr>
            <w:r>
              <w:t xml:space="preserve">0.476ᵃ</w:t>
            </w:r>
          </w:p>
        </w:tc>
        <w:tc>
          <w:tcPr>
            <w:tcW w:type="dxa" w:w="1330"/>
          </w:tcPr>
          <w:p>
            <w:pPr>
              <w:keepNext/>
              <w:pStyle w:val="Compact"/>
              <w:jc w:val="right"/>
            </w:pPr>
            <w:r>
              <w:t xml:space="preserve">0.377</w:t>
            </w:r>
          </w:p>
        </w:tc>
        <w:tc>
          <w:tcPr>
            <w:tcW w:type="dxa" w:w="1204"/>
          </w:tcPr>
          <w:p>
            <w:pPr>
              <w:keepNext/>
              <w:pStyle w:val="Compact"/>
              <w:jc w:val="right"/>
            </w:pPr>
            <w:r>
              <w:t xml:space="preserve">0.234</w:t>
            </w:r>
          </w:p>
        </w:tc>
        <w:tc>
          <w:tcPr>
            <w:tcW w:type="dxa" w:w="1012"/>
          </w:tcPr>
          <w:p>
            <w:pPr>
              <w:keepNext/>
              <w:pStyle w:val="Compact"/>
              <w:jc w:val="right"/>
            </w:pPr>
            <w:r>
              <w:t xml:space="preserve">0.56</w:t>
            </w:r>
          </w:p>
        </w:tc>
        <w:tc>
          <w:tcPr>
            <w:tcW w:type="dxa" w:w="1272"/>
          </w:tcPr>
          <w:p>
            <w:pPr>
              <w:keepNext/>
              <w:pStyle w:val="Compact"/>
              <w:jc w:val="right"/>
            </w:pPr>
            <w:r>
              <w:t xml:space="preserve">0.49</w:t>
            </w:r>
          </w:p>
        </w:tc>
        <w:tc>
          <w:tcPr>
            <w:tcW w:type="dxa" w:w="1012"/>
          </w:tcPr>
          <w:p>
            <w:pPr>
              <w:keepNext/>
              <w:pStyle w:val="Compact"/>
              <w:jc w:val="right"/>
            </w:pPr>
            <w:r>
              <w:t xml:space="preserve">0.77</w:t>
            </w:r>
          </w:p>
        </w:tc>
      </w:tr>
      <w:tr>
        <w:trPr>
          <w:cantSplit/>
        </w:trPr>
        <w:tc>
          <w:tcPr>
            <w:tcW w:type="dxa" w:w="1734"/>
          </w:tcPr>
          <w:p>
            <w:pPr>
              <w:keepNext/>
              <w:pStyle w:val="Compact"/>
              <w:jc w:val="left"/>
            </w:pPr>
            <w:r>
              <w:t xml:space="preserve">Haunched, admissible set (</w:t>
            </w:r>
            <m:oMath>
              <m:r>
                <m:t>τ</m:t>
              </m:r>
            </m:oMath>
            <w:r>
              <w:t xml:space="preserve"> </w:t>
            </w:r>
            <w:r>
              <w:t xml:space="preserve">= 5.3 %)</w:t>
            </w:r>
          </w:p>
        </w:tc>
        <w:tc>
          <w:tcPr>
            <w:tcW w:type="dxa" w:w="1503"/>
          </w:tcPr>
          <w:p>
            <w:pPr>
              <w:keepNext/>
              <w:pStyle w:val="Compact"/>
              <w:jc w:val="right"/>
            </w:pPr>
            <w:r>
              <w:t xml:space="preserve">0.124–0.822ᵇ</w:t>
            </w:r>
          </w:p>
        </w:tc>
        <w:tc>
          <w:tcPr>
            <w:tcW w:type="dxa" w:w="1330"/>
          </w:tcPr>
          <w:p>
            <w:pPr>
              <w:keepNext/>
              <w:pStyle w:val="Compact"/>
              <w:jc w:val="right"/>
            </w:pPr>
            <w:r>
              <w:t xml:space="preserve">–</w:t>
            </w:r>
          </w:p>
        </w:tc>
        <w:tc>
          <w:tcPr>
            <w:tcW w:type="dxa" w:w="1204"/>
          </w:tcPr>
          <w:p>
            <w:pPr>
              <w:keepNext/>
              <w:pStyle w:val="Compact"/>
              <w:jc w:val="right"/>
            </w:pPr>
            <w:r>
              <w:t xml:space="preserve">0.190–0.286</w:t>
            </w:r>
          </w:p>
        </w:tc>
        <w:tc>
          <w:tcPr>
            <w:tcW w:type="dxa" w:w="1012"/>
          </w:tcPr>
          <w:p>
            <w:pPr>
              <w:keepNext/>
              <w:pStyle w:val="Compact"/>
              <w:jc w:val="right"/>
            </w:pPr>
            <w:r>
              <w:t xml:space="preserve">0.13–1.00</w:t>
            </w:r>
          </w:p>
        </w:tc>
        <w:tc>
          <w:tcPr>
            <w:tcW w:type="dxa" w:w="1272"/>
          </w:tcPr>
          <w:p>
            <w:pPr>
              <w:keepNext/>
              <w:pStyle w:val="Compact"/>
              <w:jc w:val="right"/>
            </w:pPr>
            <w:r>
              <w:t xml:space="preserve">–</w:t>
            </w:r>
          </w:p>
        </w:tc>
        <w:tc>
          <w:tcPr>
            <w:tcW w:type="dxa" w:w="1012"/>
          </w:tcPr>
          <w:p>
            <w:pPr>
              <w:keepNext/>
              <w:pStyle w:val="Compact"/>
              <w:jc w:val="right"/>
            </w:pPr>
            <w:r>
              <w:t xml:space="preserve">0.56–1.00</w:t>
            </w:r>
          </w:p>
        </w:tc>
      </w:tr>
      <w:tr>
        <w:trPr>
          <w:cantSplit/>
        </w:trPr>
        <w:tc>
          <w:tcPr>
            <w:tcW w:type="dxa" w:w="1734"/>
          </w:tcPr>
          <w:p>
            <w:pPr>
              <w:keepNext/>
              <w:pStyle w:val="Compact"/>
              <w:jc w:val="left"/>
            </w:pPr>
            <w:r>
              <w:t xml:space="preserve">Haunched, pinned piers</w:t>
            </w:r>
          </w:p>
        </w:tc>
        <w:tc>
          <w:tcPr>
            <w:tcW w:type="dxa" w:w="1503"/>
          </w:tcPr>
          <w:p>
            <w:pPr>
              <w:keepNext/>
              <w:pStyle w:val="Compact"/>
              <w:jc w:val="right"/>
            </w:pPr>
            <w:r>
              <w:t xml:space="preserve">0.030</w:t>
            </w:r>
          </w:p>
        </w:tc>
        <w:tc>
          <w:tcPr>
            <w:tcW w:type="dxa" w:w="1330"/>
          </w:tcPr>
          <w:p>
            <w:pPr>
              <w:keepNext/>
              <w:pStyle w:val="Compact"/>
              <w:jc w:val="right"/>
            </w:pPr>
            <w:r>
              <w:t xml:space="preserve">−0.052</w:t>
            </w:r>
          </w:p>
        </w:tc>
        <w:tc>
          <w:tcPr>
            <w:tcW w:type="dxa" w:w="1204"/>
          </w:tcPr>
          <w:p>
            <w:pPr>
              <w:keepNext/>
              <w:pStyle w:val="Compact"/>
              <w:jc w:val="right"/>
            </w:pPr>
            <w:r>
              <w:t xml:space="preserve">0.248</w:t>
            </w:r>
          </w:p>
        </w:tc>
        <w:tc>
          <w:tcPr>
            <w:tcW w:type="dxa" w:w="1012"/>
          </w:tcPr>
          <w:p>
            <w:pPr>
              <w:keepNext/>
              <w:pStyle w:val="Compact"/>
              <w:jc w:val="right"/>
            </w:pPr>
            <w:r>
              <w:t xml:space="preserve">0.02</w:t>
            </w:r>
          </w:p>
        </w:tc>
        <w:tc>
          <w:tcPr>
            <w:tcW w:type="dxa" w:w="1272"/>
          </w:tcPr>
          <w:p>
            <w:pPr>
              <w:keepNext/>
              <w:pStyle w:val="Compact"/>
              <w:jc w:val="right"/>
            </w:pPr>
            <w:r>
              <w:t xml:space="preserve">−0.04</w:t>
            </w:r>
          </w:p>
        </w:tc>
        <w:tc>
          <w:tcPr>
            <w:tcW w:type="dxa" w:w="1012"/>
          </w:tcPr>
          <w:p>
            <w:pPr>
              <w:keepNext/>
              <w:pStyle w:val="Compact"/>
              <w:jc w:val="right"/>
            </w:pPr>
            <w:r>
              <w:t xml:space="preserve">0.51</w:t>
            </w:r>
          </w:p>
        </w:tc>
      </w:tr>
      <w:tr>
        <w:trPr>
          <w:cantSplit/>
        </w:trPr>
        <w:tc>
          <w:tcPr>
            <w:tcW w:type="dxa" w:w="1734"/>
          </w:tcPr>
          <w:p>
            <w:pPr>
              <w:keepNext/>
              <w:pStyle w:val="Compact"/>
              <w:jc w:val="left"/>
            </w:pPr>
            <w:r>
              <w:t xml:space="preserve">Haunched, fixed piers</w:t>
            </w:r>
          </w:p>
        </w:tc>
        <w:tc>
          <w:tcPr>
            <w:tcW w:type="dxa" w:w="1503"/>
          </w:tcPr>
          <w:p>
            <w:pPr>
              <w:keepNext/>
              <w:pStyle w:val="Compact"/>
              <w:jc w:val="right"/>
            </w:pPr>
            <w:r>
              <w:t xml:space="preserve">0.422</w:t>
            </w:r>
          </w:p>
        </w:tc>
        <w:tc>
          <w:tcPr>
            <w:tcW w:type="dxa" w:w="1330"/>
          </w:tcPr>
          <w:p>
            <w:pPr>
              <w:keepNext/>
              <w:pStyle w:val="Compact"/>
              <w:jc w:val="right"/>
            </w:pPr>
            <w:r>
              <w:t xml:space="preserve">0.354</w:t>
            </w:r>
          </w:p>
        </w:tc>
        <w:tc>
          <w:tcPr>
            <w:tcW w:type="dxa" w:w="1204"/>
          </w:tcPr>
          <w:p>
            <w:pPr>
              <w:keepNext/>
              <w:pStyle w:val="Compact"/>
              <w:jc w:val="right"/>
            </w:pPr>
            <w:r>
              <w:t xml:space="preserve">0.147</w:t>
            </w:r>
          </w:p>
        </w:tc>
        <w:tc>
          <w:tcPr>
            <w:tcW w:type="dxa" w:w="1012"/>
          </w:tcPr>
          <w:p>
            <w:pPr>
              <w:keepNext/>
              <w:pStyle w:val="Compact"/>
              <w:jc w:val="right"/>
            </w:pPr>
            <w:r>
              <w:t xml:space="preserve">1.00</w:t>
            </w:r>
          </w:p>
        </w:tc>
        <w:tc>
          <w:tcPr>
            <w:tcW w:type="dxa" w:w="1272"/>
          </w:tcPr>
          <w:p>
            <w:pPr>
              <w:keepNext/>
              <w:pStyle w:val="Compact"/>
              <w:jc w:val="right"/>
            </w:pPr>
            <w:r>
              <w:t xml:space="preserve">1.00</w:t>
            </w:r>
          </w:p>
        </w:tc>
        <w:tc>
          <w:tcPr>
            <w:tcW w:type="dxa" w:w="1012"/>
          </w:tcPr>
          <w:p>
            <w:pPr>
              <w:keepNext/>
              <w:pStyle w:val="Compact"/>
              <w:jc w:val="right"/>
            </w:pPr>
            <w:r>
              <w:t xml:space="preserve">1.00</w:t>
            </w:r>
          </w:p>
        </w:tc>
      </w:tr>
      <w:tr>
        <w:trPr>
          <w:cantSplit/>
        </w:trPr>
        <w:tc>
          <w:tcPr>
            <w:tcW w:type="dxa" w:w="1734"/>
          </w:tcPr>
          <w:p>
            <w:pPr>
              <w:keepNext/>
              <w:pStyle w:val="Compact"/>
              <w:jc w:val="left"/>
            </w:pPr>
            <m:oMath>
              <m:sSub>
                <m:e>
                  <m:r>
                    <m:t>B</m:t>
                  </m:r>
                </m:e>
                <m:sub>
                  <m:r>
                    <m:t>m</m:t>
                  </m:r>
                </m:sub>
              </m:sSub>
            </m:oMath>
            <w:r>
              <w:t xml:space="preserve"> </w:t>
            </w:r>
            <w:r>
              <w:t xml:space="preserve">at the design stiffness</w:t>
            </w:r>
          </w:p>
        </w:tc>
        <w:tc>
          <w:tcPr>
            <w:tcW w:type="dxa" w:w="1503"/>
          </w:tcPr>
          <w:p>
            <w:pPr>
              <w:keepNext/>
              <w:pStyle w:val="Compact"/>
              <w:jc w:val="right"/>
            </w:pPr>
            <w:r>
              <w:t xml:space="preserve">0.51</w:t>
            </w:r>
          </w:p>
        </w:tc>
        <w:tc>
          <w:tcPr>
            <w:tcW w:type="dxa" w:w="1330"/>
          </w:tcPr>
          <w:p>
            <w:pPr>
              <w:keepNext/>
              <w:pStyle w:val="Compact"/>
              <w:jc w:val="right"/>
            </w:pPr>
            <w:r>
              <w:t xml:space="preserve">–</w:t>
            </w:r>
          </w:p>
        </w:tc>
        <w:tc>
          <w:tcPr>
            <w:tcW w:type="dxa" w:w="1204"/>
          </w:tcPr>
          <w:p>
            <w:pPr>
              <w:keepNext/>
              <w:pStyle w:val="Compact"/>
              <w:jc w:val="right"/>
            </w:pPr>
            <w:r>
              <w:t xml:space="preserve">0.12</w:t>
            </w:r>
          </w:p>
        </w:tc>
        <w:tc>
          <w:tcPr>
            <w:tcW w:type="dxa" w:w="1012"/>
          </w:tcPr>
          <w:p>
            <w:pPr>
              <w:keepNext/>
              <w:pStyle w:val="Compact"/>
              <w:jc w:val="right"/>
            </w:pPr>
            <w:r>
              <w:t xml:space="preserve">–</w:t>
            </w:r>
          </w:p>
        </w:tc>
        <w:tc>
          <w:tcPr>
            <w:tcW w:type="dxa" w:w="1272"/>
          </w:tcPr>
          <w:p>
            <w:pPr>
              <w:keepNext/>
              <w:pStyle w:val="Compact"/>
              <w:jc w:val="right"/>
            </w:pPr>
            <w:r>
              <w:t xml:space="preserve">–</w:t>
            </w:r>
          </w:p>
        </w:tc>
        <w:tc>
          <w:tcPr>
            <w:tcW w:type="dxa" w:w="1012"/>
          </w:tcPr>
          <w:p>
            <w:pPr>
              <w:keepNext/>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keepLines/>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keepNext/>
              <w:pStyle w:val="Compact"/>
              <w:jc w:val="left"/>
            </w:pPr>
            <w:r>
              <w:t xml:space="preserve">Scheme</w:t>
            </w:r>
          </w:p>
        </w:tc>
        <w:tc>
          <w:tcPr>
            <w:tcW w:type="dxa" w:w="3318"/>
            <w:tcBorders>
              <w:top w:val="nil"/>
              <w:left w:val="nil"/>
              <w:bottom w:val="single" w:sz="6" w:space="0" w:color="000000"/>
              <w:right w:val="nil"/>
            </w:tcBorders>
          </w:tcPr>
          <w:p>
            <w:pPr>
              <w:keepNext/>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keepNext/>
              <w:pStyle w:val="Compact"/>
              <w:jc w:val="left"/>
            </w:pPr>
            <w:r>
              <w:t xml:space="preserve">Distance from T8 (m)</w:t>
            </w:r>
          </w:p>
        </w:tc>
      </w:tr>
      <w:tr>
        <w:trPr>
          <w:cantSplit/>
        </w:trPr>
        <w:tc>
          <w:tcPr>
            <w:tcW w:type="dxa" w:w="2433"/>
          </w:tcPr>
          <w:p>
            <w:pPr>
              <w:keepNext/>
              <w:pStyle w:val="Compact"/>
              <w:jc w:val="left"/>
            </w:pPr>
            <w:r>
              <w:t xml:space="preserve">N8, side span (2 rows)</w:t>
            </w:r>
          </w:p>
        </w:tc>
        <w:tc>
          <w:tcPr>
            <w:tcW w:type="dxa" w:w="3318"/>
          </w:tcPr>
          <w:p>
            <w:pPr>
              <w:keepNext/>
              <w:pStyle w:val="Compact"/>
              <w:jc w:val="left"/>
            </w:pPr>
            <w:r>
              <w:t xml:space="preserve">163.45 (10), 167.05 (20), 168.40 (20); 174.40 (10), 178.00 (20), 179.35 (20)</w:t>
            </w:r>
          </w:p>
        </w:tc>
        <w:tc>
          <w:tcPr>
            <w:tcW w:type="dxa" w:w="3318"/>
          </w:tcPr>
          <w:p>
            <w:pPr>
              <w:keepNext/>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keepLines/>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keepLines/>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keepLines/>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keepNext/>
              <w:pStyle w:val="Compact"/>
              <w:jc w:val="left"/>
            </w:pPr>
            <w:r>
              <w:t xml:space="preserve">Gauge</w:t>
            </w:r>
          </w:p>
        </w:tc>
        <w:tc>
          <w:tcPr>
            <w:tcW w:type="dxa" w:w="1805"/>
            <w:tcBorders>
              <w:top w:val="nil"/>
              <w:left w:val="nil"/>
              <w:bottom w:val="single" w:sz="6" w:space="0" w:color="000000"/>
              <w:right w:val="nil"/>
            </w:tcBorders>
          </w:tcPr>
          <w:p>
            <w:pPr>
              <w:keepNext/>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keepNext/>
              <w:pStyle w:val="Compact"/>
              <w:jc w:val="right"/>
            </w:pPr>
            <w:r>
              <w:t xml:space="preserve">0.02 mm</w:t>
            </w:r>
          </w:p>
        </w:tc>
        <w:tc>
          <w:tcPr>
            <w:tcW w:type="dxa" w:w="1074"/>
            <w:tcBorders>
              <w:top w:val="nil"/>
              <w:left w:val="nil"/>
              <w:bottom w:val="single" w:sz="6" w:space="0" w:color="000000"/>
              <w:right w:val="nil"/>
            </w:tcBorders>
          </w:tcPr>
          <w:p>
            <w:pPr>
              <w:keepNext/>
              <w:pStyle w:val="Compact"/>
              <w:jc w:val="right"/>
            </w:pPr>
            <w:r>
              <w:t xml:space="preserve">0.05 mm</w:t>
            </w:r>
          </w:p>
        </w:tc>
        <w:tc>
          <w:tcPr>
            <w:tcW w:type="dxa" w:w="1074"/>
            <w:tcBorders>
              <w:top w:val="nil"/>
              <w:left w:val="nil"/>
              <w:bottom w:val="single" w:sz="6" w:space="0" w:color="000000"/>
              <w:right w:val="nil"/>
            </w:tcBorders>
          </w:tcPr>
          <w:p>
            <w:pPr>
              <w:keepNext/>
              <w:pStyle w:val="Compact"/>
              <w:jc w:val="right"/>
            </w:pPr>
            <w:r>
              <w:t xml:space="preserve">0.1 mm</w:t>
            </w:r>
          </w:p>
        </w:tc>
        <w:tc>
          <w:tcPr>
            <w:tcW w:type="dxa" w:w="1074"/>
            <w:tcBorders>
              <w:top w:val="nil"/>
              <w:left w:val="nil"/>
              <w:bottom w:val="single" w:sz="6" w:space="0" w:color="000000"/>
              <w:right w:val="nil"/>
            </w:tcBorders>
          </w:tcPr>
          <w:p>
            <w:pPr>
              <w:keepNext/>
              <w:pStyle w:val="Compact"/>
              <w:jc w:val="right"/>
            </w:pPr>
            <w:r>
              <w:t xml:space="preserve">0.2 mm</w:t>
            </w:r>
          </w:p>
        </w:tc>
        <w:tc>
          <w:tcPr>
            <w:tcW w:type="dxa" w:w="1361"/>
            <w:tcBorders>
              <w:top w:val="nil"/>
              <w:left w:val="nil"/>
              <w:bottom w:val="single" w:sz="6" w:space="0" w:color="000000"/>
              <w:right w:val="nil"/>
            </w:tcBorders>
          </w:tcPr>
          <w:p>
            <w:pPr>
              <w:keepNext/>
              <w:pStyle w:val="Compact"/>
              <w:jc w:val="right"/>
            </w:pPr>
            <w:r>
              <w:t xml:space="preserve">0.5 mm</w:t>
            </w:r>
          </w:p>
        </w:tc>
      </w:tr>
      <w:tr>
        <w:trPr>
          <w:cantSplit/>
        </w:trPr>
        <w:tc>
          <w:tcPr>
            <w:tcW w:type="dxa" w:w="1461"/>
          </w:tcPr>
          <w:p>
            <w:pPr>
              <w:keepNext/>
              <w:pStyle w:val="Compact"/>
              <w:jc w:val="left"/>
            </w:pPr>
            <w:r>
              <w:t xml:space="preserve">N7, mid main span</w:t>
            </w:r>
          </w:p>
        </w:tc>
        <w:tc>
          <w:tcPr>
            <w:tcW w:type="dxa" w:w="1805"/>
          </w:tcPr>
          <w:p>
            <w:pPr>
              <w:keepNext/>
              <w:pStyle w:val="Compact"/>
              <w:jc w:val="right"/>
            </w:pPr>
            <w:r>
              <w:t xml:space="preserve">3.3–4.9 × 10⁻⁴</w:t>
            </w:r>
          </w:p>
        </w:tc>
        <w:tc>
          <w:tcPr>
            <w:tcW w:type="dxa" w:w="1217"/>
          </w:tcPr>
          <w:p>
            <w:pPr>
              <w:keepNext/>
              <w:pStyle w:val="Compact"/>
              <w:jc w:val="right"/>
            </w:pPr>
            <w:r>
              <w:t xml:space="preserve">3.3–5.0 %</w:t>
            </w:r>
          </w:p>
        </w:tc>
        <w:tc>
          <w:tcPr>
            <w:tcW w:type="dxa" w:w="1074"/>
          </w:tcPr>
          <w:p>
            <w:pPr>
              <w:keepNext/>
              <w:pStyle w:val="Compact"/>
              <w:jc w:val="right"/>
            </w:pPr>
            <w:r>
              <w:t xml:space="preserve">8–12 %</w:t>
            </w:r>
          </w:p>
        </w:tc>
        <w:tc>
          <w:tcPr>
            <w:tcW w:type="dxa" w:w="1074"/>
          </w:tcPr>
          <w:p>
            <w:pPr>
              <w:keepNext/>
              <w:pStyle w:val="Compact"/>
              <w:jc w:val="right"/>
            </w:pPr>
            <w:r>
              <w:t xml:space="preserve">16–25 %</w:t>
            </w:r>
          </w:p>
        </w:tc>
        <w:tc>
          <w:tcPr>
            <w:tcW w:type="dxa" w:w="1074"/>
          </w:tcPr>
          <w:p>
            <w:pPr>
              <w:keepNext/>
              <w:pStyle w:val="Compact"/>
              <w:jc w:val="right"/>
            </w:pPr>
            <w:r>
              <w:t xml:space="preserve">33–50 %</w:t>
            </w:r>
          </w:p>
        </w:tc>
        <w:tc>
          <w:tcPr>
            <w:tcW w:type="dxa" w:w="1361"/>
          </w:tcPr>
          <w:p>
            <w:pPr>
              <w:keepNext/>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keepLines/>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keepNext/>
              <w:pStyle w:val="Compact"/>
              <w:jc w:val="left"/>
            </w:pPr>
            <w:r>
              <w:t xml:space="preserve">Term</w:t>
            </w:r>
          </w:p>
        </w:tc>
        <w:tc>
          <w:tcPr>
            <w:tcW w:type="dxa" w:w="2124"/>
            <w:tcBorders>
              <w:top w:val="nil"/>
              <w:left w:val="nil"/>
              <w:bottom w:val="single" w:sz="6" w:space="0" w:color="000000"/>
              <w:right w:val="nil"/>
            </w:tcBorders>
          </w:tcPr>
          <w:p>
            <w:pPr>
              <w:keepNext/>
              <w:pStyle w:val="Compact"/>
              <w:jc w:val="left"/>
            </w:pPr>
            <w:r>
              <w:t xml:space="preserve">Sensitivity</w:t>
            </w:r>
          </w:p>
        </w:tc>
        <w:tc>
          <w:tcPr>
            <w:tcW w:type="dxa" w:w="2451"/>
            <w:tcBorders>
              <w:top w:val="nil"/>
              <w:left w:val="nil"/>
              <w:bottom w:val="single" w:sz="6" w:space="0" w:color="000000"/>
              <w:right w:val="nil"/>
            </w:tcBorders>
          </w:tcPr>
          <w:p>
            <w:pPr>
              <w:keepNext/>
              <w:pStyle w:val="Compact"/>
              <w:jc w:val="left"/>
            </w:pPr>
            <w:r>
              <w:t xml:space="preserve">Cancels in SLM?</w:t>
            </w:r>
          </w:p>
        </w:tc>
        <w:tc>
          <w:tcPr>
            <w:tcW w:type="dxa" w:w="2451"/>
            <w:tcBorders>
              <w:top w:val="nil"/>
              <w:left w:val="nil"/>
              <w:bottom w:val="single" w:sz="6" w:space="0" w:color="000000"/>
              <w:right w:val="nil"/>
            </w:tcBorders>
          </w:tcPr>
          <w:p>
            <w:pPr>
              <w:keepNext/>
              <w:pStyle w:val="Compact"/>
              <w:jc w:val="left"/>
            </w:pPr>
            <w:r>
              <w:t xml:space="preserve">Value in this study</w:t>
            </w:r>
          </w:p>
        </w:tc>
      </w:tr>
      <w:tr>
        <w:trPr>
          <w:cantSplit/>
        </w:trPr>
        <w:tc>
          <w:tcPr>
            <w:tcW w:type="dxa" w:w="2042"/>
          </w:tcPr>
          <w:p>
            <w:pPr>
              <w:keepNext/>
              <w:pStyle w:val="Compact"/>
              <w:jc w:val="left"/>
            </w:pPr>
            <w:r>
              <w:t xml:space="preserve">Flexural rigidity</w:t>
            </w:r>
            <w:r>
              <w:t xml:space="preserve"> </w:t>
            </w:r>
            <m:oMath>
              <m:r>
                <m:t>E</m:t>
              </m:r>
              <m:r>
                <m:t>I</m:t>
              </m:r>
            </m:oMath>
          </w:p>
        </w:tc>
        <w:tc>
          <w:tcPr>
            <w:tcW w:type="dxa" w:w="2124"/>
          </w:tcPr>
          <w:p>
            <w:pPr>
              <w:keepNext/>
              <w:pStyle w:val="Compact"/>
              <w:jc w:val="left"/>
            </w:pPr>
            <w:r>
              <w:t xml:space="preserve">1</w:t>
            </w:r>
          </w:p>
        </w:tc>
        <w:tc>
          <w:tcPr>
            <w:tcW w:type="dxa" w:w="2451"/>
          </w:tcPr>
          <w:p>
            <w:pPr>
              <w:keepNext/>
              <w:pStyle w:val="Compact"/>
              <w:jc w:val="left"/>
            </w:pPr>
            <w:r>
              <w:t xml:space="preserve">yes</w:t>
            </w:r>
          </w:p>
        </w:tc>
        <w:tc>
          <w:tcPr>
            <w:tcW w:type="dxa" w:w="2451"/>
          </w:tcPr>
          <w:p>
            <w:pPr>
              <w:keepNext/>
              <w:pStyle w:val="Compact"/>
              <w:jc w:val="left"/>
            </w:pPr>
            <w:r>
              <w:t xml:space="preserve">BPM only; Mây Bridge N8 constant varies 6.6-fold over the admissible set</w:t>
            </w:r>
          </w:p>
        </w:tc>
      </w:tr>
      <w:tr>
        <w:trPr>
          <w:cantSplit/>
        </w:trPr>
        <w:tc>
          <w:tcPr>
            <w:tcW w:type="dxa" w:w="2042"/>
          </w:tcPr>
          <w:p>
            <w:pPr>
              <w:keepNext/>
              <w:pStyle w:val="Compact"/>
              <w:jc w:val="left"/>
            </w:pPr>
            <w:r>
              <w:t xml:space="preserve">Span length</w:t>
            </w:r>
          </w:p>
        </w:tc>
        <w:tc>
          <w:tcPr>
            <w:tcW w:type="dxa" w:w="2124"/>
          </w:tcPr>
          <w:p>
            <w:pPr>
              <w:keepNext/>
              <w:pStyle w:val="Compact"/>
              <w:jc w:val="left"/>
            </w:pPr>
            <w:r>
              <w:t xml:space="preserve">4 (deflection), 2 (strain)</w:t>
            </w:r>
          </w:p>
        </w:tc>
        <w:tc>
          <w:tcPr>
            <w:tcW w:type="dxa" w:w="2451"/>
          </w:tcPr>
          <w:p>
            <w:pPr>
              <w:keepNext/>
              <w:pStyle w:val="Compact"/>
              <w:jc w:val="left"/>
            </w:pPr>
            <w:r>
              <w:t xml:space="preserve">yes</w:t>
            </w:r>
          </w:p>
        </w:tc>
        <w:tc>
          <w:tcPr>
            <w:tcW w:type="dxa" w:w="2451"/>
          </w:tcPr>
          <w:p>
            <w:pPr>
              <w:keepNext/>
              <w:pStyle w:val="Compact"/>
              <w:jc w:val="left"/>
            </w:pPr>
            <w:r>
              <w:t xml:space="preserve">BPM only</w:t>
            </w:r>
          </w:p>
        </w:tc>
      </w:tr>
      <w:tr>
        <w:trPr>
          <w:cantSplit/>
        </w:trPr>
        <w:tc>
          <w:tcPr>
            <w:tcW w:type="dxa" w:w="2042"/>
          </w:tcPr>
          <w:p>
            <w:pPr>
              <w:keepNext/>
              <w:pStyle w:val="Compact"/>
              <w:jc w:val="left"/>
            </w:pPr>
            <w:r>
              <w:t xml:space="preserve">Gain</w:t>
            </w:r>
          </w:p>
        </w:tc>
        <w:tc>
          <w:tcPr>
            <w:tcW w:type="dxa" w:w="2124"/>
          </w:tcPr>
          <w:p>
            <w:pPr>
              <w:keepNext/>
              <w:pStyle w:val="Compact"/>
              <w:jc w:val="left"/>
            </w:pPr>
            <w:r>
              <w:t xml:space="preserve">1</w:t>
            </w:r>
          </w:p>
        </w:tc>
        <w:tc>
          <w:tcPr>
            <w:tcW w:type="dxa" w:w="2451"/>
          </w:tcPr>
          <w:p>
            <w:pPr>
              <w:keepNext/>
              <w:pStyle w:val="Compact"/>
              <w:jc w:val="left"/>
            </w:pPr>
            <w:r>
              <w:t xml:space="preserve">if not recalibrated between crossings</w:t>
            </w:r>
          </w:p>
        </w:tc>
        <w:tc>
          <w:tcPr>
            <w:tcW w:type="dxa" w:w="2451"/>
          </w:tcPr>
          <w:p>
            <w:pPr>
              <w:keepNext/>
              <w:pStyle w:val="Compact"/>
              <w:jc w:val="left"/>
            </w:pPr>
            <w:r>
              <w:t xml:space="preserve">not evaluated</w:t>
            </w:r>
          </w:p>
        </w:tc>
      </w:tr>
      <w:tr>
        <w:trPr>
          <w:cantSplit/>
        </w:trPr>
        <w:tc>
          <w:tcPr>
            <w:tcW w:type="dxa" w:w="2042"/>
          </w:tcPr>
          <w:p>
            <w:pPr>
              <w:keepNext/>
              <w:pStyle w:val="Compact"/>
              <w:jc w:val="left"/>
            </w:pPr>
            <w:r>
              <w:t xml:space="preserve">Reference weighing</w:t>
            </w:r>
            <w:r>
              <w:t xml:space="preserve"> </w:t>
            </w:r>
            <m:oMath>
              <m:sSub>
                <m:e>
                  <m:r>
                    <m:t>P</m:t>
                  </m:r>
                </m:e>
                <m:sub>
                  <m:r>
                    <m:t>0</m:t>
                  </m:r>
                </m:sub>
              </m:sSub>
            </m:oMath>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laboratory: International Organization of Legal Metrology (OIML) class M1 weights; field: day-1 weights driver-reported</w:t>
            </w:r>
          </w:p>
        </w:tc>
      </w:tr>
      <w:tr>
        <w:trPr>
          <w:cantSplit/>
        </w:trPr>
        <w:tc>
          <w:tcPr>
            <w:tcW w:type="dxa" w:w="2042"/>
          </w:tcPr>
          <w:p>
            <w:pPr>
              <w:keepNext/>
              <w:pStyle w:val="Compact"/>
              <w:jc w:val="left"/>
            </w:pPr>
            <w:r>
              <w:t xml:space="preserve">Residual offset, drift</w:t>
            </w:r>
            <w:r>
              <w:t xml:space="preserve"> </w:t>
            </w:r>
            <m:oMath>
              <m:sSub>
                <m:e>
                  <m:r>
                    <m:t>δ</m:t>
                  </m:r>
                </m:e>
                <m:sub>
                  <m:r>
                    <m:t>0</m:t>
                  </m:r>
                </m:sub>
              </m:sSub>
            </m:oMath>
          </w:p>
        </w:tc>
        <w:tc>
          <w:tcPr>
            <w:tcW w:type="dxa" w:w="2124"/>
          </w:tcPr>
          <w:p>
            <w:pPr>
              <w:keepNext/>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keepNext/>
              <w:pStyle w:val="Compact"/>
              <w:jc w:val="left"/>
            </w:pPr>
            <w:r>
              <w:t xml:space="preserve">only if common-mode during crossings</w:t>
            </w:r>
          </w:p>
        </w:tc>
        <w:tc>
          <w:tcPr>
            <w:tcW w:type="dxa" w:w="2451"/>
          </w:tcPr>
          <w:p>
            <w:pPr>
              <w:keepNext/>
              <w:pStyle w:val="Compact"/>
              <w:jc w:val="left"/>
            </w:pPr>
            <w:r>
              <w:t xml:space="preserve">Table S17; field per-crossing SD of the gauge average predicted 19.8 % (day 2), 5.3 % (day 1)</w:t>
            </w:r>
          </w:p>
        </w:tc>
      </w:tr>
      <w:tr>
        <w:trPr>
          <w:cantSplit/>
        </w:trPr>
        <w:tc>
          <w:tcPr>
            <w:tcW w:type="dxa" w:w="2042"/>
          </w:tcPr>
          <w:p>
            <w:pPr>
              <w:keepNext/>
              <w:pStyle w:val="Compact"/>
              <w:jc w:val="left"/>
            </w:pPr>
            <w:r>
              <w:t xml:space="preserve">Speed effect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day 2: +6 % per 10 m/s (95 % CI −23 to +35 %), not resolved</w:t>
            </w:r>
          </w:p>
        </w:tc>
      </w:tr>
      <w:tr>
        <w:trPr>
          <w:cantSplit/>
        </w:trPr>
        <w:tc>
          <w:tcPr>
            <w:tcW w:type="dxa" w:w="2042"/>
          </w:tcPr>
          <w:p>
            <w:pPr>
              <w:keepNext/>
              <w:pStyle w:val="Compact"/>
              <w:jc w:val="left"/>
            </w:pPr>
            <w:r>
              <w:t xml:space="preserve">Speed measurement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1.4 % on average (at most 4.6 %) against the dataset speeds; a second estimator differs by a factor of 1.139 (SD 0.124)</w:t>
            </w:r>
          </w:p>
        </w:tc>
      </w:tr>
      <w:tr>
        <w:trPr>
          <w:cantSplit/>
        </w:trPr>
        <w:tc>
          <w:tcPr>
            <w:tcW w:type="dxa" w:w="2042"/>
          </w:tcPr>
          <w:p>
            <w:pPr>
              <w:keepNext/>
              <w:pStyle w:val="Compact"/>
              <w:jc w:val="left"/>
            </w:pPr>
            <w:r>
              <w:t xml:space="preserve">Dynamics</w:t>
            </w:r>
          </w:p>
        </w:tc>
        <w:tc>
          <w:tcPr>
            <w:tcW w:type="dxa" w:w="2124"/>
          </w:tcPr>
          <w:p>
            <w:pPr>
              <w:keepNext/>
              <w:pStyle w:val="Compact"/>
              <w:jc w:val="left"/>
            </w:pPr>
            <w:r>
              <w:t xml:space="preserve">1</w:t>
            </w:r>
          </w:p>
        </w:tc>
        <w:tc>
          <w:tcPr>
            <w:tcW w:type="dxa" w:w="2451"/>
          </w:tcPr>
          <w:p>
            <w:pPr>
              <w:keepNext/>
              <w:pStyle w:val="Compact"/>
              <w:jc w:val="left"/>
            </w:pPr>
            <w:r>
              <w:t xml:space="preserve">partly</w:t>
            </w:r>
          </w:p>
        </w:tc>
        <w:tc>
          <w:tcPr>
            <w:tcW w:type="dxa" w:w="2451"/>
          </w:tcPr>
          <w:p>
            <w:pPr>
              <w:keepNext/>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keepNext/>
              <w:pStyle w:val="Compact"/>
              <w:jc w:val="left"/>
            </w:pPr>
            <w:r>
              <w:t xml:space="preserve">Transverse position</w:t>
            </w:r>
          </w:p>
        </w:tc>
        <w:tc>
          <w:tcPr>
            <w:tcW w:type="dxa" w:w="2124"/>
          </w:tcPr>
          <w:p>
            <w:pPr>
              <w:keepNext/>
              <w:pStyle w:val="Compact"/>
              <w:jc w:val="left"/>
            </w:pPr>
            <w:r>
              <w:t xml:space="preserve">lane-dependent</w:t>
            </w:r>
            <w:r>
              <w:t xml:space="preserve"> </w:t>
            </w:r>
            <m:oMath>
              <m:r>
                <m:t>C</m:t>
              </m:r>
            </m:oMath>
          </w:p>
        </w:tc>
        <w:tc>
          <w:tcPr>
            <w:tcW w:type="dxa" w:w="2451"/>
          </w:tcPr>
          <w:p>
            <w:pPr>
              <w:keepNext/>
              <w:pStyle w:val="Compact"/>
              <w:jc w:val="left"/>
            </w:pPr>
            <w:r>
              <w:t xml:space="preserve">no, unless lane-specific</w:t>
            </w:r>
          </w:p>
        </w:tc>
        <w:tc>
          <w:tcPr>
            <w:tcW w:type="dxa" w:w="2451"/>
          </w:tcPr>
          <w:p>
            <w:pPr>
              <w:keepNext/>
              <w:pStyle w:val="Compact"/>
              <w:jc w:val="left"/>
            </w:pPr>
            <w:r>
              <w:t xml:space="preserve">field lane ratio 0.79; Mây Bridge range 2.05 mm across a section</w:t>
            </w:r>
          </w:p>
        </w:tc>
      </w:tr>
      <w:tr>
        <w:trPr>
          <w:cantSplit/>
        </w:trPr>
        <w:tc>
          <w:tcPr>
            <w:tcW w:type="dxa" w:w="2042"/>
          </w:tcPr>
          <w:p>
            <w:pPr>
              <w:keepNext/>
              <w:pStyle w:val="Compact"/>
              <w:jc w:val="left"/>
            </w:pPr>
            <w:r>
              <w:t xml:space="preserve">Multiple presence</w:t>
            </w:r>
          </w:p>
        </w:tc>
        <w:tc>
          <w:tcPr>
            <w:tcW w:type="dxa" w:w="2124"/>
          </w:tcPr>
          <w:p>
            <w:pPr>
              <w:keepNext/>
              <w:pStyle w:val="Compact"/>
              <w:jc w:val="left"/>
            </w:pPr>
            <w:r>
              <w:t xml:space="preserve">group weight</w:t>
            </w:r>
          </w:p>
        </w:tc>
        <w:tc>
          <w:tcPr>
            <w:tcW w:type="dxa" w:w="2451"/>
          </w:tcPr>
          <w:p>
            <w:pPr>
              <w:keepNext/>
              <w:pStyle w:val="Compact"/>
              <w:jc w:val="left"/>
            </w:pPr>
            <w:r>
              <w:t xml:space="preserve">–</w:t>
            </w:r>
          </w:p>
        </w:tc>
        <w:tc>
          <w:tcPr>
            <w:tcW w:type="dxa" w:w="2451"/>
          </w:tcPr>
          <w:p>
            <w:pPr>
              <w:keepNext/>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keepLines/>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Measured quantity</w:t>
            </w:r>
          </w:p>
        </w:tc>
        <w:tc>
          <w:tcPr>
            <w:tcW w:type="dxa" w:w="2636"/>
            <w:tcBorders>
              <w:top w:val="nil"/>
              <w:left w:val="nil"/>
              <w:bottom w:val="single" w:sz="6" w:space="0" w:color="000000"/>
              <w:right w:val="nil"/>
            </w:tcBorders>
          </w:tcPr>
          <w:p>
            <w:pPr>
              <w:keepNext/>
              <w:pStyle w:val="Compact"/>
              <w:jc w:val="right"/>
            </w:pPr>
            <w:r>
              <w:t xml:space="preserve">Calibration A</w:t>
            </w:r>
          </w:p>
        </w:tc>
        <w:tc>
          <w:tcPr>
            <w:tcW w:type="dxa" w:w="2636"/>
            <w:tcBorders>
              <w:top w:val="nil"/>
              <w:left w:val="nil"/>
              <w:bottom w:val="single" w:sz="6" w:space="0" w:color="000000"/>
              <w:right w:val="nil"/>
            </w:tcBorders>
          </w:tcPr>
          <w:p>
            <w:pPr>
              <w:keepNext/>
              <w:pStyle w:val="Compact"/>
              <w:jc w:val="right"/>
            </w:pPr>
            <w:r>
              <w:t xml:space="preserve">Calibration B</w:t>
            </w:r>
          </w:p>
        </w:tc>
      </w:tr>
      <w:tr>
        <w:trPr>
          <w:cantSplit/>
        </w:trPr>
        <w:tc>
          <w:tcPr>
            <w:tcW w:type="dxa" w:w="3796"/>
          </w:tcPr>
          <w:p>
            <w:pPr>
              <w:keepNext/>
              <w:pStyle w:val="Compact"/>
              <w:jc w:val="left"/>
            </w:pPr>
            <w:r>
              <w:t xml:space="preserve">Integral ratio, N8 at 0.4</w:t>
            </w:r>
            <m:oMath>
              <m:r>
                <m:t>L</m:t>
              </m:r>
            </m:oMath>
            <w:r>
              <w:t xml:space="preserve"> </w:t>
            </w:r>
            <w:r>
              <w:t xml:space="preserve">/ N7 at mid-span</w:t>
            </w:r>
          </w:p>
        </w:tc>
        <w:tc>
          <w:tcPr>
            <w:tcW w:type="dxa" w:w="2636"/>
          </w:tcPr>
          <w:p>
            <w:pPr>
              <w:keepNext/>
              <w:pStyle w:val="Compact"/>
              <w:jc w:val="right"/>
            </w:pPr>
            <w:r>
              <w:t xml:space="preserve">0.121</w:t>
            </w:r>
          </w:p>
        </w:tc>
        <w:tc>
          <w:tcPr>
            <w:tcW w:type="dxa" w:w="2636"/>
          </w:tcPr>
          <w:p>
            <w:pPr>
              <w:keepNext/>
              <w:pStyle w:val="Compact"/>
              <w:jc w:val="right"/>
            </w:pPr>
            <w:r>
              <w:t xml:space="preserve">0.284</w:t>
            </w:r>
          </w:p>
        </w:tc>
      </w:tr>
      <w:tr>
        <w:trPr>
          <w:cantSplit/>
        </w:trPr>
        <w:tc>
          <w:tcPr>
            <w:tcW w:type="dxa" w:w="3796"/>
          </w:tcPr>
          <w:p>
            <w:pPr>
              <w:keepNext/>
              <w:pStyle w:val="Compact"/>
              <w:jc w:val="left"/>
            </w:pPr>
            <w:r>
              <w:t xml:space="preserve">Peak girder rotation over pier T7 (µrad)</w:t>
            </w:r>
          </w:p>
        </w:tc>
        <w:tc>
          <w:tcPr>
            <w:tcW w:type="dxa" w:w="2636"/>
          </w:tcPr>
          <w:p>
            <w:pPr>
              <w:keepNext/>
              <w:pStyle w:val="Compact"/>
              <w:jc w:val="right"/>
            </w:pPr>
            <w:r>
              <w:t xml:space="preserve">−58</w:t>
            </w:r>
          </w:p>
        </w:tc>
        <w:tc>
          <w:tcPr>
            <w:tcW w:type="dxa" w:w="2636"/>
          </w:tcPr>
          <w:p>
            <w:pPr>
              <w:keepNext/>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closed forms are checked against finite element evaluations in the same scripts (logs in the archive). The derived data behind the figures and tables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2026-10-21T12:29:26Z</dcterms:created>
  <dcterms:modified xsi:type="dcterms:W3CDTF">2026-10-21T12:29:26Z</dcterms:modified>
</cp:coreProperties>
</file>

<file path=docProps/custom.xml><?xml version="1.0" encoding="utf-8"?>
<Properties xmlns="http://schemas.openxmlformats.org/officeDocument/2006/custom-properties" xmlns:vt="http://schemas.openxmlformats.org/officeDocument/2006/docPropsVTypes"/>
</file>