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Observability and sensor layout for influence-area load monitoring of continuous girder bridges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 influence-area weighing the total load is the area under a response record divided by an integral constant, which can vanish on a continuous girder because the influence line changes sign over the piers. To guide channel choice before installation, closed forms give the blind loci of five channel types on continuous and haunched girders; strain gauges are blind at every zero of the uniform-load moment and nearly blind in a band that can contain gauges set back from the piers. Optimal sensors lie at the extremes of the uniform-load response, and the constant follows a linear-fractional (Möbius) law in the pier stiffness. A laboratory test is consistent with the identity. Public moving-truck records are consistent with its assumptions within 10–27 % but vary too little in weight to test weight discrimination; they show that vehicle-free noise covariance misleads multi-channel weighting. On an in-service box girder, two static readings leave the side-span deflection constant uncertain by a factor of 6.6 but determine the main-span constant.</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fits the measured response to axle loads times influence-line ordinates and has been refined with measured influence lines (OBrien et al., 2006), regularization (OBrien et al., 2009), accuracy improvements (Yu et al., 2016;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One of the present authors, with co-workers, used the integral of mid-span deflection on a simply supported beam (Nguyen et al., 2024).</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and influence lines have been used to estimate the boundary spring stiffness of a suspension-bridge girder (Lin et al., 2023). None of these studies says, before installation, which channel at which position can observe the total load at all, and how robust that observation is to uncertain boundary conditions.</w:t>
      </w:r>
    </w:p>
    <w:p>
      <w:pPr>
        <w:pStyle w:val="BodyText"/>
      </w:pPr>
      <w:r>
        <w:t xml:space="preserve">This paper supplies such criteria. Neither the influence-area identity nor the generalized least-squares (GLS) estimator is new; the contributions lie in the criteria built on them. (i) We derive a closed-form catalog of blind loci for five channel types on two- and three-span and haunched girders, with two indicators that need no reference rigidity; at every prismatic location examined, strain influence lines cancel less than deflection influence lines (cancellation ratio</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w:t>
      </w:r>
      <w:r>
        <w:t xml:space="preserve">at mid-span of two equal spans), yet every continuous girder has strain blind points. (ii) We derive a placement rule, optimal sensors at the extremes of the uniform-load response, and show on one day of public moving-truck records that GLS weights built from vehicle-free noise raise the out-of-sample error above that of the gauge average (20.4 % against 11.9 % of gross weight). (iii) We show that the integral constant depends on pier stiffness through a linear-fractional (Möbius) law and, on an in-service box girder, that two static readings leave a side-span deflection constant uncertain by a factor of 6.6, while a pier tiltmeter would reduce the Cramér–Rao bound on the standard deviation of its logarithm from 0.87 to 0.18.</w:t>
      </w:r>
    </w:p>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max</m:t>
                        </m:r>
                      </m:sub>
                    </m:sSub>
                  </m:sup>
                  <m:e>
                    <m:sSub>
                      <m:e>
                        <m:r>
                          <m:t>y</m:t>
                        </m:r>
                      </m:e>
                      <m:sub>
                        <m:r>
                          <m:t>m</m:t>
                        </m:r>
                      </m:sub>
                    </m:sSub>
                  </m:e>
                </m:nary>
                <m:r>
                  <m:t> </m:t>
                </m:r>
                <m:r>
                  <m:rPr>
                    <m:sty m:val="p"/>
                  </m:rPr>
                  <m:t>d</m:t>
                </m:r>
                <m:r>
                  <m:t>x</m:t>
                </m:r>
                <m:r>
                  <m:rPr>
                    <m:sty m:val="p"/>
                  </m:rPr>
                  <m:t>=</m:t>
                </m:r>
                <m:sSub>
                  <m:e>
                    <m:r>
                      <m:t>P</m:t>
                    </m:r>
                  </m:e>
                  <m:sub>
                    <m:r>
                      <m:rPr>
                        <m:sty m:val="p"/>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rPr>
              <m:t>max</m:t>
            </m:r>
          </m:sub>
        </m:sSub>
      </m:oMath>
      <w:r>
        <w:t xml:space="preserve"> </w:t>
      </w:r>
      <w:r>
        <w:t xml:space="preserve">is the largest axle offset,</w:t>
      </w:r>
      <w:r>
        <w:t xml:space="preserve"> </w:t>
      </w:r>
      <m:oMath>
        <m:sSub>
          <m:e>
            <m:r>
              <m:t>P</m:t>
            </m:r>
          </m:e>
          <m:sub>
            <m:r>
              <m:rPr>
                <m:sty m:val="p"/>
              </m:rPr>
              <m:t>tot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The beam-property method (BPM) computes</w:t>
      </w:r>
      <w:r>
        <w:t xml:space="preserve"> </w:t>
      </w:r>
      <m:oMath>
        <m:r>
          <m:t>C</m:t>
        </m:r>
      </m:oMath>
      <w:r>
        <w:t xml:space="preserve"> </w:t>
      </w:r>
      <w:r>
        <w:t xml:space="preserve">from a structural model and returns the estimate</w:t>
      </w:r>
      <w:r>
        <w:t xml:space="preserve"> </w:t>
      </w:r>
      <m:oMath>
        <m:r>
          <m:t>P</m:t>
        </m:r>
        <m:r>
          <m:rPr>
            <m:sty m:val="p"/>
          </m:rPr>
          <m:t>=</m:t>
        </m:r>
        <m:r>
          <m:t>J</m:t>
        </m:r>
        <m:r>
          <m:rPr>
            <m:sty m:val="p"/>
          </m:rPr>
          <m:t>/</m:t>
        </m:r>
        <m:r>
          <m:t>C</m:t>
        </m:r>
      </m:oMath>
      <w:r>
        <w:t xml:space="preserve"> </w:t>
      </w:r>
      <w:r>
        <w:t xml:space="preserve">of</w:t>
      </w:r>
      <w:r>
        <w:t xml:space="preserve"> </w:t>
      </w:r>
      <m:oMath>
        <m:sSub>
          <m:e>
            <m:r>
              <m:t>P</m:t>
            </m:r>
          </m:e>
          <m:sub>
            <m:r>
              <m:rPr>
                <m:sty m:val="p"/>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4 and 6 test these assumptions.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span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main</m:t>
            </m:r>
          </m:sub>
        </m:sSub>
        <m:r>
          <m:rPr>
            <m:sty m:val="p"/>
          </m:rPr>
          <m:t>/</m:t>
        </m:r>
        <m:sSub>
          <m:e>
            <m:r>
              <m:t>L</m:t>
            </m:r>
          </m:e>
          <m:sub>
            <m:r>
              <m:rPr>
                <m:sty m:val="p"/>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6423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6423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side</m:t>
            </m:r>
          </m:sub>
        </m:sSub>
      </m:oMath>
      <w:r>
        <w:t xml:space="preserve"> </w:t>
      </w:r>
      <w:r>
        <w:t xml:space="preserve">of rigidity</w:t>
      </w:r>
      <w:r>
        <w:t xml:space="preserve"> </w:t>
      </w:r>
      <m:oMath>
        <m:r>
          <m:t>E</m:t>
        </m:r>
        <m:sSub>
          <m:e>
            <m:r>
              <m:t>I</m:t>
            </m:r>
          </m:e>
          <m:sub>
            <m:r>
              <m:rPr>
                <m:sty m:val="p"/>
              </m:rPr>
              <m:t>side</m:t>
            </m:r>
          </m:sub>
        </m:sSub>
      </m:oMath>
      <w:r>
        <w:t xml:space="preserve">, main span</w:t>
      </w:r>
      <w:r>
        <w:t xml:space="preserve"> </w:t>
      </w:r>
      <m:oMath>
        <m:sSub>
          <m:e>
            <m:r>
              <m:t>L</m:t>
            </m:r>
          </m:e>
          <m:sub>
            <m:r>
              <m:rPr>
                <m:sty m:val="p"/>
              </m:rPr>
              <m:t>main</m:t>
            </m:r>
          </m:sub>
        </m:sSub>
        <m:r>
          <m:rPr>
            <m:sty m:val="p"/>
          </m:rPr>
          <m:t>=</m:t>
        </m:r>
        <m:r>
          <m:t>β</m:t>
        </m:r>
        <m:sSub>
          <m:e>
            <m:r>
              <m:t>L</m:t>
            </m:r>
          </m:e>
          <m:sub>
            <m:r>
              <m:rPr>
                <m:sty m:val="p"/>
              </m:rPr>
              <m:t>side</m:t>
            </m:r>
          </m:sub>
        </m:sSub>
      </m:oMath>
      <w:r>
        <w:t xml:space="preserve"> </w:t>
      </w:r>
      <w:r>
        <w:t xml:space="preserve">of rigidity</w:t>
      </w:r>
      <w:r>
        <w:t xml:space="preserve"> </w:t>
      </w:r>
      <m:oMath>
        <m:r>
          <m:t>E</m:t>
        </m:r>
        <m:sSub>
          <m:e>
            <m:r>
              <m:t>I</m:t>
            </m:r>
          </m:e>
          <m:sub>
            <m:r>
              <m:rPr>
                <m:sty m:val="p"/>
              </m:rPr>
              <m:t>main</m:t>
            </m:r>
          </m:sub>
        </m:sSub>
        <m:r>
          <m:rPr>
            <m:sty m:val="p"/>
          </m:rPr>
          <m:t>=</m:t>
        </m:r>
        <m:r>
          <m:t>γ</m:t>
        </m:r>
        <m:r>
          <m:t>E</m:t>
        </m:r>
        <m:sSub>
          <m:e>
            <m:r>
              <m:t>I</m:t>
            </m:r>
          </m:e>
          <m:sub>
            <m:r>
              <m:rPr>
                <m:sty m:val="p"/>
              </m:rPr>
              <m:t>side</m:t>
            </m:r>
          </m:sub>
        </m:sSub>
      </m:oMath>
      <w:r>
        <w:t xml:space="preserve">, and side-span sensor at</w:t>
      </w:r>
      <w:r>
        <w:t xml:space="preserve"> </w:t>
      </w:r>
      <m:oMath>
        <m:r>
          <m:t>ξ</m:t>
        </m:r>
        <m:sSub>
          <m:e>
            <m:r>
              <m:t>L</m:t>
            </m:r>
          </m:e>
          <m:sub>
            <m:r>
              <m:rPr>
                <m:sty m:val="p"/>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defined in Eq. (10) of Section 2.3.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crit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(7)</w:t>
            </w:r>
          </w:p>
        </w:tc>
      </w:tr>
    </w:tbl>
    <w:p>
      <w:pPr>
        <w:pStyle w:val="BodyText"/>
      </w:pPr>
      <w:r>
        <w:t xml:space="preserve">For a mid side-span sensor on a symmetric three-span beam of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rPr>
                      <m:t>crit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(8)</w:t>
            </w:r>
          </w:p>
        </w:tc>
      </w:tr>
    </w:tbl>
    <w:p>
      <w:pPr>
        <w:pStyle w:val="BodyText"/>
      </w:pPr>
      <w:r>
        <w:t xml:space="preserve">The blind locus over all side-span positions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A channel is called near-blind when its indicator (Section 2.3) is below 0.2 in magnitude; for this gauge the near-blind band is</w:t>
      </w:r>
      <w:r>
        <w:t xml:space="preserve"> </w:t>
      </w:r>
      <m:oMath>
        <m:r>
          <m:t>1.621</m:t>
        </m:r>
        <m:r>
          <m:rPr>
            <m:sty m:val="p"/>
          </m:rPr>
          <m:t>&lt;</m:t>
        </m:r>
        <m:r>
          <m:t>β</m:t>
        </m:r>
        <m:r>
          <m:rPr>
            <m:sty m:val="p"/>
          </m:rPr>
          <m:t>&lt;</m:t>
        </m:r>
        <m:r>
          <m:t>1.775</m:t>
        </m:r>
      </m:oMath>
      <w:r>
        <w:t xml:space="preserve"> </w:t>
      </w:r>
      <w:r>
        <w:t xml:space="preserve">(Fig. 2). Derivations and optimal side-span positions are in Supplementary Section S2 and Table S2, and all closed forms agree with finite element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sty m:val="p"/>
              </m:rPr>
              <m:t>*</m:t>
            </m:r>
          </m:sup>
        </m:sSup>
        <m:d>
          <m:dPr>
            <m:begChr m:val="("/>
            <m:endChr m:val=")"/>
            <m:sepChr m:val=""/>
            <m:grow/>
          </m:dPr>
          <m:e>
            <m:r>
              <m:t>β</m:t>
            </m:r>
          </m:e>
        </m:d>
      </m:oMath>
      <w:r>
        <w:t xml:space="preserve"> </w:t>
      </w:r>
      <w:r>
        <w:t xml:space="preserve">(dashed) and Cầu Mây proportions with a mid side-span sensor (circle);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(9)</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sepChr m:val=""/>
            <m:grow/>
          </m:dPr>
          <m:e>
            <m:r>
              <m:t>N</m:t>
            </m:r>
          </m:e>
        </m:d>
        <m:r>
          <m:rPr>
            <m:sty m:val="p"/>
          </m:rPr>
          <m:t>&lt;</m:t>
        </m:r>
        <m:r>
          <m:t>0.2</m:t>
        </m:r>
      </m:oMath>
      <w:r>
        <w:t xml:space="preserve">.</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crit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both thresholds are design conventions.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907"/>
            <w:vAlign w:val="center"/>
          </w:tcPr>
          <w:p>
            <w:pPr>
              <w:jc w:val="right"/>
            </w:pPr>
            <w:r>
              <w:t xml:space="preserve">(11)</w:t>
            </w:r>
          </w:p>
        </w:tc>
      </w:tr>
    </w:tbl>
    <w:p>
      <w:pPr>
        <w:pStyle w:val="BodyText"/>
      </w:pPr>
      <w:r>
        <w:t xml:space="preserve">the net influence area divided by its positive part</w:t>
      </w:r>
      <w:r>
        <w:t xml:space="preserve"> </w:t>
      </w:r>
      <m:oMath>
        <m:sSup>
          <m:e>
            <m:r>
              <m:t>A</m:t>
            </m:r>
          </m:e>
          <m:sup>
            <m:r>
              <m:rPr>
                <m:sty m:val="p"/>
              </m:rPr>
              <m:t>+</m:t>
            </m:r>
          </m:sup>
        </m:sSup>
      </m:oMath>
      <w:r>
        <w:t xml:space="preserve">.</w:t>
      </w:r>
      <w:r>
        <w:t xml:space="preserve"> </w:t>
      </w:r>
      <m:oMath>
        <m:r>
          <m:t>R</m:t>
        </m:r>
      </m:oMath>
      <w:r>
        <w:t xml:space="preserve"> </w:t>
      </w:r>
      <w:r>
        <w:t xml:space="preserve">equals 1 for a simply supported span and 0 at a blind configuration, so a small indicator with</w:t>
      </w:r>
      <w:r>
        <w:t xml:space="preserve"> </w:t>
      </w:r>
      <m:oMath>
        <m:r>
          <m:t>R</m:t>
        </m:r>
      </m:oMath>
      <w:r>
        <w:t xml:space="preserve"> </w:t>
      </w:r>
      <w:r>
        <w:t xml:space="preserve">near 1 indicates restraint rather than cancellation. Strain influence lines cancel less than deflection influence lines at every prismatic location examined: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tot</m:t>
            </m:r>
          </m:sub>
        </m:sSub>
      </m:oMath>
      <w:r>
        <w:t xml:space="preserve"> </w:t>
      </w:r>
      <w:r>
        <w:t xml:space="preserve">to the integral over a record of length</w:t>
      </w:r>
      <w:r>
        <w:t xml:space="preserve"> </w:t>
      </w:r>
      <m:oMath>
        <m:sSub>
          <m:e>
            <m:r>
              <m:t>L</m:t>
            </m:r>
          </m:e>
          <m:sub>
            <m:r>
              <m:rPr>
                <m:sty m:val="p"/>
              </m:rPr>
              <m:t>tot</m:t>
            </m:r>
          </m:sub>
        </m:sSub>
      </m:oMath>
      <w:r>
        <w:t xml:space="preserve">.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tot</m:t>
                        </m:r>
                      </m:sub>
                    </m:sSub>
                  </m:num>
                  <m:den>
                    <m:r>
                      <m:t>C</m:t>
                    </m:r>
                  </m:den>
                </m:f>
                <m:r>
                  <m:rPr>
                    <m:sty m:val="p"/>
                  </m:rPr>
                  <m:t>.</m:t>
                </m:r>
              </m:oMath>
            </m:oMathPara>
          </w:p>
        </w:tc>
        <w:tc>
          <w:tcPr>
            <w:tcW w:type="dxa" w:w="907"/>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Var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(13)</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rPr>
                  <m:t>Var</m:t>
                </m:r>
                <m:r>
                  <m:t> </m:t>
                </m:r>
                <m:sSub>
                  <m:e>
                    <m:acc>
                      <m:accPr>
                        <m:chr m:val="̂"/>
                      </m:accPr>
                      <m:e>
                        <m:r>
                          <m:t>P</m:t>
                        </m:r>
                      </m:e>
                    </m:acc>
                  </m:e>
                  <m:sub>
                    <m:r>
                      <m:rPr>
                        <m:sty m:val="p"/>
                      </m:rPr>
                      <m:t>zs</m:t>
                    </m:r>
                  </m:sub>
                </m:sSub>
                <m:r>
                  <m:rPr>
                    <m:sty m:val="p"/>
                  </m:rPr>
                  <m:t>=</m:t>
                </m:r>
                <m:f>
                  <m:fPr>
                    <m:type m:val="bar"/>
                  </m:fPr>
                  <m:num>
                    <m:sSup>
                      <m:e>
                        <m:r>
                          <m:t>σ</m:t>
                        </m:r>
                      </m:e>
                      <m:sup>
                        <m:r>
                          <m:t>2</m:t>
                        </m:r>
                      </m:sup>
                    </m:sSup>
                    <m:r>
                      <m:t>Δ</m:t>
                    </m:r>
                    <m:r>
                      <m:t>x</m:t>
                    </m:r>
                    <m:r>
                      <m:t> </m:t>
                    </m:r>
                    <m:sSub>
                      <m:e>
                        <m:r>
                          <m:t>L</m:t>
                        </m:r>
                      </m:e>
                      <m:sub>
                        <m:r>
                          <m:rPr>
                            <m:sty m:val="p"/>
                          </m:rPr>
                          <m:t>tot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tot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(14)</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Var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(13) and (14),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maximum; with correlated offsets one should sit at the minimum, because a common offset cancels in the difference. A brute-force search found no better design, and a Monte Carlo study confirmed Eqs. (13) and (14) to within 0.6 %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For a mirror-symmetric girder with equal piers, the uniform load excites only the antisymmetric pattern of pier rotations,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is called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side</m:t>
                        </m:r>
                      </m:sub>
                    </m:sSub>
                  </m:num>
                  <m:den>
                    <m:r>
                      <m:t>E</m:t>
                    </m:r>
                    <m:sSub>
                      <m:e>
                        <m:r>
                          <m:t>I</m:t>
                        </m:r>
                      </m:e>
                      <m:sub>
                        <m:r>
                          <m:rPr>
                            <m:sty m:val="p"/>
                          </m:rPr>
                          <m:t>side</m:t>
                        </m:r>
                      </m:sub>
                    </m:sSub>
                  </m:den>
                </m:f>
                <m:r>
                  <m:rPr>
                    <m:sty m:val="p"/>
                  </m:rPr>
                  <m:t>.</m:t>
                </m:r>
              </m:oMath>
            </m:oMathPara>
          </w:p>
        </w:tc>
        <w:tc>
          <w:tcPr>
            <w:tcW w:type="dxa" w:w="907"/>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span</m:t>
            </m:r>
          </m:sub>
        </m:sSub>
      </m:oMath>
      <w:r>
        <w:t xml:space="preserve"> </w:t>
      </w:r>
      <w:r>
        <w:t xml:space="preserve">in Eq. (5). In the main span the end-moment parameter becomes</w:t>
      </w:r>
      <w:r>
        <w:t xml:space="preserve"> </w:t>
      </w:r>
      <m:oMath>
        <m:sSub>
          <m:e>
            <m:acc>
              <m:accPr>
                <m:chr m:val="‾"/>
              </m:accPr>
              <m:e>
                <m:r>
                  <m:t>M</m:t>
                </m:r>
              </m:e>
            </m:acc>
          </m:e>
          <m:sub>
            <m:r>
              <m:rPr>
                <m:sty m:val="p"/>
              </m:rPr>
              <m:t>main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verification"/>
    <w:p>
      <w:pPr>
        <w:pStyle w:val="Heading2"/>
      </w:pPr>
      <w:r>
        <w:t xml:space="preserve">3. Laboratory verification</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S3). The BPM-to-SLM ratio equals 1.0049, the ratio of the measured reference integral to its exact value: SLM absorbs the calibration error of the reference record, whereas BPM does not. The SLM deviations match the growth of the measured-to-analytical integral ratio (1.010, 1.016 and 1.017 for one, two and three loads), which the data cannot assign to either support seating or the stated masses. The test supports the invariance of Eq. (2) only indirectly, and the predicted blind configuration (spans of 2500 mm and 3644 mm) was not tested.</w:t>
      </w:r>
    </w:p>
    <w:bookmarkEnd w:id="37"/>
    <w:bookmarkStart w:id="47" w:name="X1726abe2eab959bdb5e0d716a3723da0db54df6"/>
    <w:p>
      <w:pPr>
        <w:pStyle w:val="Heading2"/>
      </w:pPr>
      <w:r>
        <w:t xml:space="preserve">4. Verification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for example st36 and st40). On day 1, two 3-axle trucks with driver-reported gross weights ran in the instrumented lane (Moghadam, 2022). On day 2, a 3-axle truck of 26.8 t and a 5-axle truck of 25.9 t, weighed on a static scale (Moghadam, 2022), ran in the instrumented lane (lane A), in the other lane (lane B), and in two runs one behind the other. The weights vary by only a few percent within each day.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Shaded: integration window; dashed: beam-model shape; legend: integral</w:t>
      </w:r>
      <w:r>
        <w:t xml:space="preserve"> </w:t>
      </w:r>
      <m:oMath>
        <m:r>
          <m:rPr>
            <m:sty m:val="p"/>
          </m:rPr>
          <m:t>∫</m:t>
        </m:r>
        <m:r>
          <m:t>ε</m:t>
        </m:r>
        <m:r>
          <m:t> </m:t>
        </m:r>
        <m:r>
          <m:rPr>
            <m:sty m:val="p"/>
          </m:rPr>
          <m:t>d</m:t>
        </m:r>
        <m:r>
          <m:t>x</m:t>
        </m:r>
      </m:oMath>
      <w:r>
        <w:t xml:space="preserve"> </w:t>
      </w:r>
      <w:r>
        <w:t xml:space="preserve">(µε m) per gauge.</w:t>
      </w:r>
    </w:p>
    <w:bookmarkEnd w:id="41"/>
    <w:bookmarkStart w:id="45" w:name="invariance-lanes-and-gauges"/>
    <w:p>
      <w:pPr>
        <w:pStyle w:val="Heading3"/>
      </w:pPr>
      <w:r>
        <w:t xml:space="preserve">4.2. Invariance, lanes and gauges</w:t>
      </w:r>
    </w:p>
    <w:p>
      <w:pPr>
        <w:pStyle w:val="FirstParagraph"/>
      </w:pPr>
      <w:r>
        <w:t xml:space="preserve">Invariance between trucks can be shown only within margins of 10–27 %. On day 1, the</w:t>
      </w:r>
      <w:r>
        <w:t xml:space="preserve"> </w:t>
      </w:r>
      <m:oMath>
        <m:sSup>
          <m:e>
            <m:r>
              <m:t>χ</m:t>
            </m:r>
          </m:e>
          <m:sup>
            <m:r>
              <m:t>2</m:t>
            </m:r>
          </m:sup>
        </m:sSup>
      </m:oMath>
      <w:r>
        <w:t xml:space="preserve"> </w:t>
      </w:r>
      <w:r>
        <w:t xml:space="preserve">test does not reject consistency with the measured noise for eight of the twelve gauges, but only ch11 shows equal constants for both trucks within ±10 % (Fig. 5a); with twelve tests at the 5 % level, one such pass is about what chance alone would produce. The four gauges without axle spikes give constants 22–26 % lower for the second truck (CIs exclude 1), but speed and truck are almost perfectly confounded on day 1 (correlation 0.98), so wheel path, local deck action or speed may cause this. On day 2, the ratio of the gauge-average constants of the 5-axle and the 3-axle truck is 0.98 (95 % CI 0.70–1.37; Fig. 5b): consistent with Eq. (2), but with eight runs it cannot exclude differences of up to about 27 %, so it is a coarse check of linearity and processing. A speed effect was neither resolved nor excluded (Supplementary Fig. S11).</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Gray bands: ±5 % and ±10 %. Red: invariance rejected; blue: equivalent within ±10 %; orange: inconclusive.</w:t>
      </w:r>
    </w:p>
    <w:p>
      <w:pPr>
        <w:pStyle w:val="BodyText"/>
      </w:pPr>
      <w:r>
        <w:t xml:space="preserve">Each lane needs its own constant. For the gauge average, return trips in lane B gave constants 0.79 times those of lane A (95 % CI 0.59–1.00), as on another continuous girder (Wu et al., 2020); lane-B speeds came from the lag between gauges, so this ratio also contains any difference between the two speed estimates. The lane effect is clearly resolved for one gauge only (st36: 0.64, 95 % CI 0.47–0.81). For the gauge average, the two runs with the trucks one behind the other gave 0.92 of the summed single-truck predictions (pooled 95 % CI 0.77–1.06), consistent with superposition although both fall below the prediction.</w:t>
      </w:r>
    </w:p>
    <w:p>
      <w:pPr>
        <w:pStyle w:val="BodyText"/>
      </w:pPr>
      <w:r>
        <w:t xml:space="preserve">Each deck gauge also needs its own constant. The constant of ch11 is 3.9 times that of ch8, although the gauges are within 6 m of each other and a one-dimensional beam model predicts nearly equal constants. The st36-to-st40 ratio also changes with the lane, by about 2.5 standard errors. Both observations make a spread of gauge factors an unlikely cause of the differences between gauges. The deck-soffit gauges also respond to slab bending and shear lag, so the constant must come from a weighed vehicle or a three-dimensional model. A beam model still reproduces the global shape of the strain histories (</w:t>
      </w:r>
      <m:oMath>
        <m:sSup>
          <m:e>
            <m:r>
              <m:t>r</m:t>
            </m:r>
          </m:e>
          <m:sup>
            <m:r>
              <m:t>2</m:t>
            </m:r>
          </m:sup>
        </m:sSup>
      </m:oMath>
      <w:r>
        <w:t xml:space="preserve"> </w:t>
      </w:r>
      <w:r>
        <w:t xml:space="preserve">= 0.79–0.94) and confirms two points of Section 2: the gauges are not blind, since the zeros of the uniform-load moment diagram in span 2 lie about 35 m away, and the whole 605 m crossing must be integrated, since span 2 contributes about 170 % of the net integral and the adjacent spans −26 % and −66 %.</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(13)) and the zero-sum estimator (Eq. (14)) were compared by leave-one-run-out cross-validation, with</w:t>
      </w:r>
      <w:r>
        <w:t xml:space="preserve"> </w:t>
      </w:r>
      <m:oMath>
        <m:r>
          <m:t>Σ</m:t>
        </m:r>
      </m:oMath>
      <w:r>
        <w:t xml:space="preserve"> </w:t>
      </w:r>
      <w:r>
        <w:t xml:space="preserve">estimated from vehicle-free windows only (Table 2; further estimators and leave-one-truck-out results in Supplementary Table S8 and Fig. S10).</w:t>
      </w:r>
    </w:p>
    <w:p>
      <w:pPr>
        <w:pStyle w:val="BodyText"/>
        <w:keepNext/>
      </w:pPr>
      <w:r>
        <w:rPr>
          <w:bCs/>
          <w:b/>
        </w:rPr>
        <w:t xml:space="preserve">Table 2.</w:t>
      </w:r>
      <w:r>
        <w:t xml:space="preserve"> </w:t>
      </w:r>
      <w:r>
        <w:t xml:space="preserve">Mean absolute error (MAE) of the gross weight (% of gross vehicle weight), leave-one-run-out, with 95 % bootstrap CIs over the test runs (n = 8 on day 2, n = 7 on day 1). GLS uses</w:t>
      </w:r>
      <w:r>
        <w:t xml:space="preserve"> </w:t>
      </w:r>
      <m:oMath>
        <m:r>
          <m:t>Σ</m:t>
        </m:r>
      </m:oMath>
      <w:r>
        <w:t xml:space="preserve"> </w:t>
      </w:r>
      <w:r>
        <w:t xml:space="preserve">measured in vehicle-free windows.</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 weight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Because the reference weights hardly vary, a predictor that always returns the mean calibration weight is better than every estimator on both days, and the records cannot show weight discrimination.</w:t>
      </w:r>
    </w:p>
    <w:p>
      <w:pPr>
        <w:pStyle w:val="BodyText"/>
      </w:pPr>
      <w:r>
        <w:t xml:space="preserve">The failure of GLS is itself a finding. 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whereas the residual covariance predicts the observed reverse order (Supplementary Section S7). The gauge-specific component of each crossing, plausibly from the wheel path and local slab action, is amplified by the large GLS weights of opposite sign on st40 and st36, and estimating</w:t>
      </w:r>
      <w:r>
        <w:t xml:space="preserve"> </w:t>
      </w:r>
      <m:oMath>
        <m:r>
          <m:t>Σ</m:t>
        </m:r>
      </m:oMath>
      <w:r>
        <w:t xml:space="preserve"> </w:t>
      </w:r>
      <w:r>
        <w:t xml:space="preserve">from the residuals over-fits with only eight runs.</w:t>
      </w:r>
      <w:r>
        <w:t xml:space="preserve"> </w:t>
      </w:r>
      <m:oMath>
        <m:r>
          <m:t>Σ</m:t>
        </m:r>
      </m:oMath>
      <w:r>
        <w:t xml:space="preserve">, and hence</w:t>
      </w:r>
      <w:r>
        <w:t xml:space="preserve"> </w:t>
      </w:r>
      <m:oMath>
        <m:r>
          <m:t>ρ</m:t>
        </m:r>
      </m:oMath>
      <w:r>
        <w:t xml:space="preserve">, should be estimated from the residuals of enough calibration crossings, not from vehicle-free windows alone.</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Cầu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including T7, are monolithic with the girder; the end supports T5 and T8 carry pot bearings. In the June 2020 acceptance test, 3-axle trucks with a mean weighed gross weight of 25.06 t stood in the side and main spans, and dial gauges read the peak deflection at N8, in the side span at 0.4L (22 m) from T8, and at N7, mid main span. Each section has six readings (three points across, central and eccentric arrangements), with means of 5.55 mm at N8 and 15.42 mm at N7 (Supplementary Tables S11–S13).</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Fig.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Cầu Mây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r>
          <m:t>c</m:t>
        </m:r>
        <m:r>
          <m:rPr>
            <m:sty m:val="p"/>
          </m:rPr>
          <m:t>/</m:t>
        </m:r>
        <m:r>
          <m:t>E</m:t>
        </m:r>
        <m:r>
          <m:t>I</m:t>
        </m:r>
      </m:oMath>
      <w:r>
        <w:t xml:space="preserve">, with</w:t>
      </w:r>
      <w:r>
        <w:t xml:space="preserve"> </w:t>
      </w:r>
      <m:oMath>
        <m:r>
          <m:t>c</m:t>
        </m:r>
        <m:r>
          <m:rPr>
            <m:sty m:val="p"/>
          </m:rPr>
          <m:t>∝</m:t>
        </m:r>
        <m:r>
          <m:t>h</m:t>
        </m:r>
      </m:oMath>
      <w:r>
        <w:t xml:space="preserve">. Dotted lines: gauge positions.</w:t>
      </w:r>
    </w:p>
    <w:bookmarkEnd w:id="51"/>
    <w:bookmarkStart w:id="55" w:name="what-the-static-data-identify"/>
    <w:p>
      <w:pPr>
        <w:pStyle w:val="Heading3"/>
      </w:pPr>
      <w:r>
        <w:t xml:space="preserve">5.2. What the static data identify</w:t>
      </w:r>
    </w:p>
    <w:p>
      <w:pPr>
        <w:pStyle w:val="FirstParagraph"/>
      </w:pPr>
      <w:r>
        <w:t xml:space="preserve">The static data leave the constant of the side-span gauge N8 uncertain by a factor of 6.6, whereas that of the main-span gauge N7 is well determined, because of a model-form misfit and the Möbius law of Eq. (15).</w:t>
      </w:r>
    </w:p>
    <w:p>
      <w:pPr>
        <w:pStyle w:val="BodyText"/>
      </w:pPr>
      <w:r>
        <w:t xml:space="preserve">The misfit ratio</w:t>
      </w:r>
      <w:r>
        <w:t xml:space="preserve"> </w:t>
      </w:r>
      <m:oMath>
        <m:sSub>
          <m:e>
            <m:r>
              <m:t>r</m:t>
            </m:r>
          </m:e>
          <m:sub>
            <m:r>
              <m:t>87</m:t>
            </m:r>
          </m:sub>
        </m:sSub>
      </m:oMath>
      <w:r>
        <w:t xml:space="preserve">, the measured-to-model ratio at N8 divided by that at N7, would equal 1 if one model fitted both gauges. Its minimum, 1.058, lies at calibration B (Fig. 7a), and the model-form variants move the minimum between 1.039 and 1.092 but never to 1. The 4–9 % residual is therefore model-form error, calibration B is the nearest fit rather than an exact one, and its</w:t>
      </w:r>
      <w:r>
        <w:t xml:space="preserve"> </w:t>
      </w:r>
      <m:oMath>
        <m:r>
          <m:t>α</m:t>
        </m:r>
        <m:r>
          <m:rPr>
            <m:sty m:val="p"/>
          </m:rPr>
          <m:t>=</m:t>
        </m:r>
        <m:r>
          <m:t>0.716</m:t>
        </m:r>
      </m:oMath>
      <w:r>
        <w:t xml:space="preserve"> </w:t>
      </w:r>
      <w:r>
        <w:t xml:space="preserve">would mean a 28 % loss of rigidity in a recently built prestressed girder.</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Cầu Mây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p>
      <w:pPr>
        <w:pStyle w:val="BodyText"/>
      </w:pPr>
      <w:r>
        <w:t xml:space="preserve">The admissible set contains every model whose misfit at each gauge stays within a tolerance</w:t>
      </w:r>
      <w:r>
        <w:t xml:space="preserve"> </w:t>
      </w:r>
      <m:oMath>
        <m:r>
          <m:t>τ</m:t>
        </m:r>
      </m:oMath>
      <w:r>
        <w:t xml:space="preserve">. The six readings of each section have a standard deviation of 4.7–5.0 % about their mean, so the standard error of the mean is 1.9–2.0 %; this scatter comes from the transverse positions, not from repeatability, because the readings are not replicates. Combined in quadrature with a model-form standard uncertainty of 1.75 %, it gives 2.64 % for each section mean and</w:t>
      </w:r>
      <w:r>
        <w:t xml:space="preserve"> </w:t>
      </w:r>
      <m:oMath>
        <m:r>
          <m:t>τ</m:t>
        </m:r>
        <m:r>
          <m:rPr>
            <m:sty m:val="p"/>
          </m:rPr>
          <m:t>=</m:t>
        </m:r>
        <m:r>
          <m:t>5.3</m:t>
        </m:r>
      </m:oMath>
      <w:r>
        <w:t xml:space="preserve"> </w:t>
      </w:r>
      <w:r>
        <w:t xml:space="preserve">% at two standard deviations. At this tolerance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Table S10).</w:t>
      </w:r>
    </w:p>
    <w:p>
      <w:pPr>
        <w:pStyle w:val="BodyText"/>
      </w:pPr>
      <w:r>
        <w:t xml:space="preserve">Over the admissible set,</w:t>
      </w:r>
      <w:r>
        <w:t xml:space="preserve"> </w:t>
      </w:r>
      <m:oMath>
        <m:sSub>
          <m:e>
            <m:r>
              <m:t>C</m:t>
            </m:r>
          </m:e>
          <m:sub>
            <m:r>
              <m:t>8</m:t>
            </m:r>
          </m:sub>
        </m:sSub>
      </m:oMath>
      <w:r>
        <w:t xml:space="preserve"> </w:t>
      </w:r>
      <w:r>
        <w:t xml:space="preserve">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whereas</w:t>
      </w:r>
      <w:r>
        <w:t xml:space="preserve"> </w:t>
      </w:r>
      <m:oMath>
        <m:sSub>
          <m:e>
            <m:r>
              <m:t>C</m:t>
            </m:r>
          </m:e>
          <m:sub>
            <m:r>
              <m:t>7</m:t>
            </m:r>
          </m:sub>
        </m:sSub>
      </m:oMath>
      <w:r>
        <w:t xml:space="preserve"> </w:t>
      </w:r>
      <w:r>
        <w:t xml:space="preserve">stays within</w:t>
      </w:r>
      <w:r>
        <w:t xml:space="preserve"> </w:t>
      </w:r>
      <m:oMath>
        <m:r>
          <m:t>3.3</m:t>
        </m:r>
      </m:oMath>
      <w:r>
        <w:t xml:space="preserve">–</w:t>
      </w:r>
      <m:oMath>
        <m:r>
          <m:t>5.0</m:t>
        </m:r>
        <m:r>
          <m:rPr>
            <m:sty m:val="p"/>
          </m:rPr>
          <m:t>×</m:t>
        </m:r>
        <m:sSup>
          <m:e>
            <m:r>
              <m:t>10</m:t>
            </m:r>
          </m:e>
          <m:sup>
            <m:r>
              <m:rPr>
                <m:sty m:val="p"/>
              </m:rPr>
              <m:t>−</m:t>
            </m:r>
            <m:r>
              <m:t>4</m:t>
            </m:r>
          </m:sup>
        </m:sSup>
      </m:oMath>
      <w:r>
        <w:t xml:space="preserve"> </w:t>
      </w:r>
      <w:r>
        <w:t xml:space="preserve">m²/kN; the N8 indicator spans 0.124–0.822 against 0.190–0.286 for N7 (Table 3). Going from pinned to fixed piers multiplies the N8 constant by 14.0 but reduces the N7 constant to 0.59 of its pinned value, and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(10), and cancellation ratio</w:t>
      </w:r>
      <w:r>
        <w:t xml:space="preserve"> </w:t>
      </w:r>
      <m:oMath>
        <m:r>
          <m:t>R</m:t>
        </m:r>
      </m:oMath>
      <w:r>
        <w:t xml:space="preserve">, Eq. (11), of the installed Cầu Mây gauges;</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 (</w:t>
      </w:r>
      <m:oMath>
        <m:r>
          <m:t>τ</m:t>
        </m:r>
      </m:oMath>
      <w:r>
        <w:t xml:space="preserve"> </w:t>
      </w:r>
      <w:r>
        <w:t xml:space="preserve">= 5.3 %,</w:t>
      </w:r>
      <w:r>
        <w:t xml:space="preserve"> </w:t>
      </w:r>
      <m:oMath>
        <m:r>
          <m:t>α</m:t>
        </m:r>
      </m:oMath>
      <w:r>
        <w:t xml:space="preserve"> </w:t>
      </w:r>
      <w:r>
        <w:t xml:space="preserve">= 0.51–1.15); haunched pinned-pier and fixed-pier rows give the extremes over all model-form variants. Values at mid side span: Supplementary Table S14.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388"/>
        <w:gridCol w:w="1919"/>
        <w:gridCol w:w="1777"/>
        <w:gridCol w:w="1492"/>
        <w:gridCol w:w="1492"/>
      </w:tblGrid>
      <w:tr>
        <w:trPr>
          <w:tblHeader w:val="true"/>
          <w:tblHeader w:val="true"/>
          <w:cantSplit/>
        </w:trPr>
        <w:tc>
          <w:tcPr>
            <w:tcW w:type="dxa" w:w="2388"/>
            <w:tcBorders>
              <w:top w:val="nil"/>
              <w:left w:val="nil"/>
              <w:bottom w:val="single" w:sz="6" w:space="0" w:color="000000"/>
              <w:right w:val="nil"/>
            </w:tcBorders>
          </w:tcPr>
          <w:p>
            <w:pPr>
              <w:pStyle w:val="Compact"/>
              <w:jc w:val="left"/>
            </w:pPr>
            <w:r>
              <w:t xml:space="preserve">Model</w:t>
            </w:r>
          </w:p>
        </w:tc>
        <w:tc>
          <w:tcPr>
            <w:tcW w:type="dxa" w:w="1919"/>
            <w:tcBorders>
              <w:top w:val="nil"/>
              <w:left w:val="nil"/>
              <w:bottom w:val="single" w:sz="6" w:space="0" w:color="000000"/>
              <w:right w:val="nil"/>
            </w:tcBorders>
          </w:tcPr>
          <w:p>
            <w:pPr>
              <w:pStyle w:val="Compact"/>
              <w:jc w:val="right"/>
            </w:pPr>
            <m:oMath>
              <m:sSub>
                <m:e>
                  <m:r>
                    <m:t>N</m:t>
                  </m:r>
                </m:e>
                <m:sub>
                  <m:r>
                    <m:t>w</m:t>
                  </m:r>
                </m:sub>
              </m:sSub>
            </m:oMath>
            <w:r>
              <w:t xml:space="preserve">, N8 at 0.4L</w:t>
            </w:r>
          </w:p>
        </w:tc>
        <w:tc>
          <w:tcPr>
            <w:tcW w:type="dxa" w:w="1777"/>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92"/>
            <w:tcBorders>
              <w:top w:val="nil"/>
              <w:left w:val="nil"/>
              <w:bottom w:val="single" w:sz="6" w:space="0" w:color="000000"/>
              <w:right w:val="nil"/>
            </w:tcBorders>
          </w:tcPr>
          <w:p>
            <w:pPr>
              <w:pStyle w:val="Compact"/>
              <w:jc w:val="right"/>
            </w:pPr>
            <m:oMath>
              <m:r>
                <m:t>R</m:t>
              </m:r>
            </m:oMath>
            <w:r>
              <w:t xml:space="preserve">, N8 at 0.4L</w:t>
            </w:r>
          </w:p>
        </w:tc>
        <w:tc>
          <w:tcPr>
            <w:tcW w:type="dxa" w:w="149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388"/>
          </w:tcPr>
          <w:p>
            <w:pPr>
              <w:pStyle w:val="Compact"/>
              <w:jc w:val="left"/>
            </w:pPr>
            <w:r>
              <w:t xml:space="preserve">Prismatic beam, pinned piers</w:t>
            </w:r>
          </w:p>
        </w:tc>
        <w:tc>
          <w:tcPr>
            <w:tcW w:type="dxa" w:w="1919"/>
          </w:tcPr>
          <w:p>
            <w:pPr>
              <w:pStyle w:val="Compact"/>
              <w:jc w:val="right"/>
            </w:pPr>
            <w:r>
              <w:t xml:space="preserve">0.287</w:t>
            </w:r>
          </w:p>
        </w:tc>
        <w:tc>
          <w:tcPr>
            <w:tcW w:type="dxa" w:w="1777"/>
          </w:tcPr>
          <w:p>
            <w:pPr>
              <w:pStyle w:val="Compact"/>
              <w:jc w:val="right"/>
            </w:pPr>
            <w:r>
              <w:t xml:space="preserve">0.755</w:t>
            </w:r>
          </w:p>
        </w:tc>
        <w:tc>
          <w:tcPr>
            <w:tcW w:type="dxa" w:w="1492"/>
          </w:tcPr>
          <w:p>
            <w:pPr>
              <w:pStyle w:val="Compact"/>
              <w:jc w:val="right"/>
            </w:pPr>
            <w:r>
              <w:t xml:space="preserve">0.14</w:t>
            </w:r>
          </w:p>
        </w:tc>
        <w:tc>
          <w:tcPr>
            <w:tcW w:type="dxa" w:w="1492"/>
          </w:tcPr>
          <w:p>
            <w:pPr>
              <w:pStyle w:val="Compact"/>
              <w:jc w:val="right"/>
            </w:pPr>
            <w:r>
              <w:t xml:space="preserve">0.70</w:t>
            </w:r>
          </w:p>
        </w:tc>
      </w:tr>
      <w:tr>
        <w:trPr>
          <w:cantSplit/>
        </w:trPr>
        <w:tc>
          <w:tcPr>
            <w:tcW w:type="dxa" w:w="2388"/>
          </w:tcPr>
          <w:p>
            <w:pPr>
              <w:pStyle w:val="Compact"/>
              <w:jc w:val="left"/>
            </w:pPr>
            <w:r>
              <w:t xml:space="preserve">Haunched, calibration A</w:t>
            </w:r>
          </w:p>
        </w:tc>
        <w:tc>
          <w:tcPr>
            <w:tcW w:type="dxa" w:w="1919"/>
          </w:tcPr>
          <w:p>
            <w:pPr>
              <w:pStyle w:val="Compact"/>
              <w:jc w:val="right"/>
            </w:pPr>
            <w:r>
              <w:t xml:space="preserve">0.181</w:t>
            </w:r>
          </w:p>
        </w:tc>
        <w:tc>
          <w:tcPr>
            <w:tcW w:type="dxa" w:w="1777"/>
          </w:tcPr>
          <w:p>
            <w:pPr>
              <w:pStyle w:val="Compact"/>
              <w:jc w:val="right"/>
            </w:pPr>
            <w:r>
              <w:t xml:space="preserve">0.209</w:t>
            </w:r>
          </w:p>
        </w:tc>
        <w:tc>
          <w:tcPr>
            <w:tcW w:type="dxa" w:w="1492"/>
          </w:tcPr>
          <w:p>
            <w:pPr>
              <w:pStyle w:val="Compact"/>
              <w:jc w:val="right"/>
            </w:pPr>
            <w:r>
              <w:t xml:space="preserve">0.18</w:t>
            </w:r>
          </w:p>
        </w:tc>
        <w:tc>
          <w:tcPr>
            <w:tcW w:type="dxa" w:w="1492"/>
          </w:tcPr>
          <w:p>
            <w:pPr>
              <w:pStyle w:val="Compact"/>
              <w:jc w:val="right"/>
            </w:pPr>
            <w:r>
              <w:t xml:space="preserve">0.59</w:t>
            </w:r>
          </w:p>
        </w:tc>
      </w:tr>
      <w:tr>
        <w:trPr>
          <w:cantSplit/>
        </w:trPr>
        <w:tc>
          <w:tcPr>
            <w:tcW w:type="dxa" w:w="2388"/>
          </w:tcPr>
          <w:p>
            <w:pPr>
              <w:pStyle w:val="Compact"/>
              <w:jc w:val="left"/>
            </w:pPr>
            <w:r>
              <w:t xml:space="preserve">Haunched, calibration B</w:t>
            </w:r>
          </w:p>
        </w:tc>
        <w:tc>
          <w:tcPr>
            <w:tcW w:type="dxa" w:w="1919"/>
          </w:tcPr>
          <w:p>
            <w:pPr>
              <w:pStyle w:val="Compact"/>
              <w:jc w:val="right"/>
            </w:pPr>
            <w:r>
              <w:t xml:space="preserve">0.476ᵃ</w:t>
            </w:r>
          </w:p>
        </w:tc>
        <w:tc>
          <w:tcPr>
            <w:tcW w:type="dxa" w:w="1777"/>
          </w:tcPr>
          <w:p>
            <w:pPr>
              <w:pStyle w:val="Compact"/>
              <w:jc w:val="right"/>
            </w:pPr>
            <w:r>
              <w:t xml:space="preserve">0.234</w:t>
            </w:r>
          </w:p>
        </w:tc>
        <w:tc>
          <w:tcPr>
            <w:tcW w:type="dxa" w:w="1492"/>
          </w:tcPr>
          <w:p>
            <w:pPr>
              <w:pStyle w:val="Compact"/>
              <w:jc w:val="right"/>
            </w:pPr>
            <w:r>
              <w:t xml:space="preserve">0.56</w:t>
            </w:r>
          </w:p>
        </w:tc>
        <w:tc>
          <w:tcPr>
            <w:tcW w:type="dxa" w:w="1492"/>
          </w:tcPr>
          <w:p>
            <w:pPr>
              <w:pStyle w:val="Compact"/>
              <w:jc w:val="right"/>
            </w:pPr>
            <w:r>
              <w:t xml:space="preserve">0.77</w:t>
            </w:r>
          </w:p>
        </w:tc>
      </w:tr>
      <w:tr>
        <w:trPr>
          <w:cantSplit/>
        </w:trPr>
        <w:tc>
          <w:tcPr>
            <w:tcW w:type="dxa" w:w="2388"/>
          </w:tcPr>
          <w:p>
            <w:pPr>
              <w:pStyle w:val="Compact"/>
              <w:jc w:val="left"/>
            </w:pPr>
            <w:r>
              <w:t xml:space="preserve">Haunched, admissible set</w:t>
            </w:r>
          </w:p>
        </w:tc>
        <w:tc>
          <w:tcPr>
            <w:tcW w:type="dxa" w:w="1919"/>
          </w:tcPr>
          <w:p>
            <w:pPr>
              <w:pStyle w:val="Compact"/>
              <w:jc w:val="right"/>
            </w:pPr>
            <w:r>
              <w:t xml:space="preserve">0.124–0.822ᵇ</w:t>
            </w:r>
          </w:p>
        </w:tc>
        <w:tc>
          <w:tcPr>
            <w:tcW w:type="dxa" w:w="1777"/>
          </w:tcPr>
          <w:p>
            <w:pPr>
              <w:pStyle w:val="Compact"/>
              <w:jc w:val="right"/>
            </w:pPr>
            <w:r>
              <w:t xml:space="preserve">0.190–0.286</w:t>
            </w:r>
          </w:p>
        </w:tc>
        <w:tc>
          <w:tcPr>
            <w:tcW w:type="dxa" w:w="1492"/>
          </w:tcPr>
          <w:p>
            <w:pPr>
              <w:pStyle w:val="Compact"/>
              <w:jc w:val="right"/>
            </w:pPr>
            <w:r>
              <w:t xml:space="preserve">0.13–1.00</w:t>
            </w:r>
          </w:p>
        </w:tc>
        <w:tc>
          <w:tcPr>
            <w:tcW w:type="dxa" w:w="1492"/>
          </w:tcPr>
          <w:p>
            <w:pPr>
              <w:pStyle w:val="Compact"/>
              <w:jc w:val="right"/>
            </w:pPr>
            <w:r>
              <w:t xml:space="preserve">0.56–1.00</w:t>
            </w:r>
          </w:p>
        </w:tc>
      </w:tr>
      <w:tr>
        <w:trPr>
          <w:cantSplit/>
        </w:trPr>
        <w:tc>
          <w:tcPr>
            <w:tcW w:type="dxa" w:w="2388"/>
          </w:tcPr>
          <w:p>
            <w:pPr>
              <w:pStyle w:val="Compact"/>
              <w:jc w:val="left"/>
            </w:pPr>
            <w:r>
              <w:t xml:space="preserve">Haunched, pinned piers</w:t>
            </w:r>
          </w:p>
        </w:tc>
        <w:tc>
          <w:tcPr>
            <w:tcW w:type="dxa" w:w="1919"/>
          </w:tcPr>
          <w:p>
            <w:pPr>
              <w:pStyle w:val="Compact"/>
              <w:jc w:val="right"/>
            </w:pPr>
            <w:r>
              <w:t xml:space="preserve">0.023</w:t>
            </w:r>
          </w:p>
        </w:tc>
        <w:tc>
          <w:tcPr>
            <w:tcW w:type="dxa" w:w="1777"/>
          </w:tcPr>
          <w:p>
            <w:pPr>
              <w:pStyle w:val="Compact"/>
              <w:jc w:val="right"/>
            </w:pPr>
            <w:r>
              <w:t xml:space="preserve">0.263</w:t>
            </w:r>
          </w:p>
        </w:tc>
        <w:tc>
          <w:tcPr>
            <w:tcW w:type="dxa" w:w="1492"/>
          </w:tcPr>
          <w:p>
            <w:pPr>
              <w:pStyle w:val="Compact"/>
              <w:jc w:val="right"/>
            </w:pPr>
            <w:r>
              <w:t xml:space="preserve">–</w:t>
            </w:r>
          </w:p>
        </w:tc>
        <w:tc>
          <w:tcPr>
            <w:tcW w:type="dxa" w:w="1492"/>
          </w:tcPr>
          <w:p>
            <w:pPr>
              <w:pStyle w:val="Compact"/>
              <w:jc w:val="right"/>
            </w:pPr>
            <w:r>
              <w:t xml:space="preserve">–</w:t>
            </w:r>
          </w:p>
        </w:tc>
      </w:tr>
      <w:tr>
        <w:trPr>
          <w:cantSplit/>
        </w:trPr>
        <w:tc>
          <w:tcPr>
            <w:tcW w:type="dxa" w:w="2388"/>
          </w:tcPr>
          <w:p>
            <w:pPr>
              <w:pStyle w:val="Compact"/>
              <w:jc w:val="left"/>
            </w:pPr>
            <w:r>
              <w:t xml:space="preserve">Haunched, fixed piers</w:t>
            </w:r>
          </w:p>
        </w:tc>
        <w:tc>
          <w:tcPr>
            <w:tcW w:type="dxa" w:w="1919"/>
          </w:tcPr>
          <w:p>
            <w:pPr>
              <w:pStyle w:val="Compact"/>
              <w:jc w:val="right"/>
            </w:pPr>
            <w:r>
              <w:t xml:space="preserve">0.446</w:t>
            </w:r>
          </w:p>
        </w:tc>
        <w:tc>
          <w:tcPr>
            <w:tcW w:type="dxa" w:w="1777"/>
          </w:tcPr>
          <w:p>
            <w:pPr>
              <w:pStyle w:val="Compact"/>
              <w:jc w:val="right"/>
            </w:pPr>
            <w:r>
              <w:t xml:space="preserve">0.145</w:t>
            </w:r>
          </w:p>
        </w:tc>
        <w:tc>
          <w:tcPr>
            <w:tcW w:type="dxa" w:w="1492"/>
          </w:tcPr>
          <w:p>
            <w:pPr>
              <w:pStyle w:val="Compact"/>
              <w:jc w:val="right"/>
            </w:pPr>
            <w:r>
              <w:t xml:space="preserve">–</w:t>
            </w:r>
          </w:p>
        </w:tc>
        <w:tc>
          <w:tcPr>
            <w:tcW w:type="dxa" w:w="1492"/>
          </w:tcPr>
          <w:p>
            <w:pPr>
              <w:pStyle w:val="Compact"/>
              <w:jc w:val="right"/>
            </w:pPr>
            <w:r>
              <w:t xml:space="preserve">–</w:t>
            </w:r>
          </w:p>
        </w:tc>
      </w:tr>
    </w:tbl>
    <w:p>
      <w:pPr>
        <w:pStyle w:val="BodyText"/>
      </w:pPr>
      <w:r>
        <w:t xml:space="preserve">ᵃ Normalized by the effective rigidity</w:t>
      </w:r>
      <w:r>
        <w:t xml:space="preserve"> </w:t>
      </w:r>
      <m:oMath>
        <m:r>
          <m:t>α</m:t>
        </m:r>
        <m:r>
          <m:t>E</m:t>
        </m:r>
        <m:sSub>
          <m:e>
            <m:r>
              <m:t>I</m:t>
            </m:r>
          </m:e>
          <m:sub>
            <m:r>
              <m:rPr>
                <m:sty m:val="p"/>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6).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fifth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Which ranking governs depends on whether the strain resolution or the offset sets the noise.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The placement rule puts a second deflection sensor at the most negative constant, in the side span 4–10 m from the inner pier; the pair at 100 m and 152 m from T5 is within 0.9 % of the calibration-specific optimum under both A and B, so placement is insensitive to the unresolved pier stiffness. Under the assumed noise model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 220 m record including a 20 m convoy allowance,</w:t>
      </w:r>
      <w:r>
        <w:t xml:space="preserve"> </w:t>
      </w:r>
      <m:oMath>
        <m:r>
          <m:t>ρ</m:t>
        </m:r>
        <m:r>
          <m:rPr>
            <m:sty m:val="p"/>
          </m:rPr>
          <m:t>=</m:t>
        </m:r>
        <m:r>
          <m:t>0.9</m:t>
        </m:r>
      </m:oMath>
      <w:r>
        <w:t xml:space="preserve">, calibration A), the standard deviation of the load falls from 24.8 % with N7 alone to 10.6 % with the pair; this gain is an upper bound, because such common-mode behavior need not hold during crossings (Section 4.3).</w:t>
      </w:r>
    </w:p>
    <w:p>
      <w:pPr>
        <w:pStyle w:val="BodyText"/>
      </w:pPr>
      <w:r>
        <w:t xml:space="preserve">If a model-based constant is wanted, a tiltmeter on the monolithic pier T7 is the most informative additional measurement; under the four trucks of the side-span test load it would read about 167 µrad. At calibration A (</w:t>
      </w:r>
      <m:oMath>
        <m:r>
          <m:t>κ</m:t>
        </m:r>
        <m:r>
          <m:rPr>
            <m:sty m:val="p"/>
          </m:rPr>
          <m:t>=</m:t>
        </m:r>
        <m:r>
          <m:t>2.75</m:t>
        </m:r>
        <m:r>
          <m:rPr>
            <m:sty m:val="p"/>
          </m:rPr>
          <m:t>×</m:t>
        </m:r>
        <m:sSup>
          <m:e>
            <m:r>
              <m:t>10</m:t>
            </m:r>
          </m:e>
          <m:sup>
            <m:r>
              <m:t>7</m:t>
            </m:r>
          </m:sup>
        </m:sSup>
      </m:oMath>
      <w:r>
        <w:t xml:space="preserve"> </w:t>
      </w:r>
      <w:r>
        <w:t xml:space="preserve">kN m/rad,</w:t>
      </w:r>
      <w:r>
        <w:t xml:space="preserve"> </w:t>
      </w:r>
      <m:oMath>
        <m:r>
          <m:t>α</m:t>
        </m:r>
      </m:oMath>
      <w:r>
        <w:t xml:space="preserve"> </w:t>
      </w:r>
      <w:r>
        <w:t xml:space="preserve">refitted to</w:t>
      </w:r>
      <w:r>
        <w:t xml:space="preserve"> </w:t>
      </w:r>
      <m:oMath>
        <m:sSup>
          <m:e>
            <m:r>
              <m:t>α</m:t>
            </m:r>
          </m:e>
          <m:sup>
            <m:r>
              <m:rPr>
                <m:sty m:val="p"/>
              </m:rPr>
              <m:t>*</m:t>
            </m:r>
          </m:sup>
        </m:sSup>
        <m:r>
          <m:rPr>
            <m:sty m:val="p"/>
          </m:rPr>
          <m:t>=</m:t>
        </m:r>
        <m:r>
          <m:t>1.07</m:t>
        </m:r>
      </m:oMath>
      <w:r>
        <w:t xml:space="preserve">; Fig. 7b), with 2.64 % standard uncertainty per reading and an assumed 3 % for the rotation, the Cramér–Rao bound on the standard deviation of</w:t>
      </w:r>
      <w:r>
        <w:t xml:space="preserve"> </w:t>
      </w:r>
      <m:oMath>
        <m:r>
          <m:rPr>
            <m:sty m:val="p"/>
          </m:rPr>
          <m:t>ln</m:t>
        </m:r>
        <m:sSub>
          <m:e>
            <m:r>
              <m:t>C</m:t>
            </m:r>
          </m:e>
          <m:sub>
            <m:r>
              <m:t>8</m:t>
            </m:r>
          </m:sub>
        </m:sSub>
      </m:oMath>
      <w:r>
        <w:t xml:space="preserve"> </w:t>
      </w:r>
      <w:r>
        <w:t xml:space="preserve">is 0.87 from the two deflections and 0.18 with the tiltmeter. The first and third vertical frequencies would give 0.24 instead, but only if the first frequency were identified, and the test reports one frequency per span (Supplementary Table S13). At calibration B the two-reading Fisher matrix is singular; with the tiltmeter the bound is 0.04.</w:t>
      </w:r>
    </w:p>
    <w:p>
      <w:pPr>
        <w:pStyle w:val="BodyText"/>
      </w:pPr>
      <w:r>
        <w:t xml:space="preserve">A moving-load test with weighed trucks has been designed for this bridge but not performed. Table 4 gives the predicted values that would decide between the calibrations; the ratio of integrals at the side-span and main-span gauges is independent of truck weight and absolute rigidity, and it differs by a factor of 2.3 between A and B.</w:t>
      </w:r>
    </w:p>
    <w:p>
      <w:pPr>
        <w:pStyle w:val="BodyText"/>
        <w:keepNext/>
      </w:pPr>
      <w:r>
        <w:rPr>
          <w:bCs/>
          <w:b/>
        </w:rPr>
        <w:t xml:space="preserve">Table 4.</w:t>
      </w:r>
      <w:r>
        <w:t xml:space="preserve"> </w:t>
      </w:r>
      <w:r>
        <w:t xml:space="preserve">Predicted discriminating measurements at Cầu Mây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0.4L /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 (15)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Sensors belong at the extremes of</w:t>
      </w:r>
      <w:r>
        <w:t xml:space="preserve"> </w:t>
      </w:r>
      <m:oMath>
        <m:r>
          <m:t>C</m:t>
        </m:r>
        <m:d>
          <m:dPr>
            <m:begChr m:val="("/>
            <m:endChr m:val=")"/>
            <m:sepChr m:val=""/>
            <m:grow/>
          </m:dPr>
          <m:e>
            <m:r>
              <m:t>x</m:t>
            </m:r>
          </m:e>
        </m:d>
      </m:oMath>
      <w:r>
        <w:t xml:space="preserve">. SLM with weighed vehicles of clearly different weights and lane-specific constants is preferred; GLS or zero-sum weights need</w:t>
      </w:r>
      <w:r>
        <w:t xml:space="preserve"> </w:t>
      </w:r>
      <m:oMath>
        <m:r>
          <m:t>Σ</m:t>
        </m:r>
      </m:oMath>
      <w:r>
        <w:t xml:space="preserve"> </w:t>
      </w:r>
      <w:r>
        <w:t xml:space="preserve">from calibration-crossing residuals, checked out of sample.</w:t>
      </w:r>
    </w:p>
    <w:p>
      <w:pPr>
        <w:pStyle w:val="BodyText"/>
      </w:pPr>
      <w:r>
        <w:t xml:space="preserve">The residual offset limits single-channel accuracy on long spans. Over the Cầu Mây admissible set, with</w:t>
      </w:r>
      <w:r>
        <w:t xml:space="preserve"> </w:t>
      </w:r>
      <m:oMath>
        <m:sSub>
          <m:e>
            <m:r>
              <m:t>L</m:t>
            </m:r>
          </m:e>
          <m:sub>
            <m:r>
              <m:rPr>
                <m:sty m:val="p"/>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S15). With present absolute-deflection technology, single-point influence-area weighing on a long-span girder is therefore marginal even at the best location, and non-contact techniques must establish their residual offset on site, because environmental effects act over the same window (Sohn, 2007; Cross et al., 2013). Speed enters through the response and its measurement: on lane A of the field records, speeds from a low-pass fit were 1.139 times those from the axle spikes (standard deviation 0.124, 22 runs), so the speed estimator alone can shift the weight by more than 10 %. The quasi-static error for a constant force crossing the laboratory beam is at most about 1 % when</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(crossing time over fundamental period; Frýba, 1999); the bound omits vehicle–bridge interaction and road roughness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data come from one public dataset with four trucks, nearly constant reference weights and no gauge at a zero-moment point, so weight discrimination, the deflection blind loci and a deflection pair could not be tested, and a screening threshold still needs field calibration with trucks of clearly different weights, which this study did not have. The in-service analysis uses static data and a beam model with an assumed depth law and equal pier springs, and its moving-load test is designed but not performed. The treatment is one-dimensional along each lane.</w:t>
      </w:r>
    </w:p>
    <w:bookmarkEnd w:id="58"/>
    <w:bookmarkStart w:id="59" w:name="conclusions"/>
    <w:p>
      <w:pPr>
        <w:pStyle w:val="Heading2"/>
      </w:pPr>
      <w:r>
        <w:t xml:space="preserve">7. Conclusions</w:t>
      </w:r>
    </w:p>
    <w:p>
      <w:pPr>
        <w:numPr>
          <w:ilvl w:val="0"/>
          <w:numId w:val="1001"/>
        </w:numPr>
        <w:pStyle w:val="BodyText"/>
      </w:pPr>
      <w:r>
        <w:t xml:space="preserve">Strain channels are blind at every zero of the uniform-load moment diagram, which every continuous girder has, and nearly blind 0.19–0.32 of the span from the interior support on two equal spans.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The constant is a linear-fractional (Möbius) function of the scaled pier stiffness. On a 55 + 90 + 55 m box girder, two static readings leave the side-span deflection constant uncertain by a factor of 6.6, whereas the main-span constant is well determined; a pier tiltmeter would reduce the Cramér–Rao bound on the standard deviation of</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constants were consistent with invariance and superposition within the 10–27 % that the noise resolves, and each lane and deck gauge needed its own constant. GLS weights from vehicle-free noise were worse out of sample than the gauge average (20.4 % against 11.9 %), because crossing residuals were much less correlated between gauges (0.63 against 0.90).</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for permission to use the acceptance-test data of the Cầu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Cầu Mây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Cầu Mây load test was performed by an author of this paper, and the authors are permitted to publish the processed data. The laboratory and Cầu Mây data, the analysis scripts with the console output of each run, and the derived data behind every figure and table are provided as Supplementary Material. Every equation and numerical output was checked independently against an analytical, finite element or convergence-based route.</w:t>
      </w:r>
    </w:p>
    <w:bookmarkEnd w:id="67"/>
    <w:bookmarkEnd w:id="68"/>
    <w:bookmarkStart w:id="69" w:name="references"/>
    <w:p>
      <w:pPr>
        <w:pStyle w:val="Heading2"/>
      </w:pPr>
      <w:r>
        <w:t xml:space="preserve">References</w:t>
      </w:r>
    </w:p>
    <w:p>
      <w:pPr>
        <w:pStyle w:val="FirstParagraph"/>
        <w:ind w:left="425" w:hanging="425"/>
        <w:jc w:val="left"/>
      </w:pPr>
      <w:r>
        <w:t xml:space="preserve">AASHTO (2024) LRFD Bridge Design Specifications. 10th ed. Washington, DC: American Association of State Highway and Transportation Officials.</w:t>
      </w:r>
    </w:p>
    <w:p>
      <w:pPr>
        <w:pStyle w:val="BodyText"/>
        <w:ind w:left="425" w:hanging="425"/>
        <w:jc w:val="left"/>
      </w:pPr>
      <w:r>
        <w:t xml:space="preserve">Agüero-Barrantes P, Lobo-Aguilar S and Christenson RE (2021) Sparse sensing bridge weigh-in-motion for single-span bridges. Métodos y Materiales 11: 43–53. DOI: 10.15517/mym.v11i0.46400.</w:t>
      </w:r>
    </w:p>
    <w:p>
      <w:pPr>
        <w:pStyle w:val="BodyText"/>
        <w:ind w:left="425" w:hanging="425"/>
        <w:jc w:val="left"/>
      </w:pPr>
      <w:r>
        <w:t xml:space="preserve">Agüero-Barrantes P, Christenson RE and Lobo-Aguilar S (2023) Utilizing Kriging metamodeling to provide practical and effective bridge weigh-in-motion. Journal of Bridge Engineering 28(2): 04022138. DOI: 10.1061/JBENF2.BEENG-5760.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 Journal of Bridge Engineering 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 Journal of Sound and Vibration 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 Structures 73: 108298. DOI: 10.1016/j.istruc.2025.108298.</w:t>
      </w:r>
    </w:p>
    <w:p>
      <w:pPr>
        <w:pStyle w:val="BodyText"/>
        <w:ind w:left="425" w:hanging="425"/>
        <w:jc w:val="left"/>
      </w:pPr>
      <w:r>
        <w:t xml:space="preserve">Cross EJ, Koo KY, Brownjohn JMW and Worden K (2013) Long-term monitoring and data analysis of the Tamar Bridge. Mechanical Systems and Signal Processing 35(1–2): 16–34. DOI: 10.1016/j.ymssp.2012.08.026.</w:t>
      </w:r>
    </w:p>
    <w:p>
      <w:pPr>
        <w:pStyle w:val="BodyText"/>
        <w:ind w:left="425" w:hanging="425"/>
        <w:jc w:val="left"/>
      </w:pPr>
      <w:r>
        <w:t xml:space="preserve">Deng L, Liu P, Huang T and Kaewunruen S (2025) A novel moving load identification method for continuous rigid-frame bridges using a field-based displacement influence line. Applied Sciences 15(11): 6028. DOI: 10.3390/app15116028.</w:t>
      </w:r>
    </w:p>
    <w:p>
      <w:pPr>
        <w:pStyle w:val="BodyText"/>
        <w:ind w:left="425" w:hanging="425"/>
        <w:jc w:val="left"/>
      </w:pPr>
      <w:r>
        <w:t xml:space="preserve">Fan Y, Zhu J, Pei J and Li Z (2015) Analysis for Yangmingtan Bridge collapse. Engineering Failure Analysis 56: 20–27. DOI: 10.1016/j.engfailanal.2015.05.003.</w:t>
      </w:r>
    </w:p>
    <w:p>
      <w:pPr>
        <w:pStyle w:val="BodyText"/>
        <w:ind w:left="425" w:hanging="425"/>
        <w:jc w:val="left"/>
      </w:pPr>
      <w:r>
        <w:t xml:space="preserve">Frýba L (1999) Vibration of Solids and Structures under Moving Loads. 3rd ed. London: Thomas Telford.</w:t>
      </w:r>
    </w:p>
    <w:p>
      <w:pPr>
        <w:pStyle w:val="BodyText"/>
        <w:ind w:left="425" w:hanging="425"/>
        <w:jc w:val="left"/>
      </w:pPr>
      <w:r>
        <w:t xml:space="preserve">Ghali A, Neville AM and Brown TG (2017) Structural Analysis: A Unified Classical and Matrix Approach. Boca Raton: CRC Press. DOI: 10.1201/9781315273006.</w:t>
      </w:r>
    </w:p>
    <w:p>
      <w:pPr>
        <w:pStyle w:val="BodyText"/>
        <w:ind w:left="425" w:hanging="425"/>
        <w:jc w:val="left"/>
      </w:pPr>
      <w:r>
        <w:t xml:space="preserve">Hao T, Xie Z and Yu M (2019) The identification technology of vehicle weight based on bridge strain time-history curve. Advances in Structural Engineering 22(7): 1606–1616. DOI: 10.1177/1369433218823487.</w:t>
      </w:r>
    </w:p>
    <w:p>
      <w:pPr>
        <w:pStyle w:val="BodyText"/>
        <w:ind w:left="425" w:hanging="425"/>
        <w:jc w:val="left"/>
      </w:pPr>
      <w:r>
        <w:t xml:space="preserve">Helmi K, Bakht B and Mufti A (2014) Accurate measurements of gross vehicle weight through bridge weigh-in-motion: a case study. Journal of Civil Structural Health Monitoring 4(3): 195–208. DOI: 10.1007/s13349-014-0076-5.</w:t>
      </w:r>
    </w:p>
    <w:p>
      <w:pPr>
        <w:pStyle w:val="BodyText"/>
        <w:ind w:left="425" w:hanging="425"/>
        <w:jc w:val="left"/>
      </w:pPr>
      <w:r>
        <w:t xml:space="preserve">Jacob B, OBrien EJ and Jehaes S (eds) (2002) Weigh-in-Motion of Road Vehicles: Final Report of the COST 323 Action. Paris: LCPC.</w:t>
      </w:r>
    </w:p>
    <w:p>
      <w:pPr>
        <w:pStyle w:val="BodyText"/>
        <w:ind w:left="425" w:hanging="425"/>
        <w:jc w:val="left"/>
      </w:pPr>
      <w:r>
        <w:t xml:space="preserve">Law SS and Zhu XQ (2000) Study on different beam models in moving force identification. Journal of Sound and Vibration 234(4): 661–679. DOI: 10.1006/jsvi.2000.2867.</w:t>
      </w:r>
    </w:p>
    <w:p>
      <w:pPr>
        <w:pStyle w:val="BodyText"/>
        <w:ind w:left="425" w:hanging="425"/>
        <w:jc w:val="left"/>
      </w:pPr>
      <w:r>
        <w:t xml:space="preserve">Law SS, Chan THT and Zeng QH (1997) Moving force identification: a time domain method. Journal of Sound and Vibration 201(1): 1–22. DOI: 10.1006/jsvi.1996.0774.</w:t>
      </w:r>
    </w:p>
    <w:p>
      <w:pPr>
        <w:pStyle w:val="BodyText"/>
        <w:ind w:left="425" w:hanging="425"/>
        <w:jc w:val="left"/>
      </w:pPr>
      <w:r>
        <w:t xml:space="preserve">Lin SW, Du YL, Yi TH and Yang DH (2023) Influence lines-based model updating of suspension bridges considering boundary conditions. Advances in Structural Engineering 26(2): 316–328. DOI: 10.1177/13694332221126374.</w:t>
      </w:r>
    </w:p>
    <w:p>
      <w:pPr>
        <w:pStyle w:val="BodyText"/>
        <w:ind w:left="425" w:hanging="425"/>
        <w:jc w:val="left"/>
      </w:pPr>
      <w:r>
        <w:t xml:space="preserve">Lobo Aguilar S and Christenson RE (2018) A simplified shear-strain based bridge weigh-in-motion method for in-service highway bridges. Métodos y Materiales 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 Automation in Construction 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 Journal of Structural Integrity and Maintenance 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 Automation in Construction 148: 104768. DOI: 10.1016/j.autcon.2023.104768.</w:t>
      </w:r>
    </w:p>
    <w:p>
      <w:pPr>
        <w:pStyle w:val="BodyText"/>
        <w:ind w:left="425" w:hanging="425"/>
        <w:jc w:val="left"/>
      </w:pPr>
      <w:r>
        <w:t xml:space="preserve">Moses F (1979) Weigh-in-motion system using instrumented bridges. Transportation Engineering Journal of ASCE 105(3): 233–249. DOI: 10.1061/TPEJAN.0000783.</w:t>
      </w:r>
    </w:p>
    <w:p>
      <w:pPr>
        <w:pStyle w:val="BodyText"/>
        <w:ind w:left="425" w:hanging="425"/>
        <w:jc w:val="left"/>
      </w:pPr>
      <w:r>
        <w:t xml:space="preserve">Nguyen QB, Hoang T and Nguyen HS (2024) [Determination of the load applied on a simply supported beam based on measured deflection data]. Journal of Science and Technology in Civil Engineering (HUCE) 18(2V): 61–71 (in Vietnamese). DOI: 10.31814/stce.huce2024-18(2V)-05.</w:t>
      </w:r>
    </w:p>
    <w:p>
      <w:pPr>
        <w:pStyle w:val="BodyText"/>
        <w:ind w:left="425" w:hanging="425"/>
        <w:jc w:val="left"/>
      </w:pPr>
      <w:r>
        <w:t xml:space="preserve">OBrien EJ, Quilligan MJ and Karoumi R (2006) Calculating an influence line from direct measurements. Proceedings of the Institution of Civil Engineers: Bridge Engineering 159(1): 31–34. DOI: 10.1680/bren.2006.159.1.31.</w:t>
      </w:r>
    </w:p>
    <w:p>
      <w:pPr>
        <w:pStyle w:val="BodyText"/>
        <w:ind w:left="425" w:hanging="425"/>
        <w:jc w:val="left"/>
      </w:pPr>
      <w:r>
        <w:t xml:space="preserve">OBrien EJ, Rowley CW, González A and Green MF (2009) A regularised solution to the bridge weigh-in-motion equations. International Journal of Heavy Vehicle Systems 16(3): 310–327. DOI: 10.1504/IJHVS.2009.027135.</w:t>
      </w:r>
    </w:p>
    <w:p>
      <w:pPr>
        <w:pStyle w:val="BodyText"/>
        <w:ind w:left="425" w:hanging="425"/>
        <w:jc w:val="left"/>
      </w:pPr>
      <w:r>
        <w:t xml:space="preserve">Ojio T and Yamada K (2002) Bridge weigh-in-motion systems using stringers of plate girder bridges. In: Proceedings of the Third International Conference on Weigh-in-Motion (ICWIM3). Orlando, FL, pp. 209–218.</w:t>
      </w:r>
    </w:p>
    <w:p>
      <w:pPr>
        <w:pStyle w:val="BodyText"/>
        <w:ind w:left="425" w:hanging="425"/>
        <w:jc w:val="left"/>
      </w:pPr>
      <w:r>
        <w:t xml:space="preserve">Shi S, Yarnold M, Hurlebaus S and Mander J (2025) Evaluation of a load cell-based bridge weigh-in-motion system. Transportation Research Record 2679(2): 535–549. DOI: 10.1177/03611981241263336.</w:t>
      </w:r>
    </w:p>
    <w:p>
      <w:pPr>
        <w:pStyle w:val="BodyText"/>
        <w:ind w:left="425" w:hanging="425"/>
        <w:jc w:val="left"/>
      </w:pPr>
      <w:r>
        <w:t xml:space="preserve">Sohn H (2007) Effects of environmental and operational variability on structural health monitoring. Philosophical Transactions of the Royal Society A 365(1851): 539–560. DOI: 10.1098/rsta.2006.1935.</w:t>
      </w:r>
    </w:p>
    <w:p>
      <w:pPr>
        <w:pStyle w:val="BodyText"/>
        <w:ind w:left="425" w:hanging="425"/>
        <w:jc w:val="left"/>
      </w:pPr>
      <w:r>
        <w:t xml:space="preserve">Ventura R, Barabino B and Maternini G (2024) Estimating the frequency of traffic overloading on road bridges. Journal of Traffic and Transportation Engineering (English Edition) 11(4): 776–796. DOI: 10.1016/j.jtte.2023.11.005.</w:t>
      </w:r>
    </w:p>
    <w:p>
      <w:pPr>
        <w:pStyle w:val="BodyText"/>
        <w:ind w:left="425" w:hanging="425"/>
        <w:jc w:val="left"/>
      </w:pPr>
      <w:r>
        <w:t xml:space="preserve">Wang C, Zhang WS, Pan X, He WY and Ren WX (2026) Deflection influence line identification under moving vehicle based on variational modal decomposition and B-spline basis function. Advances in Structural Engineering 29(4): 779–792. DOI: 10.1177/13694332251363355.</w:t>
      </w:r>
    </w:p>
    <w:p>
      <w:pPr>
        <w:pStyle w:val="BodyText"/>
        <w:ind w:left="425" w:hanging="425"/>
        <w:jc w:val="left"/>
      </w:pPr>
      <w:r>
        <w:t xml:space="preserve">Wu H, Zhao H, Liu J and Hu Z (2020) A filtering-based bridge weigh-in-motion system on a continuous multi-girder bridge considering the influence lines of different lanes. Frontiers of Structural and Civil Engineering 14(5): 1232–1246. DOI: 10.1007/s11709-020-0653-0.</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 Mechanical Systems and Signal Processing 177: 109133. DOI: 10.1016/j.ymssp.2022.109133.</w:t>
      </w:r>
    </w:p>
    <w:p>
      <w:pPr>
        <w:pStyle w:val="BodyText"/>
        <w:ind w:left="425" w:hanging="425"/>
        <w:jc w:val="left"/>
      </w:pPr>
      <w:r>
        <w:t xml:space="preserve">Yang J, Hou P and Yang C (2021) Study on the method of moving load identification based on strain influence line. Applied Sciences 11(2): 853. DOI: 10.3390/app11020853.</w:t>
      </w:r>
    </w:p>
    <w:p>
      <w:pPr>
        <w:pStyle w:val="BodyText"/>
        <w:ind w:left="425" w:hanging="425"/>
        <w:jc w:val="left"/>
      </w:pPr>
      <w:r>
        <w:t xml:space="preserve">Yu Y, Cai CS and Deng L (2016) State-of-the-art review on bridge weigh-in-motion technology. Advances in Structural Engineering 19(9): 1514–1530. DOI: 10.1177/1369433216655922.</w:t>
      </w:r>
    </w:p>
    <w:p>
      <w:pPr>
        <w:pStyle w:val="BodyText"/>
        <w:ind w:left="425" w:hanging="425"/>
        <w:jc w:val="left"/>
      </w:pPr>
      <w:r>
        <w:t xml:space="preserve">Yu Y, Cai CS and Deng L (2018) Nothing-on-road bridge weigh-in-motion considering the transverse position of the vehicle. Structure and Infrastructure Engineering 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 Structures 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 Mechanical Systems and Signal Processing 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 Structural Control and Health Monitoring 2026: 1361157. DOI: 10.1155/stc/1361157.</w:t>
      </w:r>
    </w:p>
    <w:p>
      <w:pPr>
        <w:pStyle w:val="BodyText"/>
        <w:ind w:left="425" w:hanging="425"/>
        <w:jc w:val="left"/>
      </w:pPr>
      <w:r>
        <w:t xml:space="preserve">Zhu XQ and Law SS (2006) Moving load identification on multi-span continuous bridges with elastic bearings. Mechanical Systems and Signal Processing 20(7): 1759–1782. DOI: 10.1016/j.ymssp.2005.06.004.</w:t>
      </w:r>
    </w:p>
    <w:p>
      <w:pPr>
        <w:pStyle w:val="BodyText"/>
        <w:ind w:left="425" w:hanging="425"/>
        <w:jc w:val="left"/>
      </w:pPr>
      <w:r>
        <w:t xml:space="preserve">Zhu J, Wang C, Qi T and Zhou Y (2022) Vehicle load identification on orthotropic steel box beam bridge based on the strain response area. Applied Sciences 12(23): 12394. DOI: 10.3390/app122312394.</w:t>
      </w:r>
    </w:p>
    <w:p>
      <w:pPr>
        <w:pStyle w:val="BodyText"/>
        <w:ind w:left="425" w:hanging="425"/>
        <w:jc w:val="left"/>
      </w:pPr>
      <w:r>
        <w:t xml:space="preserve">Žnidarič A, Kalin J and Kreslin M (2018) Improved accuracy and robustness of bridge weigh-in-motion systems. Structure and Infrastructure Engineering 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 Advances in Structural Engineering 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2026-10-19T16:00:44Z</dcterms:created>
  <dcterms:modified xsi:type="dcterms:W3CDTF">2026-10-19T16:00:44Z</dcterms:modified>
</cp:coreProperties>
</file>

<file path=docProps/custom.xml><?xml version="1.0" encoding="utf-8"?>
<Properties xmlns="http://schemas.openxmlformats.org/officeDocument/2006/custom-properties" xmlns:vt="http://schemas.openxmlformats.org/officeDocument/2006/docPropsVTypes"/>
</file>