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 Material</w:t>
      </w:r>
    </w:p>
    <w:p>
      <w:pPr>
        <w:pStyle w:val="Titleblock"/>
      </w:pPr>
      <w:r>
        <w:rPr>
          <w:bCs/>
          <w:b/>
        </w:rPr>
        <w:t xml:space="preserve">Observability and sensor layout for influence-area load monitoring of continuous girder bridges</w:t>
      </w:r>
    </w:p>
    <w:p>
      <w:pPr>
        <w:pStyle w:val="Titleblock"/>
      </w:pPr>
      <w:r>
        <w:t xml:space="preserve">Quoc-Bao Nguyen, Thai-Son Vu</w:t>
      </w:r>
    </w:p>
    <w:p>
      <w:pPr>
        <w:pStyle w:val="BodyText"/>
      </w:pPr>
      <w:r>
        <w:t xml:space="preserve">This document accompanies the main text. Equation, table, figure and section numbers without the prefix S refer to the main text; references are to the main-text reference list, cited here by author and year.</w:t>
      </w:r>
    </w:p>
    <w:p>
      <w:pPr>
        <w:pStyle w:val="BodyText"/>
      </w:pPr>
      <w:r>
        <w:t xml:space="preserve">Contents: S1 Nomenclature; S2 Closed forms for two- and three-span beams; S3 General channels, finite element verification and invariant weighting functions; S4 Multi-channel estimation and placement; S5 Identifiability, sensitivities and Möbius law; S6 Laboratory test; S7 Public field records; S8 Cầu Mây Bridge; S9 Dynamics and baseline handling; S10 Error budget and design checklist; S11 Scripts, console output and derived data.</w:t>
      </w:r>
    </w:p>
    <w:bookmarkStart w:id="20" w:name="s1.-nomenclature"/>
    <w:p>
      <w:pPr>
        <w:pStyle w:val="Heading2"/>
      </w:pPr>
      <w:r>
        <w:t xml:space="preserve">S1. Nomenclature</w:t>
      </w:r>
    </w:p>
    <w:p>
      <w:pPr>
        <w:pStyle w:val="FirstParagraph"/>
        <w:keepNext/>
      </w:pPr>
      <w:r>
        <w:rPr>
          <w:bCs/>
          <w:b/>
        </w:rPr>
        <w:t xml:space="preserve">Table S1.</w:t>
      </w:r>
      <w:r>
        <w:t xml:space="preserve"> </w:t>
      </w:r>
      <w:r>
        <w:t xml:space="preserve">Nomenclature.</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2892"/>
        <w:gridCol w:w="6177"/>
      </w:tblGrid>
      <w:tr>
        <w:trPr>
          <w:tblHeader w:val="true"/>
          <w:tblHeader w:val="true"/>
          <w:cantSplit/>
        </w:trPr>
        <w:tc>
          <w:tcPr>
            <w:tcW w:type="dxa" w:w="2892"/>
            <w:tcBorders>
              <w:top w:val="nil"/>
              <w:left w:val="nil"/>
              <w:bottom w:val="single" w:sz="6" w:space="0" w:color="000000"/>
              <w:right w:val="nil"/>
            </w:tcBorders>
          </w:tcPr>
          <w:p>
            <w:pPr>
              <w:pStyle w:val="Compact"/>
              <w:jc w:val="left"/>
            </w:pPr>
            <w:r>
              <w:t xml:space="preserve">Symbol</w:t>
            </w:r>
          </w:p>
        </w:tc>
        <w:tc>
          <w:tcPr>
            <w:tcW w:type="dxa" w:w="6177"/>
            <w:tcBorders>
              <w:top w:val="nil"/>
              <w:left w:val="nil"/>
              <w:bottom w:val="single" w:sz="6" w:space="0" w:color="000000"/>
              <w:right w:val="nil"/>
            </w:tcBorders>
          </w:tcPr>
          <w:p>
            <w:pPr>
              <w:pStyle w:val="Compact"/>
              <w:jc w:val="left"/>
            </w:pPr>
            <w:r>
              <w:t xml:space="preserve">Meaning</w:t>
            </w:r>
          </w:p>
        </w:tc>
      </w:tr>
      <w:tr>
        <w:trPr>
          <w:cantSplit/>
        </w:trPr>
        <w:tc>
          <w:tcPr>
            <w:tcW w:type="dxa" w:w="2892"/>
          </w:tcPr>
          <w:p>
            <w:pPr>
              <w:pStyle w:val="Compact"/>
              <w:jc w:val="left"/>
            </w:pPr>
            <m:oMath>
              <m:sSup>
                <m:e>
                  <m:r>
                    <m:t>A</m:t>
                  </m:r>
                </m:e>
                <m:sup>
                  <m:r>
                    <m:rPr>
                      <m:sty m:val="p"/>
                    </m:rPr>
                    <m:t>+</m:t>
                  </m:r>
                </m:sup>
              </m:sSup>
            </m:oMath>
          </w:p>
        </w:tc>
        <w:tc>
          <w:tcPr>
            <w:tcW w:type="dxa" w:w="6177"/>
          </w:tcPr>
          <w:p>
            <w:pPr>
              <w:pStyle w:val="Compact"/>
              <w:jc w:val="left"/>
            </w:pPr>
            <w:r>
              <w:t xml:space="preserve">positive part of the area under an influence line</w:t>
            </w:r>
          </w:p>
        </w:tc>
      </w:tr>
      <w:tr>
        <w:trPr>
          <w:cantSplit/>
        </w:trPr>
        <w:tc>
          <w:tcPr>
            <w:tcW w:type="dxa" w:w="2892"/>
          </w:tcPr>
          <w:p>
            <w:pPr>
              <w:pStyle w:val="Compact"/>
              <w:jc w:val="left"/>
            </w:pPr>
            <m:oMath>
              <m:r>
                <m:t>a</m:t>
              </m:r>
            </m:oMath>
          </w:p>
        </w:tc>
        <w:tc>
          <w:tcPr>
            <w:tcW w:type="dxa" w:w="6177"/>
          </w:tcPr>
          <w:p>
            <w:pPr>
              <w:pStyle w:val="Compact"/>
              <w:jc w:val="left"/>
            </w:pPr>
            <w:r>
              <w:t xml:space="preserve">vector of channel weights of a multi-channel estimator</w:t>
            </w:r>
          </w:p>
        </w:tc>
      </w:tr>
      <w:tr>
        <w:trPr>
          <w:cantSplit/>
        </w:trPr>
        <w:tc>
          <w:tcPr>
            <w:tcW w:type="dxa" w:w="2892"/>
          </w:tcPr>
          <w:p>
            <w:pPr>
              <w:pStyle w:val="Compact"/>
              <w:jc w:val="left"/>
            </w:pPr>
            <m:oMath>
              <m:r>
                <m:t>b</m:t>
              </m:r>
            </m:oMath>
          </w:p>
        </w:tc>
        <w:tc>
          <w:tcPr>
            <w:tcW w:type="dxa" w:w="6177"/>
          </w:tcPr>
          <w:p>
            <w:pPr>
              <w:pStyle w:val="Compact"/>
              <w:jc w:val="left"/>
            </w:pPr>
            <w:r>
              <w:t xml:space="preserve">relative bias of the load caused by a residual offset, Eq. (12)</w:t>
            </w:r>
          </w:p>
        </w:tc>
      </w:tr>
      <w:tr>
        <w:trPr>
          <w:cantSplit/>
        </w:trPr>
        <w:tc>
          <w:tcPr>
            <w:tcW w:type="dxa" w:w="2892"/>
          </w:tcPr>
          <w:p>
            <w:pPr>
              <w:pStyle w:val="Compact"/>
              <w:jc w:val="left"/>
            </w:pPr>
            <m:oMath>
              <m:sSub>
                <m:e>
                  <m:r>
                    <m:t>B</m:t>
                  </m:r>
                </m:e>
                <m:sub>
                  <m:r>
                    <m:t>m</m:t>
                  </m:r>
                </m:sub>
              </m:sSub>
            </m:oMath>
          </w:p>
        </w:tc>
        <w:tc>
          <w:tcPr>
            <w:tcW w:type="dxa" w:w="6177"/>
          </w:tcPr>
          <w:p>
            <w:pPr>
              <w:pStyle w:val="Compact"/>
              <w:jc w:val="left"/>
            </w:pPr>
            <w:r>
              <w:t xml:space="preserve">boundary sensitivity</w:t>
            </w:r>
            <w:r>
              <w:t xml:space="preserve"> </w:t>
            </w:r>
            <m:oMath>
              <m:r>
                <m:rPr>
                  <m:sty m:val="p"/>
                </m:rPr>
                <m:t>|</m:t>
              </m:r>
              <m:r>
                <m:rPr>
                  <m:sty m:val="p"/>
                </m:rPr>
                <m:t>∂</m:t>
              </m:r>
              <m:r>
                <m:rPr>
                  <m:sty m:val="p"/>
                </m:rPr>
                <m:t>ln</m:t>
              </m:r>
              <m:sSub>
                <m:e>
                  <m:r>
                    <m:t>C</m:t>
                  </m:r>
                </m:e>
                <m:sub>
                  <m:r>
                    <m:t>m</m:t>
                  </m:r>
                </m:sub>
              </m:sSub>
              <m:r>
                <m:rPr>
                  <m:sty m:val="p"/>
                </m:rPr>
                <m:t>/</m:t>
              </m:r>
              <m:r>
                <m:rPr>
                  <m:sty m:val="p"/>
                </m:rPr>
                <m:t>∂</m:t>
              </m:r>
              <m:r>
                <m:rPr>
                  <m:sty m:val="p"/>
                </m:rPr>
                <m:t>ln</m:t>
              </m:r>
              <m:r>
                <m:t>κ</m:t>
              </m:r>
              <m:r>
                <m:rPr>
                  <m:sty m:val="p"/>
                </m:rPr>
                <m:t>|</m:t>
              </m:r>
            </m:oMath>
          </w:p>
        </w:tc>
      </w:tr>
      <w:tr>
        <w:trPr>
          <w:cantSplit/>
        </w:trPr>
        <w:tc>
          <w:tcPr>
            <w:tcW w:type="dxa" w:w="2892"/>
          </w:tcPr>
          <w:p>
            <w:pPr>
              <w:pStyle w:val="Compact"/>
              <w:jc w:val="left"/>
            </w:pPr>
            <m:oMath>
              <m:sSub>
                <m:e>
                  <m:r>
                    <m:t>C</m:t>
                  </m:r>
                </m:e>
                <m:sub>
                  <m:r>
                    <m:t>0</m:t>
                  </m:r>
                </m:sub>
              </m:sSub>
            </m:oMath>
            <w:r>
              <w:t xml:space="preserve">,</w:t>
            </w:r>
            <w:r>
              <w:t xml:space="preserve"> </w:t>
            </w:r>
            <m:oMath>
              <m:sSub>
                <m:e>
                  <m:r>
                    <m:t>C</m:t>
                  </m:r>
                </m:e>
                <m:sub>
                  <m:r>
                    <m:rPr>
                      <m:sty m:val="p"/>
                    </m:rPr>
                    <m:t>∞</m:t>
                  </m:r>
                </m:sub>
              </m:sSub>
            </m:oMath>
          </w:p>
        </w:tc>
        <w:tc>
          <w:tcPr>
            <w:tcW w:type="dxa" w:w="6177"/>
          </w:tcPr>
          <w:p>
            <w:pPr>
              <w:pStyle w:val="Compact"/>
              <w:jc w:val="left"/>
            </w:pPr>
            <w:r>
              <w:t xml:space="preserve">integral constant for pinned and for fixed piers at</w:t>
            </w:r>
            <w:r>
              <w:t xml:space="preserve"> </w:t>
            </w:r>
            <m:oMath>
              <m:r>
                <m:t>α</m:t>
              </m:r>
              <m:r>
                <m:rPr>
                  <m:sty m:val="p"/>
                </m:rPr>
                <m:t>=</m:t>
              </m:r>
              <m:r>
                <m:t>1</m:t>
              </m:r>
            </m:oMath>
            <w:r>
              <w:t xml:space="preserve">, Eq. (15)</w:t>
            </w:r>
          </w:p>
        </w:tc>
      </w:tr>
      <w:tr>
        <w:trPr>
          <w:cantSplit/>
        </w:trPr>
        <w:tc>
          <w:tcPr>
            <w:tcW w:type="dxa" w:w="2892"/>
          </w:tcPr>
          <w:p>
            <w:pPr>
              <w:pStyle w:val="Compact"/>
              <w:jc w:val="left"/>
            </w:pPr>
            <m:oMath>
              <m:sSub>
                <m:e>
                  <m:r>
                    <m:t>C</m:t>
                  </m:r>
                </m:e>
                <m:sub>
                  <m:r>
                    <m:t>m</m:t>
                  </m:r>
                </m:sub>
              </m:sSub>
            </m:oMath>
          </w:p>
        </w:tc>
        <w:tc>
          <w:tcPr>
            <w:tcW w:type="dxa" w:w="6177"/>
          </w:tcPr>
          <w:p>
            <w:pPr>
              <w:pStyle w:val="Compact"/>
              <w:jc w:val="left"/>
            </w:pPr>
            <w:r>
              <w:t xml:space="preserve">integral constant of the channel at</w:t>
            </w:r>
            <w:r>
              <w:t xml:space="preserve"> </w:t>
            </w:r>
            <m:oMath>
              <m:r>
                <m:t>m</m:t>
              </m:r>
            </m:oMath>
            <w:r>
              <w:t xml:space="preserve">, Eq. (2) (m²/kN for deflection); called</w:t>
            </w:r>
            <w:r>
              <w:t xml:space="preserve"> </w:t>
            </w:r>
            <w:r>
              <w:t xml:space="preserve">“</w:t>
            </w:r>
            <w:r>
              <w:t xml:space="preserve">the constant</w:t>
            </w:r>
            <w:r>
              <w:t xml:space="preserve">”</w:t>
            </w:r>
            <w:r>
              <w:t xml:space="preserve"> </w:t>
            </w:r>
            <w:r>
              <w:t xml:space="preserve">in the text</w:t>
            </w:r>
          </w:p>
        </w:tc>
      </w:tr>
      <w:tr>
        <w:trPr>
          <w:cantSplit/>
        </w:trPr>
        <w:tc>
          <w:tcPr>
            <w:tcW w:type="dxa" w:w="2892"/>
          </w:tcPr>
          <w:p>
            <w:pPr>
              <w:pStyle w:val="Compact"/>
              <w:jc w:val="left"/>
            </w:pPr>
            <m:oMath>
              <m:sSub>
                <m:e>
                  <m:r>
                    <m:t>C</m:t>
                  </m:r>
                </m:e>
                <m:sub>
                  <m:r>
                    <m:t>ε</m:t>
                  </m:r>
                </m:sub>
              </m:sSub>
            </m:oMath>
            <w:r>
              <w:t xml:space="preserve">,</w:t>
            </w:r>
            <w:r>
              <w:t xml:space="preserve"> </w:t>
            </w:r>
            <m:oMath>
              <m:sSub>
                <m:e>
                  <m:r>
                    <m:t>C</m:t>
                  </m:r>
                </m:e>
                <m:sub>
                  <m:r>
                    <m:t>θ</m:t>
                  </m:r>
                </m:sub>
              </m:sSub>
            </m:oMath>
            <w:r>
              <w:t xml:space="preserve">,</w:t>
            </w:r>
            <w:r>
              <w:t xml:space="preserve"> </w:t>
            </w:r>
            <m:oMath>
              <m:sSub>
                <m:e>
                  <m:r>
                    <m:t>C</m:t>
                  </m:r>
                </m:e>
                <m:sub>
                  <m:r>
                    <m:t>V</m:t>
                  </m:r>
                </m:sub>
              </m:sSub>
            </m:oMath>
          </w:p>
        </w:tc>
        <w:tc>
          <w:tcPr>
            <w:tcW w:type="dxa" w:w="6177"/>
          </w:tcPr>
          <w:p>
            <w:pPr>
              <w:pStyle w:val="Compact"/>
              <w:jc w:val="left"/>
            </w:pPr>
            <w:r>
              <w:t xml:space="preserve">integral constant of a strain, rotation and shear channel</w:t>
            </w:r>
          </w:p>
        </w:tc>
      </w:tr>
      <w:tr>
        <w:trPr>
          <w:cantSplit/>
        </w:trPr>
        <w:tc>
          <w:tcPr>
            <w:tcW w:type="dxa" w:w="2892"/>
          </w:tcPr>
          <w:p>
            <w:pPr>
              <w:pStyle w:val="Compact"/>
              <w:jc w:val="left"/>
            </w:pPr>
            <m:oMath>
              <m:r>
                <m:t>c</m:t>
              </m:r>
            </m:oMath>
          </w:p>
        </w:tc>
        <w:tc>
          <w:tcPr>
            <w:tcW w:type="dxa" w:w="6177"/>
          </w:tcPr>
          <w:p>
            <w:pPr>
              <w:pStyle w:val="Compact"/>
              <w:jc w:val="left"/>
            </w:pPr>
            <w:r>
              <w:t xml:space="preserve">distance of the gauged fiber from the neutral axis (m)</w:t>
            </w:r>
          </w:p>
        </w:tc>
      </w:tr>
      <w:tr>
        <w:trPr>
          <w:cantSplit/>
        </w:trPr>
        <w:tc>
          <w:tcPr>
            <w:tcW w:type="dxa" w:w="2892"/>
          </w:tcPr>
          <w:p>
            <w:pPr>
              <w:pStyle w:val="Compact"/>
              <w:jc w:val="left"/>
            </w:pPr>
            <m:oMath>
              <m:sSub>
                <m:e>
                  <m:r>
                    <m:t>d</m:t>
                  </m:r>
                </m:e>
                <m:sub>
                  <m:r>
                    <m:t>i</m:t>
                  </m:r>
                </m:sub>
              </m:sSub>
            </m:oMath>
          </w:p>
        </w:tc>
        <w:tc>
          <w:tcPr>
            <w:tcW w:type="dxa" w:w="6177"/>
          </w:tcPr>
          <w:p>
            <w:pPr>
              <w:pStyle w:val="Compact"/>
              <w:jc w:val="left"/>
            </w:pPr>
            <w:r>
              <w:t xml:space="preserve">distance of axle</w:t>
            </w:r>
            <w:r>
              <w:t xml:space="preserve"> </w:t>
            </w:r>
            <m:oMath>
              <m:r>
                <m:t>i</m:t>
              </m:r>
            </m:oMath>
            <w:r>
              <w:t xml:space="preserve"> </w:t>
            </w:r>
            <w:r>
              <w:t xml:space="preserve">behind the first axle (m)</w:t>
            </w:r>
          </w:p>
        </w:tc>
      </w:tr>
      <w:tr>
        <w:trPr>
          <w:cantSplit/>
        </w:trPr>
        <w:tc>
          <w:tcPr>
            <w:tcW w:type="dxa" w:w="2892"/>
          </w:tcPr>
          <w:p>
            <w:pPr>
              <w:pStyle w:val="Compact"/>
              <w:jc w:val="left"/>
            </w:pPr>
            <m:oMath>
              <m:r>
                <m:t>E</m:t>
              </m:r>
              <m:r>
                <m:t>I</m:t>
              </m:r>
            </m:oMath>
            <w:r>
              <w:t xml:space="preserve">,</w:t>
            </w:r>
            <w:r>
              <w:t xml:space="preserve"> </w:t>
            </w:r>
            <m:oMath>
              <m:r>
                <m:t>E</m:t>
              </m:r>
              <m:sSub>
                <m:e>
                  <m:r>
                    <m:t>I</m:t>
                  </m:r>
                </m:e>
                <m:sub>
                  <m:r>
                    <m:rPr>
                      <m:sty m:val="p"/>
                    </m:rPr>
                    <m:t>mid</m:t>
                  </m:r>
                </m:sub>
              </m:sSub>
            </m:oMath>
            <w:r>
              <w:t xml:space="preserve">,</w:t>
            </w:r>
            <w:r>
              <w:t xml:space="preserve"> </w:t>
            </w:r>
            <m:oMath>
              <m:r>
                <m:t>E</m:t>
              </m:r>
              <m:sSub>
                <m:e>
                  <m:r>
                    <m:t>I</m:t>
                  </m:r>
                </m:e>
                <m:sub>
                  <m:r>
                    <m:rPr>
                      <m:sty m:val="p"/>
                    </m:rPr>
                    <m:t>ref</m:t>
                  </m:r>
                </m:sub>
              </m:sSub>
            </m:oMath>
          </w:p>
        </w:tc>
        <w:tc>
          <w:tcPr>
            <w:tcW w:type="dxa" w:w="6177"/>
          </w:tcPr>
          <w:p>
            <w:pPr>
              <w:pStyle w:val="Compact"/>
              <w:jc w:val="left"/>
            </w:pPr>
            <w:r>
              <w:t xml:space="preserve">flexural rigidity; design value at mid main span; reference rigidity used to normalize</w:t>
            </w:r>
            <w:r>
              <w:t xml:space="preserve"> </w:t>
            </w:r>
            <m:oMath>
              <m:sSub>
                <m:e>
                  <m:r>
                    <m:t>N</m:t>
                  </m:r>
                </m:e>
                <m:sub>
                  <m:r>
                    <m:t>w</m:t>
                  </m:r>
                </m:sub>
              </m:sSub>
            </m:oMath>
            <w:r>
              <w:t xml:space="preserve"> </w:t>
            </w:r>
            <w:r>
              <w:t xml:space="preserve">(kN m²)</w:t>
            </w:r>
          </w:p>
        </w:tc>
      </w:tr>
      <w:tr>
        <w:trPr>
          <w:cantSplit/>
        </w:trPr>
        <w:tc>
          <w:tcPr>
            <w:tcW w:type="dxa" w:w="2892"/>
          </w:tcPr>
          <w:p>
            <w:pPr>
              <w:pStyle w:val="Compact"/>
              <w:jc w:val="left"/>
            </w:pPr>
            <m:oMath>
              <m:sSub>
                <m:e>
                  <m:r>
                    <m:t>F</m:t>
                  </m:r>
                </m:e>
                <m:sub>
                  <m:r>
                    <m:t>A</m:t>
                  </m:r>
                </m:sub>
              </m:sSub>
            </m:oMath>
          </w:p>
        </w:tc>
        <w:tc>
          <w:tcPr>
            <w:tcW w:type="dxa" w:w="6177"/>
          </w:tcPr>
          <w:p>
            <w:pPr>
              <w:pStyle w:val="Compact"/>
              <w:jc w:val="left"/>
            </w:pPr>
            <w:r>
              <w:t xml:space="preserve">end-support reaction (kN)</w:t>
            </w:r>
          </w:p>
        </w:tc>
      </w:tr>
      <w:tr>
        <w:trPr>
          <w:cantSplit/>
        </w:trPr>
        <w:tc>
          <w:tcPr>
            <w:tcW w:type="dxa" w:w="2892"/>
          </w:tcPr>
          <w:p>
            <w:pPr>
              <w:pStyle w:val="Compact"/>
              <w:jc w:val="left"/>
            </w:pPr>
            <m:oMath>
              <m:sSub>
                <m:e>
                  <m:r>
                    <m:t>f</m:t>
                  </m:r>
                </m:e>
                <m:sub>
                  <m:r>
                    <m:t>1</m:t>
                  </m:r>
                </m:sub>
              </m:sSub>
            </m:oMath>
            <w:r>
              <w:t xml:space="preserve">,</w:t>
            </w:r>
            <w:r>
              <w:t xml:space="preserve"> </w:t>
            </w:r>
            <m:oMath>
              <m:sSub>
                <m:e>
                  <m:r>
                    <m:t>T</m:t>
                  </m:r>
                </m:e>
                <m:sub>
                  <m:r>
                    <m:t>1</m:t>
                  </m:r>
                </m:sub>
              </m:sSub>
            </m:oMath>
          </w:p>
        </w:tc>
        <w:tc>
          <w:tcPr>
            <w:tcW w:type="dxa" w:w="6177"/>
          </w:tcPr>
          <w:p>
            <w:pPr>
              <w:pStyle w:val="Compact"/>
              <w:jc w:val="left"/>
            </w:pPr>
            <w:r>
              <w:t xml:space="preserve">fundamental frequency and period of the girder</w:t>
            </w:r>
          </w:p>
        </w:tc>
      </w:tr>
      <w:tr>
        <w:trPr>
          <w:cantSplit/>
        </w:trPr>
        <w:tc>
          <w:tcPr>
            <w:tcW w:type="dxa" w:w="2892"/>
          </w:tcPr>
          <w:p>
            <w:pPr>
              <w:pStyle w:val="Compact"/>
              <w:jc w:val="left"/>
            </w:pPr>
            <m:oMath>
              <m:r>
                <m:t>g</m:t>
              </m:r>
              <m:d>
                <m:dPr>
                  <m:begChr m:val="("/>
                  <m:endChr m:val=")"/>
                  <m:sepChr m:val=""/>
                  <m:grow/>
                </m:dPr>
                <m:e>
                  <m:r>
                    <m:t>x</m:t>
                  </m:r>
                </m:e>
              </m:d>
            </m:oMath>
          </w:p>
        </w:tc>
        <w:tc>
          <w:tcPr>
            <w:tcW w:type="dxa" w:w="6177"/>
          </w:tcPr>
          <w:p>
            <w:pPr>
              <w:pStyle w:val="Compact"/>
              <w:jc w:val="left"/>
            </w:pPr>
            <w:r>
              <w:t xml:space="preserve">weighting function applied along a record</w:t>
            </w:r>
          </w:p>
        </w:tc>
      </w:tr>
      <w:tr>
        <w:trPr>
          <w:cantSplit/>
        </w:trPr>
        <w:tc>
          <w:tcPr>
            <w:tcW w:type="dxa" w:w="2892"/>
          </w:tcPr>
          <w:p>
            <w:pPr>
              <w:pStyle w:val="Compact"/>
              <w:jc w:val="left"/>
            </w:pPr>
            <m:oMath>
              <m:r>
                <m:t>h</m:t>
              </m:r>
            </m:oMath>
          </w:p>
        </w:tc>
        <w:tc>
          <w:tcPr>
            <w:tcW w:type="dxa" w:w="6177"/>
          </w:tcPr>
          <w:p>
            <w:pPr>
              <w:pStyle w:val="Compact"/>
              <w:jc w:val="left"/>
            </w:pPr>
            <w:r>
              <w:t xml:space="preserve">girder depth (m)</w:t>
            </w:r>
          </w:p>
        </w:tc>
      </w:tr>
      <w:tr>
        <w:trPr>
          <w:cantSplit/>
        </w:trPr>
        <w:tc>
          <w:tcPr>
            <w:tcW w:type="dxa" w:w="2892"/>
          </w:tcPr>
          <w:p>
            <w:pPr>
              <w:pStyle w:val="Compact"/>
              <w:jc w:val="left"/>
            </w:pPr>
            <m:oMath>
              <m:r>
                <m:t>I</m:t>
              </m:r>
            </m:oMath>
          </w:p>
        </w:tc>
        <w:tc>
          <w:tcPr>
            <w:tcW w:type="dxa" w:w="6177"/>
          </w:tcPr>
          <w:p>
            <w:pPr>
              <w:pStyle w:val="Compact"/>
              <w:jc w:val="left"/>
            </w:pPr>
            <w:r>
              <w:t xml:space="preserve">second moment of area</w:t>
            </w:r>
          </w:p>
        </w:tc>
      </w:tr>
      <w:tr>
        <w:trPr>
          <w:cantSplit/>
        </w:trPr>
        <w:tc>
          <w:tcPr>
            <w:tcW w:type="dxa" w:w="2892"/>
          </w:tcPr>
          <w:p>
            <w:pPr>
              <w:pStyle w:val="Compact"/>
              <w:jc w:val="left"/>
            </w:pPr>
            <m:oMath>
              <m:sSub>
                <m:e>
                  <m:r>
                    <m:t>J</m:t>
                  </m:r>
                </m:e>
                <m:sub>
                  <m:r>
                    <m:t>m</m:t>
                  </m:r>
                </m:sub>
              </m:sSub>
            </m:oMath>
          </w:p>
        </w:tc>
        <w:tc>
          <w:tcPr>
            <w:tcW w:type="dxa" w:w="6177"/>
          </w:tcPr>
          <w:p>
            <w:pPr>
              <w:pStyle w:val="Compact"/>
              <w:jc w:val="left"/>
            </w:pPr>
            <w:r>
              <w:t xml:space="preserve">record integral of the channel at</w:t>
            </w:r>
            <w:r>
              <w:t xml:space="preserve"> </w:t>
            </w:r>
            <m:oMath>
              <m:r>
                <m:t>m</m:t>
              </m:r>
            </m:oMath>
            <w:r>
              <w:t xml:space="preserve"> </w:t>
            </w:r>
            <w:r>
              <w:t xml:space="preserve">over a complete crossing, in space</w:t>
            </w:r>
          </w:p>
        </w:tc>
      </w:tr>
      <w:tr>
        <w:trPr>
          <w:cantSplit/>
        </w:trPr>
        <w:tc>
          <w:tcPr>
            <w:tcW w:type="dxa" w:w="2892"/>
          </w:tcPr>
          <w:p>
            <w:pPr>
              <w:pStyle w:val="Compact"/>
              <w:jc w:val="left"/>
            </w:pPr>
            <m:oMath>
              <m:r>
                <m:t>k</m:t>
              </m:r>
            </m:oMath>
            <w:r>
              <w:t xml:space="preserve">,</w:t>
            </w:r>
            <w:r>
              <w:t xml:space="preserve"> </w:t>
            </w:r>
            <m:oMath>
              <m:sSub>
                <m:e>
                  <m:r>
                    <m:t>k</m:t>
                  </m:r>
                </m:e>
                <m:sub>
                  <m:r>
                    <m:t>g</m:t>
                  </m:r>
                </m:sub>
              </m:sSub>
            </m:oMath>
          </w:p>
        </w:tc>
        <w:tc>
          <w:tcPr>
            <w:tcW w:type="dxa" w:w="6177"/>
          </w:tcPr>
          <w:p>
            <w:pPr>
              <w:pStyle w:val="Compact"/>
              <w:jc w:val="left"/>
            </w:pPr>
            <w:r>
              <w:t xml:space="preserve">rotational stiffness of a monolithic pier; girder stiffness against antisymmetric pier rotation (kN m/rad)</w:t>
            </w:r>
          </w:p>
        </w:tc>
      </w:tr>
      <w:tr>
        <w:trPr>
          <w:cantSplit/>
        </w:trPr>
        <w:tc>
          <w:tcPr>
            <w:tcW w:type="dxa" w:w="2892"/>
          </w:tcPr>
          <w:p>
            <w:pPr>
              <w:pStyle w:val="Compact"/>
              <w:jc w:val="left"/>
            </w:pPr>
            <m:oMath>
              <m:acc>
                <m:accPr>
                  <m:chr m:val="̂"/>
                </m:accPr>
                <m:e>
                  <m:r>
                    <m:t>k</m:t>
                  </m:r>
                </m:e>
              </m:acc>
            </m:oMath>
          </w:p>
        </w:tc>
        <w:tc>
          <w:tcPr>
            <w:tcW w:type="dxa" w:w="6177"/>
          </w:tcPr>
          <w:p>
            <w:pPr>
              <w:pStyle w:val="Compact"/>
              <w:jc w:val="left"/>
            </w:pPr>
            <w:r>
              <w:t xml:space="preserve">pier stiffness relative to the side-span rigidity,</w:t>
            </w:r>
            <w:r>
              <w:t xml:space="preserve"> </w:t>
            </w:r>
            <m:oMath>
              <m:r>
                <m:t>k</m:t>
              </m:r>
              <m:sSub>
                <m:e>
                  <m:r>
                    <m:t>L</m:t>
                  </m:r>
                </m:e>
                <m:sub>
                  <m:r>
                    <m:rPr>
                      <m:sty m:val="p"/>
                    </m:rPr>
                    <m:t>side</m:t>
                  </m:r>
                </m:sub>
              </m:sSub>
              <m:r>
                <m:rPr>
                  <m:sty m:val="p"/>
                </m:rPr>
                <m:t>/</m:t>
              </m:r>
              <m:r>
                <m:t>E</m:t>
              </m:r>
              <m:sSub>
                <m:e>
                  <m:r>
                    <m:t>I</m:t>
                  </m:r>
                </m:e>
                <m:sub>
                  <m:r>
                    <m:rPr>
                      <m:sty m:val="p"/>
                    </m:rPr>
                    <m:t>side</m:t>
                  </m:r>
                </m:sub>
              </m:sSub>
            </m:oMath>
          </w:p>
        </w:tc>
      </w:tr>
      <w:tr>
        <w:trPr>
          <w:cantSplit/>
        </w:trPr>
        <w:tc>
          <w:tcPr>
            <w:tcW w:type="dxa" w:w="2892"/>
          </w:tcPr>
          <w:p>
            <w:pPr>
              <w:pStyle w:val="Compact"/>
              <w:jc w:val="left"/>
            </w:pPr>
            <m:oMath>
              <m:sSub>
                <m:e>
                  <m:r>
                    <m:t>K</m:t>
                  </m:r>
                </m:e>
                <m:sub>
                  <m:r>
                    <m:t>g</m:t>
                  </m:r>
                </m:sub>
              </m:sSub>
            </m:oMath>
            <w:r>
              <w:t xml:space="preserve">,</w:t>
            </w:r>
            <w:r>
              <w:t xml:space="preserve"> </w:t>
            </w:r>
            <m:oMath>
              <m:sSub>
                <m:e>
                  <m:r>
                    <m:t>K</m:t>
                  </m:r>
                </m:e>
                <m:sub>
                  <m:r>
                    <m:t>p</m:t>
                  </m:r>
                </m:sub>
              </m:sSub>
            </m:oMath>
          </w:p>
        </w:tc>
        <w:tc>
          <w:tcPr>
            <w:tcW w:type="dxa" w:w="6177"/>
          </w:tcPr>
          <w:p>
            <w:pPr>
              <w:pStyle w:val="Compact"/>
              <w:jc w:val="left"/>
            </w:pPr>
            <w:r>
              <w:t xml:space="preserve">girder and pier parts of the stiffness matrix</w:t>
            </w:r>
          </w:p>
        </w:tc>
      </w:tr>
      <w:tr>
        <w:trPr>
          <w:cantSplit/>
        </w:trPr>
        <w:tc>
          <w:tcPr>
            <w:tcW w:type="dxa" w:w="2892"/>
          </w:tcPr>
          <w:p>
            <w:pPr>
              <w:pStyle w:val="Compact"/>
              <w:jc w:val="left"/>
            </w:pPr>
            <m:oMath>
              <m:r>
                <m:t>L</m:t>
              </m:r>
            </m:oMath>
            <w:r>
              <w:t xml:space="preserve">,</w:t>
            </w:r>
            <w:r>
              <w:t xml:space="preserve"> </w:t>
            </w:r>
            <m:oMath>
              <m:r>
                <m:t>l</m:t>
              </m:r>
            </m:oMath>
          </w:p>
        </w:tc>
        <w:tc>
          <w:tcPr>
            <w:tcW w:type="dxa" w:w="6177"/>
          </w:tcPr>
          <w:p>
            <w:pPr>
              <w:pStyle w:val="Compact"/>
              <w:jc w:val="left"/>
            </w:pPr>
            <w:r>
              <w:t xml:space="preserve">length of the span containing the sensor; span of the laboratory beam (m)</w:t>
            </w:r>
          </w:p>
        </w:tc>
      </w:tr>
      <w:tr>
        <w:trPr>
          <w:cantSplit/>
        </w:trPr>
        <w:tc>
          <w:tcPr>
            <w:tcW w:type="dxa" w:w="2892"/>
          </w:tcPr>
          <w:p>
            <w:pPr>
              <w:pStyle w:val="Compact"/>
              <w:jc w:val="left"/>
            </w:pPr>
            <m:oMath>
              <m:sSub>
                <m:e>
                  <m:r>
                    <m:t>L</m:t>
                  </m:r>
                </m:e>
                <m:sub>
                  <m:r>
                    <m:t>p</m:t>
                  </m:r>
                </m:sub>
              </m:sSub>
            </m:oMath>
          </w:p>
        </w:tc>
        <w:tc>
          <w:tcPr>
            <w:tcW w:type="dxa" w:w="6177"/>
          </w:tcPr>
          <w:p>
            <w:pPr>
              <w:pStyle w:val="Compact"/>
              <w:jc w:val="left"/>
            </w:pPr>
            <w:r>
              <w:t xml:space="preserve">length of the loaded path (m)</w:t>
            </w:r>
          </w:p>
        </w:tc>
      </w:tr>
      <w:tr>
        <w:trPr>
          <w:cantSplit/>
        </w:trPr>
        <w:tc>
          <w:tcPr>
            <w:tcW w:type="dxa" w:w="2892"/>
          </w:tcPr>
          <w:p>
            <w:pPr>
              <w:pStyle w:val="Compact"/>
              <w:jc w:val="left"/>
            </w:pPr>
            <m:oMath>
              <m:sSub>
                <m:e>
                  <m:r>
                    <m:t>L</m:t>
                  </m:r>
                </m:e>
                <m:sub>
                  <m:r>
                    <m:rPr>
                      <m:sty m:val="p"/>
                    </m:rPr>
                    <m:t>tot</m:t>
                  </m:r>
                </m:sub>
              </m:sSub>
            </m:oMath>
          </w:p>
        </w:tc>
        <w:tc>
          <w:tcPr>
            <w:tcW w:type="dxa" w:w="6177"/>
          </w:tcPr>
          <w:p>
            <w:pPr>
              <w:pStyle w:val="Compact"/>
              <w:jc w:val="left"/>
            </w:pPr>
            <w:r>
              <w:t xml:space="preserve">length of the integration record (m)</w:t>
            </w:r>
          </w:p>
        </w:tc>
      </w:tr>
      <w:tr>
        <w:trPr>
          <w:cantSplit/>
        </w:trPr>
        <w:tc>
          <w:tcPr>
            <w:tcW w:type="dxa" w:w="2892"/>
          </w:tcPr>
          <w:p>
            <w:pPr>
              <w:pStyle w:val="Compact"/>
              <w:jc w:val="left"/>
            </w:pPr>
            <m:oMath>
              <m:sSub>
                <m:e>
                  <m:r>
                    <m:t>M</m:t>
                  </m:r>
                </m:e>
                <m:sub>
                  <m:r>
                    <m:t>q</m:t>
                  </m:r>
                </m:sub>
              </m:sSub>
            </m:oMath>
          </w:p>
        </w:tc>
        <w:tc>
          <w:tcPr>
            <w:tcW w:type="dxa" w:w="6177"/>
          </w:tcPr>
          <w:p>
            <w:pPr>
              <w:pStyle w:val="Compact"/>
              <w:jc w:val="left"/>
            </w:pPr>
            <w:r>
              <w:t xml:space="preserve">bending moment under a uniform load</w:t>
            </w:r>
            <w:r>
              <w:t xml:space="preserve"> </w:t>
            </w:r>
            <m:oMath>
              <m:sSub>
                <m:e>
                  <m:r>
                    <m:t>q</m:t>
                  </m:r>
                </m:e>
                <m:sub>
                  <m:r>
                    <m:t>0</m:t>
                  </m:r>
                </m:sub>
              </m:sSub>
            </m:oMath>
            <w:r>
              <w:t xml:space="preserve"> </w:t>
            </w:r>
            <w:r>
              <w:t xml:space="preserve">over the whole path</w:t>
            </w:r>
          </w:p>
        </w:tc>
      </w:tr>
      <w:tr>
        <w:trPr>
          <w:cantSplit/>
        </w:trPr>
        <w:tc>
          <w:tcPr>
            <w:tcW w:type="dxa" w:w="2892"/>
          </w:tcPr>
          <w:p>
            <w:pPr>
              <w:pStyle w:val="Compact"/>
              <w:jc w:val="left"/>
            </w:pPr>
            <m:oMath>
              <m:sSub>
                <m:e>
                  <m:acc>
                    <m:accPr>
                      <m:chr m:val="‾"/>
                    </m:accPr>
                    <m:e>
                      <m:r>
                        <m:t>M</m:t>
                      </m:r>
                    </m:e>
                  </m:acc>
                </m:e>
                <m:sub>
                  <m:r>
                    <m:t>l</m:t>
                  </m:r>
                </m:sub>
              </m:sSub>
            </m:oMath>
            <w:r>
              <w:t xml:space="preserve">,</w:t>
            </w:r>
            <w:r>
              <w:t xml:space="preserve"> </w:t>
            </w:r>
            <m:oMath>
              <m:sSub>
                <m:e>
                  <m:acc>
                    <m:accPr>
                      <m:chr m:val="‾"/>
                    </m:accPr>
                    <m:e>
                      <m:r>
                        <m:t>M</m:t>
                      </m:r>
                    </m:e>
                  </m:acc>
                </m:e>
                <m:sub>
                  <m:r>
                    <m:t>r</m:t>
                  </m:r>
                </m:sub>
              </m:sSub>
            </m:oMath>
          </w:p>
        </w:tc>
        <w:tc>
          <w:tcPr>
            <w:tcW w:type="dxa" w:w="6177"/>
          </w:tcPr>
          <w:p>
            <w:pPr>
              <w:pStyle w:val="Compact"/>
              <w:jc w:val="left"/>
            </w:pPr>
            <w:r>
              <w:t xml:space="preserve">normalized end moments</w:t>
            </w:r>
            <w:r>
              <w:t xml:space="preserve"> </w:t>
            </w:r>
            <m:oMath>
              <m:r>
                <m:rPr>
                  <m:sty m:val="p"/>
                </m:rPr>
                <m:t>−</m:t>
              </m:r>
              <m:r>
                <m:t>8</m:t>
              </m:r>
              <m:r>
                <m:t>M</m:t>
              </m:r>
              <m:r>
                <m:rPr>
                  <m:sty m:val="p"/>
                </m:rPr>
                <m:t>/</m:t>
              </m:r>
              <m:d>
                <m:dPr>
                  <m:begChr m:val="("/>
                  <m:endChr m:val=")"/>
                  <m:sepChr m:val=""/>
                  <m:grow/>
                </m:dPr>
                <m:e>
                  <m:sSub>
                    <m:e>
                      <m:r>
                        <m:t>q</m:t>
                      </m:r>
                    </m:e>
                    <m:sub>
                      <m:r>
                        <m:t>0</m:t>
                      </m:r>
                    </m:sub>
                  </m:sSub>
                  <m:sSup>
                    <m:e>
                      <m:r>
                        <m:t>L</m:t>
                      </m:r>
                    </m:e>
                    <m:sup>
                      <m:r>
                        <m:t>2</m:t>
                      </m:r>
                    </m:sup>
                  </m:sSup>
                </m:e>
              </m:d>
            </m:oMath>
            <w:r>
              <w:t xml:space="preserve"> </w:t>
            </w:r>
            <w:r>
              <w:t xml:space="preserve">at the left and right ends of a span (positive for hogging)</w:t>
            </w:r>
          </w:p>
        </w:tc>
      </w:tr>
      <w:tr>
        <w:trPr>
          <w:cantSplit/>
        </w:trPr>
        <w:tc>
          <w:tcPr>
            <w:tcW w:type="dxa" w:w="2892"/>
          </w:tcPr>
          <w:p>
            <w:pPr>
              <w:pStyle w:val="Compact"/>
              <w:jc w:val="left"/>
            </w:pPr>
            <m:oMath>
              <m:sSub>
                <m:e>
                  <m:r>
                    <m:t>N</m:t>
                  </m:r>
                </m:e>
                <m:sub>
                  <m:r>
                    <m:t>w</m:t>
                  </m:r>
                </m:sub>
              </m:sSub>
            </m:oMath>
            <w:r>
              <w:t xml:space="preserve">,</w:t>
            </w:r>
            <w:r>
              <w:t xml:space="preserve"> </w:t>
            </w:r>
            <m:oMath>
              <m:sSub>
                <m:e>
                  <m:r>
                    <m:t>N</m:t>
                  </m:r>
                </m:e>
                <m:sub>
                  <m:r>
                    <m:t>M</m:t>
                  </m:r>
                </m:sub>
              </m:sSub>
            </m:oMath>
          </w:p>
        </w:tc>
        <w:tc>
          <w:tcPr>
            <w:tcW w:type="dxa" w:w="6177"/>
          </w:tcPr>
          <w:p>
            <w:pPr>
              <w:pStyle w:val="Compact"/>
              <w:jc w:val="left"/>
            </w:pPr>
            <w:r>
              <w:t xml:space="preserve">deflection and strain (moment) indicators, Eqs. (10) and (9)</w:t>
            </w:r>
          </w:p>
        </w:tc>
      </w:tr>
      <w:tr>
        <w:trPr>
          <w:cantSplit/>
        </w:trPr>
        <w:tc>
          <w:tcPr>
            <w:tcW w:type="dxa" w:w="2892"/>
          </w:tcPr>
          <w:p>
            <w:pPr>
              <w:pStyle w:val="Compact"/>
              <w:jc w:val="left"/>
            </w:pPr>
            <m:oMath>
              <m:sSub>
                <m:e>
                  <m:r>
                    <m:t>N</m:t>
                  </m:r>
                </m:e>
                <m:sub>
                  <m:r>
                    <m:t>θ</m:t>
                  </m:r>
                </m:sub>
              </m:sSub>
            </m:oMath>
            <w:r>
              <w:t xml:space="preserve">,</w:t>
            </w:r>
            <w:r>
              <w:t xml:space="preserve"> </w:t>
            </w:r>
            <m:oMath>
              <m:sSub>
                <m:e>
                  <m:r>
                    <m:t>N</m:t>
                  </m:r>
                </m:e>
                <m:sub>
                  <m:r>
                    <m:t>V</m:t>
                  </m:r>
                </m:sub>
              </m:sSub>
            </m:oMath>
            <w:r>
              <w:t xml:space="preserve">,</w:t>
            </w:r>
            <w:r>
              <w:t xml:space="preserve"> </w:t>
            </w:r>
            <m:oMath>
              <m:sSub>
                <m:e>
                  <m:r>
                    <m:t>N</m:t>
                  </m:r>
                </m:e>
                <m:sub>
                  <m:r>
                    <m:t>F</m:t>
                  </m:r>
                </m:sub>
              </m:sSub>
            </m:oMath>
          </w:p>
        </w:tc>
        <w:tc>
          <w:tcPr>
            <w:tcW w:type="dxa" w:w="6177"/>
          </w:tcPr>
          <w:p>
            <w:pPr>
              <w:pStyle w:val="Compact"/>
              <w:jc w:val="left"/>
            </w:pPr>
            <w:r>
              <w:t xml:space="preserve">rotation, shear and end-reaction indicators (Section 2.2, Section S3)</w:t>
            </w:r>
          </w:p>
        </w:tc>
      </w:tr>
      <w:tr>
        <w:trPr>
          <w:cantSplit/>
        </w:trPr>
        <w:tc>
          <w:tcPr>
            <w:tcW w:type="dxa" w:w="2892"/>
          </w:tcPr>
          <w:p>
            <w:pPr>
              <w:pStyle w:val="Compact"/>
              <w:jc w:val="left"/>
            </w:pPr>
            <m:oMath>
              <m:sSub>
                <m:e>
                  <m:r>
                    <m:t>P</m:t>
                  </m:r>
                </m:e>
                <m:sub>
                  <m:r>
                    <m:rPr>
                      <m:sty m:val="p"/>
                    </m:rPr>
                    <m:t>tot</m:t>
                  </m:r>
                </m:sub>
              </m:sSub>
            </m:oMath>
            <w:r>
              <w:t xml:space="preserve">,</w:t>
            </w:r>
            <w:r>
              <w:t xml:space="preserve"> </w:t>
            </w:r>
            <m:oMath>
              <m:sSub>
                <m:e>
                  <m:r>
                    <m:t>P</m:t>
                  </m:r>
                </m:e>
                <m:sub>
                  <m:r>
                    <m:t>0</m:t>
                  </m:r>
                </m:sub>
              </m:sSub>
            </m:oMath>
          </w:p>
        </w:tc>
        <w:tc>
          <w:tcPr>
            <w:tcW w:type="dxa" w:w="6177"/>
          </w:tcPr>
          <w:p>
            <w:pPr>
              <w:pStyle w:val="Compact"/>
              <w:jc w:val="left"/>
            </w:pPr>
            <w:r>
              <w:t xml:space="preserve">total load of a crossing; weighed reference load (kN)</w:t>
            </w:r>
          </w:p>
        </w:tc>
      </w:tr>
      <w:tr>
        <w:trPr>
          <w:cantSplit/>
        </w:trPr>
        <w:tc>
          <w:tcPr>
            <w:tcW w:type="dxa" w:w="2892"/>
          </w:tcPr>
          <w:p>
            <w:pPr>
              <w:pStyle w:val="Compact"/>
              <w:jc w:val="left"/>
            </w:pPr>
            <m:oMath>
              <m:sSub>
                <m:e>
                  <m:r>
                    <m:t>P</m:t>
                  </m:r>
                </m:e>
                <m:sub>
                  <m:r>
                    <m:t>t</m:t>
                  </m:r>
                </m:sub>
              </m:sSub>
            </m:oMath>
            <w:r>
              <w:t xml:space="preserve">,</w:t>
            </w:r>
            <w:r>
              <w:t xml:space="preserve"> </w:t>
            </w:r>
            <m:oMath>
              <m:sSub>
                <m:e>
                  <m:r>
                    <m:t>J</m:t>
                  </m:r>
                </m:e>
                <m:sub>
                  <m:r>
                    <m:t>t</m:t>
                  </m:r>
                </m:sub>
              </m:sSub>
            </m:oMath>
            <w:r>
              <w:t xml:space="preserve">,</w:t>
            </w:r>
            <w:r>
              <w:t xml:space="preserve"> </w:t>
            </w:r>
            <m:oMath>
              <m:sSub>
                <m:e>
                  <m:r>
                    <m:t>J</m:t>
                  </m:r>
                </m:e>
                <m:sub>
                  <m:r>
                    <m:t>0</m:t>
                  </m:r>
                </m:sub>
              </m:sSub>
            </m:oMath>
          </w:p>
        </w:tc>
        <w:tc>
          <w:tcPr>
            <w:tcW w:type="dxa" w:w="6177"/>
          </w:tcPr>
          <w:p>
            <w:pPr>
              <w:pStyle w:val="Compact"/>
              <w:jc w:val="left"/>
            </w:pPr>
            <w:r>
              <w:t xml:space="preserve">load and record integral of a target crossing; record integral of the reference crossing</w:t>
            </w:r>
          </w:p>
        </w:tc>
      </w:tr>
      <w:tr>
        <w:trPr>
          <w:cantSplit/>
        </w:trPr>
        <w:tc>
          <w:tcPr>
            <w:tcW w:type="dxa" w:w="2892"/>
          </w:tcPr>
          <w:p>
            <w:pPr>
              <w:pStyle w:val="Compact"/>
              <w:jc w:val="left"/>
            </w:pPr>
            <m:oMath>
              <m:sSub>
                <m:e>
                  <m:r>
                    <m:t>P</m:t>
                  </m:r>
                </m:e>
                <m:sub>
                  <m:r>
                    <m:t>δ</m:t>
                  </m:r>
                </m:sub>
              </m:sSub>
            </m:oMath>
          </w:p>
        </w:tc>
        <w:tc>
          <w:tcPr>
            <w:tcW w:type="dxa" w:w="6177"/>
          </w:tcPr>
          <w:p>
            <w:pPr>
              <w:pStyle w:val="Compact"/>
              <w:jc w:val="left"/>
            </w:pPr>
            <w:r>
              <w:t xml:space="preserve">offset-equivalent load</w:t>
            </w:r>
            <w:r>
              <w:t xml:space="preserve"> </w:t>
            </w:r>
            <m:oMath>
              <m:sSub>
                <m:e>
                  <m:r>
                    <m:t>δ</m:t>
                  </m:r>
                </m:e>
                <m:sub>
                  <m:r>
                    <m:t>0</m:t>
                  </m:r>
                </m:sub>
              </m:sSub>
              <m:sSub>
                <m:e>
                  <m:r>
                    <m:t>L</m:t>
                  </m:r>
                </m:e>
                <m:sub>
                  <m:r>
                    <m:rPr>
                      <m:sty m:val="p"/>
                    </m:rPr>
                    <m:t>tot</m:t>
                  </m:r>
                </m:sub>
              </m:sSub>
              <m:r>
                <m:rPr>
                  <m:sty m:val="p"/>
                </m:rPr>
                <m:t>/</m:t>
              </m:r>
              <m:r>
                <m:t>C</m:t>
              </m:r>
            </m:oMath>
            <w:r>
              <w:t xml:space="preserve"> </w:t>
            </w:r>
            <w:r>
              <w:t xml:space="preserve">(kN)</w:t>
            </w:r>
          </w:p>
        </w:tc>
      </w:tr>
      <w:tr>
        <w:trPr>
          <w:cantSplit/>
        </w:trPr>
        <w:tc>
          <w:tcPr>
            <w:tcW w:type="dxa" w:w="2892"/>
          </w:tcPr>
          <w:p>
            <w:pPr>
              <w:pStyle w:val="Compact"/>
              <w:jc w:val="left"/>
            </w:pPr>
            <m:oMath>
              <m:r>
                <m:t>R</m:t>
              </m:r>
            </m:oMath>
          </w:p>
        </w:tc>
        <w:tc>
          <w:tcPr>
            <w:tcW w:type="dxa" w:w="6177"/>
          </w:tcPr>
          <w:p>
            <w:pPr>
              <w:pStyle w:val="Compact"/>
              <w:jc w:val="left"/>
            </w:pPr>
            <w:r>
              <w:t xml:space="preserve">cancellation ratio</w:t>
            </w:r>
            <w:r>
              <w:t xml:space="preserve"> </w:t>
            </w:r>
            <m:oMath>
              <m:r>
                <m:t>C</m:t>
              </m:r>
              <m:r>
                <m:rPr>
                  <m:sty m:val="p"/>
                </m:rPr>
                <m:t>/</m:t>
              </m:r>
              <m:sSup>
                <m:e>
                  <m:r>
                    <m:t>A</m:t>
                  </m:r>
                </m:e>
                <m:sup>
                  <m:r>
                    <m:rPr>
                      <m:sty m:val="p"/>
                    </m:rPr>
                    <m:t>+</m:t>
                  </m:r>
                </m:sup>
              </m:sSup>
            </m:oMath>
          </w:p>
        </w:tc>
      </w:tr>
      <w:tr>
        <w:trPr>
          <w:cantSplit/>
        </w:trPr>
        <w:tc>
          <w:tcPr>
            <w:tcW w:type="dxa" w:w="2892"/>
          </w:tcPr>
          <w:p>
            <w:pPr>
              <w:pStyle w:val="Compact"/>
              <w:jc w:val="left"/>
            </w:pPr>
            <m:oMath>
              <m:sSub>
                <m:e>
                  <m:r>
                    <m:t>r</m:t>
                  </m:r>
                </m:e>
                <m:sub>
                  <m:r>
                    <m:t>87</m:t>
                  </m:r>
                </m:sub>
              </m:sSub>
            </m:oMath>
          </w:p>
        </w:tc>
        <w:tc>
          <w:tcPr>
            <w:tcW w:type="dxa" w:w="6177"/>
          </w:tcPr>
          <w:p>
            <w:pPr>
              <w:pStyle w:val="Compact"/>
              <w:jc w:val="left"/>
            </w:pPr>
            <w:r>
              <w:t xml:space="preserve">measured-to-model ratio at gauge N8 divided by that at gauge N7;</w:t>
            </w:r>
            <w:r>
              <w:t xml:space="preserve"> </w:t>
            </w:r>
            <m:oMath>
              <m:sSub>
                <m:e>
                  <m:r>
                    <m:t>r</m:t>
                  </m:r>
                </m:e>
                <m:sub>
                  <m:r>
                    <m:t>87</m:t>
                  </m:r>
                </m:sub>
              </m:sSub>
              <m:r>
                <m:rPr>
                  <m:sty m:val="p"/>
                </m:rPr>
                <m:t>=</m:t>
              </m:r>
              <m:r>
                <m:t>1</m:t>
              </m:r>
            </m:oMath>
            <w:r>
              <w:t xml:space="preserve"> </w:t>
            </w:r>
            <w:r>
              <w:t xml:space="preserve">when one model fits both gauges</w:t>
            </w:r>
          </w:p>
        </w:tc>
      </w:tr>
      <w:tr>
        <w:trPr>
          <w:cantSplit/>
        </w:trPr>
        <w:tc>
          <w:tcPr>
            <w:tcW w:type="dxa" w:w="2892"/>
          </w:tcPr>
          <w:p>
            <w:pPr>
              <w:pStyle w:val="Compact"/>
              <w:jc w:val="left"/>
            </w:pPr>
            <m:oMath>
              <m:sSub>
                <m:e>
                  <m:r>
                    <m:t>S</m:t>
                  </m:r>
                </m:e>
                <m:sub>
                  <m:r>
                    <m:t>α</m:t>
                  </m:r>
                </m:sub>
              </m:sSub>
            </m:oMath>
            <w:r>
              <w:t xml:space="preserve">,</w:t>
            </w:r>
            <w:r>
              <w:t xml:space="preserve"> </w:t>
            </w:r>
            <m:oMath>
              <m:sSub>
                <m:e>
                  <m:r>
                    <m:t>S</m:t>
                  </m:r>
                </m:e>
                <m:sub>
                  <m:r>
                    <m:t>k</m:t>
                  </m:r>
                </m:sub>
              </m:sSub>
            </m:oMath>
          </w:p>
        </w:tc>
        <w:tc>
          <w:tcPr>
            <w:tcW w:type="dxa" w:w="6177"/>
          </w:tcPr>
          <w:p>
            <w:pPr>
              <w:pStyle w:val="Compact"/>
              <w:jc w:val="left"/>
            </w:pPr>
            <w:r>
              <w:t xml:space="preserve">logarithmic sensitivities</w:t>
            </w:r>
            <w:r>
              <w:t xml:space="preserve"> </w:t>
            </w:r>
            <m:oMath>
              <m:r>
                <m:rPr>
                  <m:sty m:val="p"/>
                </m:rPr>
                <m:t>∂</m:t>
              </m:r>
              <m:r>
                <m:rPr>
                  <m:sty m:val="p"/>
                </m:rPr>
                <m:t>ln</m:t>
              </m:r>
              <m:sSub>
                <m:e>
                  <m:r>
                    <m:t>C</m:t>
                  </m:r>
                </m:e>
                <m:sub>
                  <m:r>
                    <m:t>m</m:t>
                  </m:r>
                </m:sub>
              </m:sSub>
              <m:r>
                <m:rPr>
                  <m:sty m:val="p"/>
                </m:rPr>
                <m:t>/</m:t>
              </m:r>
              <m:r>
                <m:rPr>
                  <m:sty m:val="p"/>
                </m:rPr>
                <m:t>∂</m:t>
              </m:r>
              <m:r>
                <m:rPr>
                  <m:sty m:val="p"/>
                </m:rPr>
                <m:t>ln</m:t>
              </m:r>
              <m:r>
                <m:t>α</m:t>
              </m:r>
            </m:oMath>
            <w:r>
              <w:t xml:space="preserve">,</w:t>
            </w:r>
            <w:r>
              <w:t xml:space="preserve"> </w:t>
            </w:r>
            <m:oMath>
              <m:r>
                <m:rPr>
                  <m:sty m:val="p"/>
                </m:rPr>
                <m:t>∂</m:t>
              </m:r>
              <m:r>
                <m:rPr>
                  <m:sty m:val="p"/>
                </m:rPr>
                <m:t>ln</m:t>
              </m:r>
              <m:sSub>
                <m:e>
                  <m:r>
                    <m:t>C</m:t>
                  </m:r>
                </m:e>
                <m:sub>
                  <m:r>
                    <m:t>m</m:t>
                  </m:r>
                </m:sub>
              </m:sSub>
              <m:r>
                <m:rPr>
                  <m:sty m:val="p"/>
                </m:rPr>
                <m:t>/</m:t>
              </m:r>
              <m:r>
                <m:rPr>
                  <m:sty m:val="p"/>
                </m:rPr>
                <m:t>∂</m:t>
              </m:r>
              <m:r>
                <m:rPr>
                  <m:sty m:val="p"/>
                </m:rPr>
                <m:t>ln</m:t>
              </m:r>
              <m:r>
                <m:t>k</m:t>
              </m:r>
            </m:oMath>
            <w:r>
              <w:t xml:space="preserve"> </w:t>
            </w:r>
            <w:r>
              <w:t xml:space="preserve">(Section S5)</w:t>
            </w:r>
          </w:p>
        </w:tc>
      </w:tr>
      <w:tr>
        <w:trPr>
          <w:cantSplit/>
        </w:trPr>
        <w:tc>
          <w:tcPr>
            <w:tcW w:type="dxa" w:w="2892"/>
          </w:tcPr>
          <w:p>
            <w:pPr>
              <w:pStyle w:val="Compact"/>
              <w:jc w:val="left"/>
            </w:pPr>
            <m:oMath>
              <m:sSub>
                <m:e>
                  <m:r>
                    <m:t>t</m:t>
                  </m:r>
                </m:e>
                <m:sub>
                  <m:r>
                    <m:rPr>
                      <m:sty m:val="p"/>
                    </m:rPr>
                    <m:t>cr</m:t>
                  </m:r>
                </m:sub>
              </m:sSub>
            </m:oMath>
          </w:p>
        </w:tc>
        <w:tc>
          <w:tcPr>
            <w:tcW w:type="dxa" w:w="6177"/>
          </w:tcPr>
          <w:p>
            <w:pPr>
              <w:pStyle w:val="Compact"/>
              <w:jc w:val="left"/>
            </w:pPr>
            <w:r>
              <w:t xml:space="preserve">duration of a crossing (s)</w:t>
            </w:r>
          </w:p>
        </w:tc>
      </w:tr>
      <w:tr>
        <w:trPr>
          <w:cantSplit/>
        </w:trPr>
        <w:tc>
          <w:tcPr>
            <w:tcW w:type="dxa" w:w="2892"/>
          </w:tcPr>
          <w:p>
            <w:pPr>
              <w:pStyle w:val="Compact"/>
              <w:jc w:val="left"/>
            </w:pPr>
            <m:oMath>
              <m:r>
                <m:t>w</m:t>
              </m:r>
            </m:oMath>
            <w:r>
              <w:t xml:space="preserve">,</w:t>
            </w:r>
            <w:r>
              <w:t xml:space="preserve"> </w:t>
            </w:r>
            <m:oMath>
              <m:sSub>
                <m:e>
                  <m:r>
                    <m:t>w</m:t>
                  </m:r>
                </m:e>
                <m:sub>
                  <m:r>
                    <m:t>q</m:t>
                  </m:r>
                </m:sub>
              </m:sSub>
            </m:oMath>
          </w:p>
        </w:tc>
        <w:tc>
          <w:tcPr>
            <w:tcW w:type="dxa" w:w="6177"/>
          </w:tcPr>
          <w:p>
            <w:pPr>
              <w:pStyle w:val="Compact"/>
              <w:jc w:val="left"/>
            </w:pPr>
            <w:r>
              <w:t xml:space="preserve">deflection; deflection under the uniform load</w:t>
            </w:r>
            <w:r>
              <w:t xml:space="preserve"> </w:t>
            </w:r>
            <m:oMath>
              <m:sSub>
                <m:e>
                  <m:r>
                    <m:t>q</m:t>
                  </m:r>
                </m:e>
                <m:sub>
                  <m:r>
                    <m:t>0</m:t>
                  </m:r>
                </m:sub>
              </m:sSub>
            </m:oMath>
            <w:r>
              <w:t xml:space="preserve"> </w:t>
            </w:r>
            <w:r>
              <w:t xml:space="preserve">over the whole path</w:t>
            </w:r>
          </w:p>
        </w:tc>
      </w:tr>
      <w:tr>
        <w:trPr>
          <w:cantSplit/>
        </w:trPr>
        <w:tc>
          <w:tcPr>
            <w:tcW w:type="dxa" w:w="2892"/>
          </w:tcPr>
          <w:p>
            <w:pPr>
              <w:pStyle w:val="Compact"/>
              <w:jc w:val="left"/>
            </w:pPr>
            <m:oMath>
              <m:r>
                <m:t>α</m:t>
              </m:r>
            </m:oMath>
          </w:p>
        </w:tc>
        <w:tc>
          <w:tcPr>
            <w:tcW w:type="dxa" w:w="6177"/>
          </w:tcPr>
          <w:p>
            <w:pPr>
              <w:pStyle w:val="Compact"/>
              <w:jc w:val="left"/>
            </w:pPr>
            <w:r>
              <w:t xml:space="preserve">ratio of effective to design girder rigidity</w:t>
            </w:r>
          </w:p>
        </w:tc>
      </w:tr>
      <w:tr>
        <w:trPr>
          <w:cantSplit/>
        </w:trPr>
        <w:tc>
          <w:tcPr>
            <w:tcW w:type="dxa" w:w="2892"/>
          </w:tcPr>
          <w:p>
            <w:pPr>
              <w:pStyle w:val="Compact"/>
              <w:jc w:val="left"/>
            </w:pPr>
            <m:oMath>
              <m:r>
                <m:t>β</m:t>
              </m:r>
            </m:oMath>
          </w:p>
        </w:tc>
        <w:tc>
          <w:tcPr>
            <w:tcW w:type="dxa" w:w="6177"/>
          </w:tcPr>
          <w:p>
            <w:pPr>
              <w:pStyle w:val="Compact"/>
              <w:jc w:val="left"/>
            </w:pPr>
            <w:r>
              <w:t xml:space="preserve">main-to-side span ratio</w:t>
            </w:r>
            <w:r>
              <w:t xml:space="preserve"> </w:t>
            </w:r>
            <m:oMath>
              <m:sSub>
                <m:e>
                  <m:r>
                    <m:t>L</m:t>
                  </m:r>
                </m:e>
                <m:sub>
                  <m:r>
                    <m:rPr>
                      <m:sty m:val="p"/>
                    </m:rPr>
                    <m:t>main</m:t>
                  </m:r>
                </m:sub>
              </m:sSub>
              <m:r>
                <m:rPr>
                  <m:sty m:val="p"/>
                </m:rPr>
                <m:t>/</m:t>
              </m:r>
              <m:sSub>
                <m:e>
                  <m:r>
                    <m:t>L</m:t>
                  </m:r>
                </m:e>
                <m:sub>
                  <m:r>
                    <m:rPr>
                      <m:sty m:val="p"/>
                    </m:rPr>
                    <m:t>side</m:t>
                  </m:r>
                </m:sub>
              </m:sSub>
            </m:oMath>
            <w:r>
              <w:t xml:space="preserve"> </w:t>
            </w:r>
            <w:r>
              <w:t xml:space="preserve">(three spans)</w:t>
            </w:r>
          </w:p>
        </w:tc>
      </w:tr>
      <w:tr>
        <w:trPr>
          <w:cantSplit/>
        </w:trPr>
        <w:tc>
          <w:tcPr>
            <w:tcW w:type="dxa" w:w="2892"/>
          </w:tcPr>
          <w:p>
            <w:pPr>
              <w:pStyle w:val="Compact"/>
              <w:jc w:val="left"/>
            </w:pPr>
            <m:oMath>
              <m:r>
                <m:t>γ</m:t>
              </m:r>
            </m:oMath>
          </w:p>
        </w:tc>
        <w:tc>
          <w:tcPr>
            <w:tcW w:type="dxa" w:w="6177"/>
          </w:tcPr>
          <w:p>
            <w:pPr>
              <w:pStyle w:val="Compact"/>
              <w:jc w:val="left"/>
            </w:pPr>
            <w:r>
              <w:t xml:space="preserve">rigidity ratio:</w:t>
            </w:r>
            <w:r>
              <w:t xml:space="preserve"> </w:t>
            </w:r>
            <m:oMath>
              <m:r>
                <m:t>E</m:t>
              </m:r>
              <m:sSub>
                <m:e>
                  <m:r>
                    <m:t>I</m:t>
                  </m:r>
                </m:e>
                <m:sub>
                  <m:r>
                    <m:t>2</m:t>
                  </m:r>
                </m:sub>
              </m:sSub>
              <m:r>
                <m:rPr>
                  <m:sty m:val="p"/>
                </m:rPr>
                <m:t>/</m:t>
              </m:r>
              <m:r>
                <m:t>E</m:t>
              </m:r>
              <m:sSub>
                <m:e>
                  <m:r>
                    <m:t>I</m:t>
                  </m:r>
                </m:e>
                <m:sub>
                  <m:r>
                    <m:t>1</m:t>
                  </m:r>
                </m:sub>
              </m:sSub>
            </m:oMath>
            <w:r>
              <w:t xml:space="preserve"> </w:t>
            </w:r>
            <w:r>
              <w:t xml:space="preserve">(two spans, span 1 instrumented);</w:t>
            </w:r>
            <w:r>
              <w:t xml:space="preserve"> </w:t>
            </w:r>
            <m:oMath>
              <m:r>
                <m:t>E</m:t>
              </m:r>
              <m:sSub>
                <m:e>
                  <m:r>
                    <m:t>I</m:t>
                  </m:r>
                </m:e>
                <m:sub>
                  <m:r>
                    <m:rPr>
                      <m:sty m:val="p"/>
                    </m:rPr>
                    <m:t>main</m:t>
                  </m:r>
                </m:sub>
              </m:sSub>
              <m:r>
                <m:rPr>
                  <m:sty m:val="p"/>
                </m:rPr>
                <m:t>/</m:t>
              </m:r>
              <m:r>
                <m:t>E</m:t>
              </m:r>
              <m:sSub>
                <m:e>
                  <m:r>
                    <m:t>I</m:t>
                  </m:r>
                </m:e>
                <m:sub>
                  <m:r>
                    <m:rPr>
                      <m:sty m:val="p"/>
                    </m:rPr>
                    <m:t>side</m:t>
                  </m:r>
                </m:sub>
              </m:sSub>
            </m:oMath>
            <w:r>
              <w:t xml:space="preserve"> </w:t>
            </w:r>
            <w:r>
              <w:t xml:space="preserve">(three spans)</w:t>
            </w:r>
          </w:p>
        </w:tc>
      </w:tr>
      <w:tr>
        <w:trPr>
          <w:cantSplit/>
        </w:trPr>
        <w:tc>
          <w:tcPr>
            <w:tcW w:type="dxa" w:w="2892"/>
          </w:tcPr>
          <w:p>
            <w:pPr>
              <w:pStyle w:val="Compact"/>
              <w:jc w:val="left"/>
            </w:pPr>
            <m:oMath>
              <m:sSub>
                <m:e>
                  <m:r>
                    <m:t>δ</m:t>
                  </m:r>
                </m:e>
                <m:sub>
                  <m:r>
                    <m:t>0</m:t>
                  </m:r>
                </m:sub>
              </m:sSub>
            </m:oMath>
          </w:p>
        </w:tc>
        <w:tc>
          <w:tcPr>
            <w:tcW w:type="dxa" w:w="6177"/>
          </w:tcPr>
          <w:p>
            <w:pPr>
              <w:pStyle w:val="Compact"/>
              <w:jc w:val="left"/>
            </w:pPr>
            <w:r>
              <w:t xml:space="preserve">residual zero offset after re-zeroing before and after a crossing, in the units of the channel (mm for deflection)</w:t>
            </w:r>
          </w:p>
        </w:tc>
      </w:tr>
      <w:tr>
        <w:trPr>
          <w:cantSplit/>
        </w:trPr>
        <w:tc>
          <w:tcPr>
            <w:tcW w:type="dxa" w:w="2892"/>
          </w:tcPr>
          <w:p>
            <w:pPr>
              <w:pStyle w:val="Compact"/>
              <w:jc w:val="left"/>
            </w:pPr>
            <m:oMath>
              <m:r>
                <m:t>ζ</m:t>
              </m:r>
            </m:oMath>
          </w:p>
        </w:tc>
        <w:tc>
          <w:tcPr>
            <w:tcW w:type="dxa" w:w="6177"/>
          </w:tcPr>
          <w:p>
            <w:pPr>
              <w:pStyle w:val="Compact"/>
              <w:jc w:val="left"/>
            </w:pPr>
            <w:r>
              <w:t xml:space="preserve">position in the main span from the pier, as a fraction of the main span</w:t>
            </w:r>
          </w:p>
        </w:tc>
      </w:tr>
      <w:tr>
        <w:trPr>
          <w:cantSplit/>
        </w:trPr>
        <w:tc>
          <w:tcPr>
            <w:tcW w:type="dxa" w:w="2892"/>
          </w:tcPr>
          <w:p>
            <w:pPr>
              <w:pStyle w:val="Compact"/>
              <w:jc w:val="left"/>
            </w:pPr>
            <m:oMath>
              <m:sSub>
                <m:e>
                  <m:r>
                    <m:t>η</m:t>
                  </m:r>
                </m:e>
                <m:sub>
                  <m:r>
                    <m:t>m</m:t>
                  </m:r>
                </m:sub>
              </m:sSub>
            </m:oMath>
          </w:p>
        </w:tc>
        <w:tc>
          <w:tcPr>
            <w:tcW w:type="dxa" w:w="6177"/>
          </w:tcPr>
          <w:p>
            <w:pPr>
              <w:pStyle w:val="Compact"/>
              <w:jc w:val="left"/>
            </w:pPr>
            <w:r>
              <w:t xml:space="preserve">influence line of the channel at</w:t>
            </w:r>
            <w:r>
              <w:t xml:space="preserve"> </w:t>
            </w:r>
            <m:oMath>
              <m:r>
                <m:t>m</m:t>
              </m:r>
            </m:oMath>
          </w:p>
        </w:tc>
      </w:tr>
      <w:tr>
        <w:trPr>
          <w:cantSplit/>
        </w:trPr>
        <w:tc>
          <w:tcPr>
            <w:tcW w:type="dxa" w:w="2892"/>
          </w:tcPr>
          <w:p>
            <w:pPr>
              <w:pStyle w:val="Compact"/>
              <w:jc w:val="left"/>
            </w:pPr>
            <m:oMath>
              <m:r>
                <m:t>κ</m:t>
              </m:r>
            </m:oMath>
          </w:p>
        </w:tc>
        <w:tc>
          <w:tcPr>
            <w:tcW w:type="dxa" w:w="6177"/>
          </w:tcPr>
          <w:p>
            <w:pPr>
              <w:pStyle w:val="Compact"/>
              <w:jc w:val="left"/>
            </w:pPr>
            <w:r>
              <w:t xml:space="preserve">scaled pier stiffness</w:t>
            </w:r>
            <w:r>
              <w:t xml:space="preserve"> </w:t>
            </w:r>
            <m:oMath>
              <m:r>
                <m:t>k</m:t>
              </m:r>
              <m:r>
                <m:rPr>
                  <m:sty m:val="p"/>
                </m:rPr>
                <m:t>/</m:t>
              </m:r>
              <m:r>
                <m:t>α</m:t>
              </m:r>
            </m:oMath>
            <w:r>
              <w:t xml:space="preserve"> </w:t>
            </w:r>
            <w:r>
              <w:t xml:space="preserve">(kN m/rad, since</w:t>
            </w:r>
            <w:r>
              <w:t xml:space="preserve"> </w:t>
            </w:r>
            <m:oMath>
              <m:r>
                <m:t>α</m:t>
              </m:r>
            </m:oMath>
            <w:r>
              <w:t xml:space="preserve"> </w:t>
            </w:r>
            <w:r>
              <w:t xml:space="preserve">is dimensionless)</w:t>
            </w:r>
          </w:p>
        </w:tc>
      </w:tr>
      <w:tr>
        <w:trPr>
          <w:cantSplit/>
        </w:trPr>
        <w:tc>
          <w:tcPr>
            <w:tcW w:type="dxa" w:w="2892"/>
          </w:tcPr>
          <w:p>
            <w:pPr>
              <w:pStyle w:val="Compact"/>
              <w:jc w:val="left"/>
            </w:pPr>
            <m:oMath>
              <m:r>
                <m:t>λ</m:t>
              </m:r>
            </m:oMath>
          </w:p>
        </w:tc>
        <w:tc>
          <w:tcPr>
            <w:tcW w:type="dxa" w:w="6177"/>
          </w:tcPr>
          <w:p>
            <w:pPr>
              <w:pStyle w:val="Compact"/>
              <w:jc w:val="left"/>
            </w:pPr>
            <w:r>
              <w:t xml:space="preserve">span ratio</w:t>
            </w:r>
            <w:r>
              <w:t xml:space="preserve"> </w:t>
            </w:r>
            <m:oMath>
              <m:sSub>
                <m:e>
                  <m:r>
                    <m:t>L</m:t>
                  </m:r>
                </m:e>
                <m:sub>
                  <m:r>
                    <m:t>2</m:t>
                  </m:r>
                </m:sub>
              </m:sSub>
              <m:r>
                <m:rPr>
                  <m:sty m:val="p"/>
                </m:rPr>
                <m:t>/</m:t>
              </m:r>
              <m:sSub>
                <m:e>
                  <m:r>
                    <m:t>L</m:t>
                  </m:r>
                </m:e>
                <m:sub>
                  <m:r>
                    <m:t>1</m:t>
                  </m:r>
                </m:sub>
              </m:sSub>
            </m:oMath>
            <w:r>
              <w:t xml:space="preserve"> </w:t>
            </w:r>
            <w:r>
              <w:t xml:space="preserve">of the adjacent to the instrumented span (two spans)</w:t>
            </w:r>
          </w:p>
        </w:tc>
      </w:tr>
      <w:tr>
        <w:trPr>
          <w:cantSplit/>
        </w:trPr>
        <w:tc>
          <w:tcPr>
            <w:tcW w:type="dxa" w:w="2892"/>
          </w:tcPr>
          <w:p>
            <w:pPr>
              <w:pStyle w:val="Compact"/>
              <w:jc w:val="left"/>
            </w:pPr>
            <m:oMath>
              <m:r>
                <m:t>μ</m:t>
              </m:r>
            </m:oMath>
          </w:p>
        </w:tc>
        <w:tc>
          <w:tcPr>
            <w:tcW w:type="dxa" w:w="6177"/>
          </w:tcPr>
          <w:p>
            <w:pPr>
              <w:pStyle w:val="Compact"/>
              <w:jc w:val="left"/>
            </w:pPr>
            <w:r>
              <w:t xml:space="preserve">interior-moment parameter,</w:t>
            </w:r>
            <w:r>
              <w:t xml:space="preserve"> </w:t>
            </w:r>
            <m:oMath>
              <m:r>
                <m:t>μ</m:t>
              </m:r>
              <m:r>
                <m:rPr>
                  <m:sty m:val="p"/>
                </m:rPr>
                <m:t>=</m:t>
              </m:r>
              <m:r>
                <m:rPr>
                  <m:sty m:val="p"/>
                </m:rPr>
                <m:t>−</m:t>
              </m:r>
              <m:r>
                <m:t>8</m:t>
              </m:r>
              <m:sSub>
                <m:e>
                  <m:r>
                    <m:t>M</m:t>
                  </m:r>
                </m:e>
                <m:sub>
                  <m:r>
                    <m:t>B</m:t>
                  </m:r>
                </m:sub>
              </m:sSub>
              <m:r>
                <m:rPr>
                  <m:sty m:val="p"/>
                </m:rPr>
                <m:t>/</m:t>
              </m:r>
              <m:d>
                <m:dPr>
                  <m:begChr m:val="("/>
                  <m:endChr m:val=")"/>
                  <m:sepChr m:val=""/>
                  <m:grow/>
                </m:dPr>
                <m:e>
                  <m:sSub>
                    <m:e>
                      <m:r>
                        <m:t>q</m:t>
                      </m:r>
                    </m:e>
                    <m:sub>
                      <m:r>
                        <m:t>0</m:t>
                      </m:r>
                    </m:sub>
                  </m:sSub>
                  <m:sSubSup>
                    <m:e>
                      <m:r>
                        <m:t>L</m:t>
                      </m:r>
                    </m:e>
                    <m:sub>
                      <m:r>
                        <m:t>1</m:t>
                      </m:r>
                    </m:sub>
                    <m:sup>
                      <m:r>
                        <m:t>2</m:t>
                      </m:r>
                    </m:sup>
                  </m:sSubSup>
                </m:e>
              </m:d>
            </m:oMath>
          </w:p>
        </w:tc>
      </w:tr>
      <w:tr>
        <w:trPr>
          <w:cantSplit/>
        </w:trPr>
        <w:tc>
          <w:tcPr>
            <w:tcW w:type="dxa" w:w="2892"/>
          </w:tcPr>
          <w:p>
            <w:pPr>
              <w:pStyle w:val="Compact"/>
              <w:jc w:val="left"/>
            </w:pPr>
            <m:oMath>
              <m:r>
                <m:t>ρ</m:t>
              </m:r>
            </m:oMath>
          </w:p>
        </w:tc>
        <w:tc>
          <w:tcPr>
            <w:tcW w:type="dxa" w:w="6177"/>
          </w:tcPr>
          <w:p>
            <w:pPr>
              <w:pStyle w:val="Compact"/>
              <w:jc w:val="left"/>
            </w:pPr>
            <w:r>
              <w:t xml:space="preserve">common-mode fraction of the offset or noise between channels</w:t>
            </w:r>
          </w:p>
        </w:tc>
      </w:tr>
      <w:tr>
        <w:trPr>
          <w:cantSplit/>
        </w:trPr>
        <w:tc>
          <w:tcPr>
            <w:tcW w:type="dxa" w:w="2892"/>
          </w:tcPr>
          <w:p>
            <w:pPr>
              <w:pStyle w:val="Compact"/>
              <w:jc w:val="left"/>
            </w:pPr>
            <m:oMath>
              <m:r>
                <m:t>Σ</m:t>
              </m:r>
            </m:oMath>
          </w:p>
        </w:tc>
        <w:tc>
          <w:tcPr>
            <w:tcW w:type="dxa" w:w="6177"/>
          </w:tcPr>
          <w:p>
            <w:pPr>
              <w:pStyle w:val="Compact"/>
              <w:jc w:val="left"/>
            </w:pPr>
            <w:r>
              <w:t xml:space="preserve">covariance matrix of the channel integrals</w:t>
            </w:r>
          </w:p>
        </w:tc>
      </w:tr>
      <w:tr>
        <w:trPr>
          <w:cantSplit/>
        </w:trPr>
        <w:tc>
          <w:tcPr>
            <w:tcW w:type="dxa" w:w="2892"/>
          </w:tcPr>
          <w:p>
            <w:pPr>
              <w:pStyle w:val="Compact"/>
              <w:jc w:val="left"/>
            </w:pPr>
            <m:oMath>
              <m:r>
                <m:t>σ</m:t>
              </m:r>
            </m:oMath>
            <w:r>
              <w:t xml:space="preserve">,</w:t>
            </w:r>
            <w:r>
              <w:t xml:space="preserve"> </w:t>
            </w:r>
            <m:oMath>
              <m:r>
                <m:t>Δ</m:t>
              </m:r>
              <m:r>
                <m:t>x</m:t>
              </m:r>
            </m:oMath>
          </w:p>
        </w:tc>
        <w:tc>
          <w:tcPr>
            <w:tcW w:type="dxa" w:w="6177"/>
          </w:tcPr>
          <w:p>
            <w:pPr>
              <w:pStyle w:val="Compact"/>
              <w:jc w:val="left"/>
            </w:pPr>
            <w:r>
              <w:t xml:space="preserve">standard deviation of the white noise of a record; sampling interval along the record</w:t>
            </w:r>
          </w:p>
        </w:tc>
      </w:tr>
      <w:tr>
        <w:trPr>
          <w:cantSplit/>
        </w:trPr>
        <w:tc>
          <w:tcPr>
            <w:tcW w:type="dxa" w:w="2892"/>
          </w:tcPr>
          <w:p>
            <w:pPr>
              <w:pStyle w:val="Compact"/>
              <w:jc w:val="left"/>
            </w:pPr>
            <m:oMath>
              <m:sSub>
                <m:e>
                  <m:r>
                    <m:t>σ</m:t>
                  </m:r>
                </m:e>
                <m:sub>
                  <m:r>
                    <m:t>P</m:t>
                  </m:r>
                  <m:r>
                    <m:rPr>
                      <m:sty m:val="p"/>
                    </m:rPr>
                    <m:t>,</m:t>
                  </m:r>
                  <m:r>
                    <m:rPr>
                      <m:sty m:val="p"/>
                    </m:rPr>
                    <m:t>noise</m:t>
                  </m:r>
                </m:sub>
              </m:sSub>
            </m:oMath>
          </w:p>
        </w:tc>
        <w:tc>
          <w:tcPr>
            <w:tcW w:type="dxa" w:w="6177"/>
          </w:tcPr>
          <w:p>
            <w:pPr>
              <w:pStyle w:val="Compact"/>
              <w:jc w:val="left"/>
            </w:pPr>
            <w:r>
              <w:t xml:space="preserve">standard deviation of the load estimate caused by white noise</w:t>
            </w:r>
          </w:p>
        </w:tc>
      </w:tr>
      <w:tr>
        <w:trPr>
          <w:cantSplit/>
        </w:trPr>
        <w:tc>
          <w:tcPr>
            <w:tcW w:type="dxa" w:w="2892"/>
          </w:tcPr>
          <w:p>
            <w:pPr>
              <w:pStyle w:val="Compact"/>
              <w:jc w:val="left"/>
            </w:pPr>
            <m:oMath>
              <m:r>
                <m:t>τ</m:t>
              </m:r>
            </m:oMath>
          </w:p>
        </w:tc>
        <w:tc>
          <w:tcPr>
            <w:tcW w:type="dxa" w:w="6177"/>
          </w:tcPr>
          <w:p>
            <w:pPr>
              <w:pStyle w:val="Compact"/>
              <w:jc w:val="left"/>
            </w:pPr>
            <w:r>
              <w:t xml:space="preserve">tolerance on the static misfit of a gauge</w:t>
            </w:r>
          </w:p>
        </w:tc>
      </w:tr>
      <w:tr>
        <w:trPr>
          <w:cantSplit/>
        </w:trPr>
        <w:tc>
          <w:tcPr>
            <w:tcW w:type="dxa" w:w="2892"/>
          </w:tcPr>
          <w:p>
            <w:pPr>
              <w:pStyle w:val="Compact"/>
              <w:jc w:val="left"/>
            </w:pPr>
            <m:oMath>
              <m:r>
                <m:t>ξ</m:t>
              </m:r>
            </m:oMath>
          </w:p>
        </w:tc>
        <w:tc>
          <w:tcPr>
            <w:tcW w:type="dxa" w:w="6177"/>
          </w:tcPr>
          <w:p>
            <w:pPr>
              <w:pStyle w:val="Compact"/>
              <w:jc w:val="left"/>
            </w:pPr>
            <w:r>
              <w:t xml:space="preserve">sensor position as a fraction of its span</w:t>
            </w:r>
          </w:p>
        </w:tc>
      </w:tr>
      <w:tr>
        <w:trPr>
          <w:cantSplit/>
        </w:trPr>
        <w:tc>
          <w:tcPr>
            <w:tcW w:type="dxa" w:w="2892"/>
          </w:tcPr>
          <w:p>
            <w:pPr>
              <w:pStyle w:val="Compact"/>
              <w:jc w:val="left"/>
            </w:pPr>
            <w:r>
              <w:t xml:space="preserve">BPM</w:t>
            </w:r>
          </w:p>
        </w:tc>
        <w:tc>
          <w:tcPr>
            <w:tcW w:type="dxa" w:w="6177"/>
          </w:tcPr>
          <w:p>
            <w:pPr>
              <w:pStyle w:val="Compact"/>
              <w:jc w:val="left"/>
            </w:pPr>
            <w:r>
              <w:t xml:space="preserve">beam-property method: load = record integral / modeled constant</w:t>
            </w:r>
          </w:p>
        </w:tc>
      </w:tr>
      <w:tr>
        <w:trPr>
          <w:cantSplit/>
        </w:trPr>
        <w:tc>
          <w:tcPr>
            <w:tcW w:type="dxa" w:w="2892"/>
          </w:tcPr>
          <w:p>
            <w:pPr>
              <w:pStyle w:val="Compact"/>
              <w:jc w:val="left"/>
            </w:pPr>
            <w:r>
              <w:t xml:space="preserve">SLM</w:t>
            </w:r>
          </w:p>
        </w:tc>
        <w:tc>
          <w:tcPr>
            <w:tcW w:type="dxa" w:w="6177"/>
          </w:tcPr>
          <w:p>
            <w:pPr>
              <w:pStyle w:val="Compact"/>
              <w:jc w:val="left"/>
            </w:pPr>
            <w:r>
              <w:t xml:space="preserve">standard-load method: constant taken from a crossing of known weight</w:t>
            </w:r>
          </w:p>
        </w:tc>
      </w:tr>
      <w:tr>
        <w:trPr>
          <w:cantSplit/>
        </w:trPr>
        <w:tc>
          <w:tcPr>
            <w:tcW w:type="dxa" w:w="2892"/>
          </w:tcPr>
          <w:p>
            <w:pPr>
              <w:pStyle w:val="Compact"/>
              <w:jc w:val="left"/>
            </w:pPr>
            <w:r>
              <w:t xml:space="preserve">WIM, BWIM, NOR</w:t>
            </w:r>
          </w:p>
        </w:tc>
        <w:tc>
          <w:tcPr>
            <w:tcW w:type="dxa" w:w="6177"/>
          </w:tcPr>
          <w:p>
            <w:pPr>
              <w:pStyle w:val="Compact"/>
              <w:jc w:val="left"/>
            </w:pPr>
            <w:r>
              <w:t xml:space="preserve">weigh-in-motion; bridge weigh-in-motion; Nothing-on-Road (no sensors on the road surface)</w:t>
            </w:r>
          </w:p>
        </w:tc>
      </w:tr>
      <w:tr>
        <w:trPr>
          <w:cantSplit/>
        </w:trPr>
        <w:tc>
          <w:tcPr>
            <w:tcW w:type="dxa" w:w="2892"/>
          </w:tcPr>
          <w:p>
            <w:pPr>
              <w:pStyle w:val="Compact"/>
              <w:jc w:val="left"/>
            </w:pPr>
            <w:r>
              <w:t xml:space="preserve">CI, CV, MAE, SD</w:t>
            </w:r>
          </w:p>
        </w:tc>
        <w:tc>
          <w:tcPr>
            <w:tcW w:type="dxa" w:w="6177"/>
          </w:tcPr>
          <w:p>
            <w:pPr>
              <w:pStyle w:val="Compact"/>
              <w:jc w:val="left"/>
            </w:pPr>
            <w:r>
              <w:t xml:space="preserve">confidence interval; coefficient of variation; mean absolute error; standard deviation</w:t>
            </w:r>
          </w:p>
        </w:tc>
      </w:tr>
      <w:tr>
        <w:trPr>
          <w:cantSplit/>
        </w:trPr>
        <w:tc>
          <w:tcPr>
            <w:tcW w:type="dxa" w:w="2892"/>
          </w:tcPr>
          <w:p>
            <w:pPr>
              <w:pStyle w:val="Compact"/>
              <w:jc w:val="left"/>
            </w:pPr>
            <w:r>
              <w:t xml:space="preserve">FE</w:t>
            </w:r>
          </w:p>
        </w:tc>
        <w:tc>
          <w:tcPr>
            <w:tcW w:type="dxa" w:w="6177"/>
          </w:tcPr>
          <w:p>
            <w:pPr>
              <w:pStyle w:val="Compact"/>
              <w:jc w:val="left"/>
            </w:pPr>
            <w:r>
              <w:t xml:space="preserve">finite element</w:t>
            </w:r>
          </w:p>
        </w:tc>
      </w:tr>
      <w:tr>
        <w:trPr>
          <w:cantSplit/>
        </w:trPr>
        <w:tc>
          <w:tcPr>
            <w:tcW w:type="dxa" w:w="2892"/>
          </w:tcPr>
          <w:p>
            <w:pPr>
              <w:pStyle w:val="Compact"/>
              <w:jc w:val="left"/>
            </w:pPr>
            <w:r>
              <w:t xml:space="preserve">GLS</w:t>
            </w:r>
          </w:p>
        </w:tc>
        <w:tc>
          <w:tcPr>
            <w:tcW w:type="dxa" w:w="6177"/>
          </w:tcPr>
          <w:p>
            <w:pPr>
              <w:pStyle w:val="Compact"/>
              <w:jc w:val="left"/>
            </w:pPr>
            <w:r>
              <w:t xml:space="preserve">generalized least squares</w:t>
            </w:r>
          </w:p>
        </w:tc>
      </w:tr>
      <w:tr>
        <w:trPr>
          <w:cantSplit/>
        </w:trPr>
        <w:tc>
          <w:tcPr>
            <w:tcW w:type="dxa" w:w="2892"/>
          </w:tcPr>
          <w:p>
            <w:pPr>
              <w:pStyle w:val="Compact"/>
              <w:jc w:val="left"/>
            </w:pPr>
            <w:r>
              <w:t xml:space="preserve">GUM</w:t>
            </w:r>
          </w:p>
        </w:tc>
        <w:tc>
          <w:tcPr>
            <w:tcW w:type="dxa" w:w="6177"/>
          </w:tcPr>
          <w:p>
            <w:pPr>
              <w:pStyle w:val="Compact"/>
              <w:jc w:val="left"/>
            </w:pPr>
            <w:r>
              <w:t xml:space="preserve">Guide to the Expression of Uncertainty in Measurement</w:t>
            </w:r>
          </w:p>
        </w:tc>
      </w:tr>
      <w:tr>
        <w:trPr>
          <w:cantSplit/>
        </w:trPr>
        <w:tc>
          <w:tcPr>
            <w:tcW w:type="dxa" w:w="2892"/>
          </w:tcPr>
          <w:p>
            <w:pPr>
              <w:pStyle w:val="Compact"/>
              <w:jc w:val="left"/>
            </w:pPr>
            <w:r>
              <w:t xml:space="preserve">GVW</w:t>
            </w:r>
          </w:p>
        </w:tc>
        <w:tc>
          <w:tcPr>
            <w:tcW w:type="dxa" w:w="6177"/>
          </w:tcPr>
          <w:p>
            <w:pPr>
              <w:pStyle w:val="Compact"/>
              <w:jc w:val="left"/>
            </w:pPr>
            <w:r>
              <w:t xml:space="preserve">gross vehicle weight</w:t>
            </w:r>
          </w:p>
        </w:tc>
      </w:tr>
      <w:tr>
        <w:trPr>
          <w:cantSplit/>
        </w:trPr>
        <w:tc>
          <w:tcPr>
            <w:tcW w:type="dxa" w:w="2892"/>
          </w:tcPr>
          <w:p>
            <w:pPr>
              <w:pStyle w:val="Compact"/>
              <w:jc w:val="left"/>
            </w:pPr>
            <w:r>
              <w:t xml:space="preserve">LOO, LOTO</w:t>
            </w:r>
          </w:p>
        </w:tc>
        <w:tc>
          <w:tcPr>
            <w:tcW w:type="dxa" w:w="6177"/>
          </w:tcPr>
          <w:p>
            <w:pPr>
              <w:pStyle w:val="Compact"/>
              <w:jc w:val="left"/>
            </w:pPr>
            <w:r>
              <w:t xml:space="preserve">leave-one-run-out and leave-one-truck-out cross-validation</w:t>
            </w:r>
          </w:p>
        </w:tc>
      </w:tr>
      <w:tr>
        <w:trPr>
          <w:cantSplit/>
        </w:trPr>
        <w:tc>
          <w:tcPr>
            <w:tcW w:type="dxa" w:w="2892"/>
          </w:tcPr>
          <w:p>
            <w:pPr>
              <w:pStyle w:val="Compact"/>
              <w:jc w:val="left"/>
            </w:pPr>
            <m:oMath>
              <m:sSup>
                <m:e>
                  <m:r>
                    <m:t>r</m:t>
                  </m:r>
                </m:e>
                <m:sup>
                  <m:r>
                    <m:t>2</m:t>
                  </m:r>
                </m:sup>
              </m:sSup>
            </m:oMath>
          </w:p>
        </w:tc>
        <w:tc>
          <w:tcPr>
            <w:tcW w:type="dxa" w:w="6177"/>
          </w:tcPr>
          <w:p>
            <w:pPr>
              <w:pStyle w:val="Compact"/>
              <w:jc w:val="left"/>
            </w:pPr>
            <w:r>
              <w:t xml:space="preserve">coefficient of determination</w:t>
            </w:r>
          </w:p>
        </w:tc>
      </w:tr>
      <w:tr>
        <w:trPr>
          <w:cantSplit/>
        </w:trPr>
        <w:tc>
          <w:tcPr>
            <w:tcW w:type="dxa" w:w="2892"/>
          </w:tcPr>
          <w:p>
            <w:pPr>
              <w:pStyle w:val="Compact"/>
              <w:jc w:val="left"/>
            </w:pPr>
            <w:r>
              <w:t xml:space="preserve">TOST</w:t>
            </w:r>
          </w:p>
        </w:tc>
        <w:tc>
          <w:tcPr>
            <w:tcW w:type="dxa" w:w="6177"/>
          </w:tcPr>
          <w:p>
            <w:pPr>
              <w:pStyle w:val="Compact"/>
              <w:jc w:val="left"/>
            </w:pPr>
            <w:r>
              <w:t xml:space="preserve">two one-sided tests of equivalence</w:t>
            </w:r>
          </w:p>
        </w:tc>
      </w:tr>
      <w:tr>
        <w:trPr>
          <w:cantSplit/>
        </w:trPr>
        <w:tc>
          <w:tcPr>
            <w:tcW w:type="dxa" w:w="2892"/>
          </w:tcPr>
          <w:p>
            <w:pPr>
              <w:pStyle w:val="Compact"/>
              <w:jc w:val="left"/>
            </w:pPr>
            <w:r>
              <w:t xml:space="preserve">N7, N8</w:t>
            </w:r>
          </w:p>
        </w:tc>
        <w:tc>
          <w:tcPr>
            <w:tcW w:type="dxa" w:w="6177"/>
          </w:tcPr>
          <w:p>
            <w:pPr>
              <w:pStyle w:val="Compact"/>
              <w:jc w:val="left"/>
            </w:pPr>
            <w:r>
              <w:t xml:space="preserve">deflection gauges at mid main span and at 0.4L of a side span (Cầu Mây)</w:t>
            </w:r>
          </w:p>
        </w:tc>
      </w:tr>
      <w:tr>
        <w:trPr>
          <w:cantSplit/>
        </w:trPr>
        <w:tc>
          <w:tcPr>
            <w:tcW w:type="dxa" w:w="2892"/>
          </w:tcPr>
          <w:p>
            <w:pPr>
              <w:pStyle w:val="Compact"/>
              <w:jc w:val="left"/>
            </w:pPr>
            <w:r>
              <w:t xml:space="preserve">T5, T7, T8</w:t>
            </w:r>
          </w:p>
        </w:tc>
        <w:tc>
          <w:tcPr>
            <w:tcW w:type="dxa" w:w="6177"/>
          </w:tcPr>
          <w:p>
            <w:pPr>
              <w:pStyle w:val="Compact"/>
              <w:jc w:val="left"/>
            </w:pPr>
            <w:r>
              <w:t xml:space="preserve">supports of the Cầu Mây main bridge (Section 5.1)</w:t>
            </w:r>
          </w:p>
        </w:tc>
      </w:tr>
    </w:tbl>
    <w:bookmarkEnd w:id="20"/>
    <w:bookmarkStart w:id="27" w:name="X9fcb1b0ddebf9566f180decb2c6747fdbe7c378"/>
    <w:p>
      <w:pPr>
        <w:pStyle w:val="Heading2"/>
      </w:pPr>
      <w:r>
        <w:t xml:space="preserve">S2. Closed forms for two- and three-span beams</w:t>
      </w:r>
    </w:p>
    <w:p>
      <w:pPr>
        <w:pStyle w:val="FirstParagraph"/>
      </w:pPr>
      <w:r>
        <w:t xml:space="preserve">For unequal spans the uniform-load support moment of a two-span beam is</w:t>
      </w:r>
      <w:r>
        <w:t xml:space="preserve"> </w:t>
      </w:r>
      <m:oMath>
        <m:sSub>
          <m:e>
            <m:r>
              <m:t>M</m:t>
            </m:r>
          </m:e>
          <m:sub>
            <m:r>
              <m:t>B</m:t>
            </m:r>
          </m:sub>
        </m:sSub>
        <m:r>
          <m:rPr>
            <m:sty m:val="p"/>
          </m:rPr>
          <m:t>=</m:t>
        </m:r>
        <m:r>
          <m:rPr>
            <m:sty m:val="p"/>
          </m:rPr>
          <m:t>−</m:t>
        </m:r>
        <m:sSub>
          <m:e>
            <m:r>
              <m:t>q</m:t>
            </m:r>
          </m:e>
          <m:sub>
            <m:r>
              <m:t>0</m:t>
            </m:r>
          </m:sub>
        </m:sSub>
        <m:d>
          <m:dPr>
            <m:begChr m:val="("/>
            <m:endChr m:val=")"/>
            <m:sepChr m:val=""/>
            <m:grow/>
          </m:dPr>
          <m:e>
            <m:sSubSup>
              <m:e>
                <m:r>
                  <m:t>L</m:t>
                </m:r>
              </m:e>
              <m:sub>
                <m:r>
                  <m:t>1</m:t>
                </m:r>
              </m:sub>
              <m:sup>
                <m:r>
                  <m:t>3</m:t>
                </m:r>
              </m:sup>
            </m:sSubSup>
            <m:r>
              <m:rPr>
                <m:sty m:val="p"/>
              </m:rPr>
              <m:t>/</m:t>
            </m:r>
            <m:r>
              <m:t>E</m:t>
            </m:r>
            <m:sSub>
              <m:e>
                <m:r>
                  <m:t>I</m:t>
                </m:r>
              </m:e>
              <m:sub>
                <m:r>
                  <m:t>1</m:t>
                </m:r>
              </m:sub>
            </m:sSub>
            <m:r>
              <m:rPr>
                <m:sty m:val="p"/>
              </m:rPr>
              <m:t>+</m:t>
            </m:r>
            <m:sSubSup>
              <m:e>
                <m:r>
                  <m:t>L</m:t>
                </m:r>
              </m:e>
              <m:sub>
                <m:r>
                  <m:t>2</m:t>
                </m:r>
              </m:sub>
              <m:sup>
                <m:r>
                  <m:t>3</m:t>
                </m:r>
              </m:sup>
            </m:sSubSup>
            <m:r>
              <m:rPr>
                <m:sty m:val="p"/>
              </m:rPr>
              <m:t>/</m:t>
            </m:r>
            <m:r>
              <m:t>E</m:t>
            </m:r>
            <m:sSub>
              <m:e>
                <m:r>
                  <m:t>I</m:t>
                </m:r>
              </m:e>
              <m:sub>
                <m:r>
                  <m:t>2</m:t>
                </m:r>
              </m:sub>
            </m:sSub>
          </m:e>
        </m:d>
        <m:r>
          <m:rPr>
            <m:sty m:val="p"/>
          </m:rPr>
          <m:t>/</m:t>
        </m:r>
        <m:d>
          <m:dPr>
            <m:begChr m:val="["/>
            <m:endChr m:val="]"/>
            <m:sepChr m:val=""/>
            <m:grow/>
          </m:dPr>
          <m:e>
            <m:r>
              <m:t>8</m:t>
            </m:r>
            <m:d>
              <m:dPr>
                <m:begChr m:val="("/>
                <m:endChr m:val=")"/>
                <m:sepChr m:val=""/>
                <m:grow/>
              </m:dPr>
              <m:e>
                <m:sSub>
                  <m:e>
                    <m:r>
                      <m:t>L</m:t>
                    </m:r>
                  </m:e>
                  <m:sub>
                    <m:r>
                      <m:t>1</m:t>
                    </m:r>
                  </m:sub>
                </m:sSub>
                <m:r>
                  <m:rPr>
                    <m:sty m:val="p"/>
                  </m:rPr>
                  <m:t>/</m:t>
                </m:r>
                <m:r>
                  <m:t>E</m:t>
                </m:r>
                <m:sSub>
                  <m:e>
                    <m:r>
                      <m:t>I</m:t>
                    </m:r>
                  </m:e>
                  <m:sub>
                    <m:r>
                      <m:t>1</m:t>
                    </m:r>
                  </m:sub>
                </m:sSub>
                <m:r>
                  <m:rPr>
                    <m:sty m:val="p"/>
                  </m:rPr>
                  <m:t>+</m:t>
                </m:r>
                <m:sSub>
                  <m:e>
                    <m:r>
                      <m:t>L</m:t>
                    </m:r>
                  </m:e>
                  <m:sub>
                    <m:r>
                      <m:t>2</m:t>
                    </m:r>
                  </m:sub>
                </m:sSub>
                <m:r>
                  <m:rPr>
                    <m:sty m:val="p"/>
                  </m:rPr>
                  <m:t>/</m:t>
                </m:r>
                <m:r>
                  <m:t>E</m:t>
                </m:r>
                <m:sSub>
                  <m:e>
                    <m:r>
                      <m:t>I</m:t>
                    </m:r>
                  </m:e>
                  <m:sub>
                    <m:r>
                      <m:t>2</m:t>
                    </m:r>
                  </m:sub>
                </m:sSub>
              </m:e>
            </m:d>
          </m:e>
        </m:d>
      </m:oMath>
      <w:r>
        <w:t xml:space="preserve">. Superposing the simply supported uniform-load deflection of span 1 and the deflection due to</w:t>
      </w:r>
      <w:r>
        <w:t xml:space="preserve"> </w:t>
      </w:r>
      <m:oMath>
        <m:sSub>
          <m:e>
            <m:r>
              <m:t>M</m:t>
            </m:r>
          </m:e>
          <m:sub>
            <m:r>
              <m:t>B</m:t>
            </m:r>
          </m:sub>
        </m:sSub>
      </m:oMath>
      <w:r>
        <w:t xml:space="preserve">, evaluating at</w:t>
      </w:r>
      <w:r>
        <w:t xml:space="preserve"> </w:t>
      </w:r>
      <m:oMath>
        <m:sSub>
          <m:e>
            <m:r>
              <m:t>x</m:t>
            </m:r>
          </m:e>
          <m:sub>
            <m:r>
              <m:t>m</m:t>
            </m:r>
          </m:sub>
        </m:sSub>
      </m:oMath>
      <w:r>
        <w:t xml:space="preserve"> </w:t>
      </w:r>
      <w:r>
        <w:t xml:space="preserve">and dividing by</w:t>
      </w:r>
      <w:r>
        <w:t xml:space="preserve"> </w:t>
      </w:r>
      <m:oMath>
        <m:sSub>
          <m:e>
            <m:r>
              <m:t>q</m:t>
            </m:r>
          </m:e>
          <m:sub>
            <m:r>
              <m:t>0</m:t>
            </m:r>
          </m:sub>
        </m:sSub>
      </m:oMath>
      <w:r>
        <w:t xml:space="preserve"> </w:t>
      </w:r>
      <w:r>
        <w:t xml:space="preserve">gives Eq. (5) with</w:t>
      </w:r>
      <w:r>
        <w:t xml:space="preserve"> </w:t>
      </w:r>
      <m:oMath>
        <m:r>
          <m:t>μ</m:t>
        </m:r>
        <m:r>
          <m:rPr>
            <m:sty m:val="p"/>
          </m:rPr>
          <m:t>=</m:t>
        </m:r>
        <m:r>
          <m:rPr>
            <m:sty m:val="p"/>
          </m:rPr>
          <m:t>−</m:t>
        </m:r>
        <m:r>
          <m:t>8</m:t>
        </m:r>
        <m:sSub>
          <m:e>
            <m:r>
              <m:t>M</m:t>
            </m:r>
          </m:e>
          <m:sub>
            <m:r>
              <m:t>B</m:t>
            </m:r>
          </m:sub>
        </m:sSub>
        <m:r>
          <m:rPr>
            <m:sty m:val="p"/>
          </m:rPr>
          <m:t>/</m:t>
        </m:r>
        <m:d>
          <m:dPr>
            <m:begChr m:val="("/>
            <m:endChr m:val=")"/>
            <m:sepChr m:val=""/>
            <m:grow/>
          </m:dPr>
          <m:e>
            <m:sSub>
              <m:e>
                <m:r>
                  <m:t>q</m:t>
                </m:r>
              </m:e>
              <m:sub>
                <m:r>
                  <m:t>0</m:t>
                </m:r>
              </m:sub>
            </m:sSub>
            <m:sSubSup>
              <m:e>
                <m:r>
                  <m:t>L</m:t>
                </m:r>
              </m:e>
              <m:sub>
                <m:r>
                  <m:t>1</m:t>
                </m:r>
              </m:sub>
              <m:sup>
                <m:r>
                  <m:t>2</m:t>
                </m:r>
              </m:sup>
            </m:sSubSup>
          </m:e>
        </m:d>
      </m:oMath>
      <w:r>
        <w:t xml:space="preserve">, which is</w:t>
      </w:r>
      <w:r>
        <w:t xml:space="preserve"> </w:t>
      </w:r>
      <m:oMath>
        <m:sSub>
          <m:e>
            <m:r>
              <m:t>μ</m:t>
            </m:r>
          </m:e>
          <m:sub>
            <m:r>
              <m:rPr>
                <m:sty m:val="p"/>
              </m:rPr>
              <m:t>2</m:t>
            </m:r>
            <m:r>
              <m:rPr>
                <m:sty m:val="p"/>
              </m:rPr>
              <m:t>span</m:t>
            </m:r>
          </m:sub>
        </m:sSub>
      </m:oMath>
      <w:r>
        <w:t xml:space="preserve"> </w:t>
      </w:r>
      <w:r>
        <w:t xml:space="preserve">of Eq. (4). Because</w:t>
      </w:r>
      <w:r>
        <w:t xml:space="preserve"> </w:t>
      </w:r>
      <m:oMath>
        <m:r>
          <m:t>1</m:t>
        </m:r>
        <m:r>
          <m:rPr>
            <m:sty m:val="p"/>
          </m:rPr>
          <m:t>−</m:t>
        </m:r>
        <m:r>
          <m:t>2</m:t>
        </m:r>
        <m:sSup>
          <m:e>
            <m:r>
              <m:t>ξ</m:t>
            </m:r>
          </m:e>
          <m:sup>
            <m:r>
              <m:t>2</m:t>
            </m:r>
          </m:sup>
        </m:sSup>
        <m:r>
          <m:rPr>
            <m:sty m:val="p"/>
          </m:rPr>
          <m:t>+</m:t>
        </m:r>
        <m:sSup>
          <m:e>
            <m:r>
              <m:t>ξ</m:t>
            </m:r>
          </m:e>
          <m:sup>
            <m:r>
              <m:t>3</m:t>
            </m:r>
          </m:sup>
        </m:sSup>
        <m:r>
          <m:rPr>
            <m:sty m:val="p"/>
          </m:rPr>
          <m:t>=</m:t>
        </m:r>
        <m:d>
          <m:dPr>
            <m:begChr m:val="("/>
            <m:endChr m:val=")"/>
            <m:sepChr m:val=""/>
            <m:grow/>
          </m:dPr>
          <m:e>
            <m:r>
              <m:t>1</m:t>
            </m:r>
            <m:r>
              <m:rPr>
                <m:sty m:val="p"/>
              </m:rPr>
              <m:t>−</m:t>
            </m:r>
            <m:r>
              <m:t>ξ</m:t>
            </m:r>
          </m:e>
        </m:d>
        <m:d>
          <m:dPr>
            <m:begChr m:val="("/>
            <m:endChr m:val=")"/>
            <m:sepChr m:val=""/>
            <m:grow/>
          </m:dPr>
          <m:e>
            <m:r>
              <m:t>1</m:t>
            </m:r>
            <m:r>
              <m:rPr>
                <m:sty m:val="p"/>
              </m:rPr>
              <m:t>+</m:t>
            </m:r>
            <m:r>
              <m:t>ξ</m:t>
            </m:r>
            <m:r>
              <m:rPr>
                <m:sty m:val="p"/>
              </m:rPr>
              <m:t>−</m:t>
            </m:r>
            <m:sSup>
              <m:e>
                <m:r>
                  <m:t>ξ</m:t>
                </m:r>
              </m:e>
              <m:sup>
                <m:r>
                  <m:t>2</m:t>
                </m:r>
              </m:sup>
            </m:sSup>
          </m:e>
        </m:d>
      </m:oMath>
      <w:r>
        <w:t xml:space="preserve">, setting</w:t>
      </w:r>
      <w:r>
        <w:t xml:space="preserve"> </w:t>
      </w:r>
      <m:oMath>
        <m:r>
          <m:t>F</m:t>
        </m:r>
        <m:r>
          <m:rPr>
            <m:sty m:val="p"/>
          </m:rPr>
          <m:t>=</m:t>
        </m:r>
        <m:r>
          <m:t>0</m:t>
        </m:r>
      </m:oMath>
      <w:r>
        <w:t xml:space="preserve"> </w:t>
      </w:r>
      <w:r>
        <w:t xml:space="preserve">gives Eq. (6). With uniform rigidity, the blind condition for a mid-span sensor is</w:t>
      </w:r>
      <w:r>
        <w:t xml:space="preserve"> </w:t>
      </w:r>
      <m:oMath>
        <m:r>
          <m:t>3</m:t>
        </m:r>
        <m:sSup>
          <m:e>
            <m:r>
              <m:t>λ</m:t>
            </m:r>
          </m:e>
          <m:sup>
            <m:r>
              <m:t>2</m:t>
            </m:r>
          </m:sup>
        </m:sSup>
        <m:r>
          <m:rPr>
            <m:sty m:val="p"/>
          </m:rPr>
          <m:t>−</m:t>
        </m:r>
        <m:r>
          <m:t>3</m:t>
        </m:r>
        <m:r>
          <m:t>λ</m:t>
        </m:r>
        <m:r>
          <m:rPr>
            <m:sty m:val="p"/>
          </m:rPr>
          <m:t>−</m:t>
        </m:r>
        <m:r>
          <m:t>2</m:t>
        </m:r>
        <m:r>
          <m:rPr>
            <m:sty m:val="p"/>
          </m:rPr>
          <m:t>=</m:t>
        </m:r>
        <m:r>
          <m:t>0</m:t>
        </m:r>
      </m:oMath>
      <w:r>
        <w:t xml:space="preserve">, and maximizing</w:t>
      </w:r>
      <w:r>
        <w:t xml:space="preserve"> </w:t>
      </w:r>
      <m:oMath>
        <m:r>
          <m:t>F</m:t>
        </m:r>
      </m:oMath>
      <w:r>
        <w:t xml:space="preserve"> </w:t>
      </w:r>
      <w:r>
        <w:t xml:space="preserve">over</w:t>
      </w:r>
      <w:r>
        <w:t xml:space="preserve"> </w:t>
      </w:r>
      <m:oMath>
        <m:r>
          <m:t>ξ</m:t>
        </m:r>
      </m:oMath>
      <w:r>
        <w:t xml:space="preserve"> </w:t>
      </w:r>
      <w:r>
        <w:t xml:space="preserve">at</w:t>
      </w:r>
      <w:r>
        <w:t xml:space="preserve"> </w:t>
      </w:r>
      <m:oMath>
        <m:r>
          <m:t>μ</m:t>
        </m:r>
        <m:r>
          <m:rPr>
            <m:sty m:val="p"/>
          </m:rPr>
          <m:t>=</m:t>
        </m:r>
        <m:r>
          <m:t>1</m:t>
        </m:r>
      </m:oMath>
      <w:r>
        <w:t xml:space="preserve"> </w:t>
      </w:r>
      <w:r>
        <w:t xml:space="preserve">gives</w:t>
      </w:r>
      <w:r>
        <w:t xml:space="preserve"> </w:t>
      </w:r>
      <m:oMath>
        <m:r>
          <m:t>8</m:t>
        </m:r>
        <m:sSup>
          <m:e>
            <m:r>
              <m:t>ξ</m:t>
            </m:r>
          </m:e>
          <m:sup>
            <m:r>
              <m:t>2</m:t>
            </m:r>
          </m:sup>
        </m:sSup>
        <m:r>
          <m:rPr>
            <m:sty m:val="p"/>
          </m:rPr>
          <m:t>−</m:t>
        </m:r>
        <m:r>
          <m:t>ξ</m:t>
        </m:r>
        <m:r>
          <m:rPr>
            <m:sty m:val="p"/>
          </m:rPr>
          <m:t>−</m:t>
        </m:r>
        <m:r>
          <m:t>1</m:t>
        </m:r>
        <m:r>
          <m:rPr>
            <m:sty m:val="p"/>
          </m:rPr>
          <m:t>=</m:t>
        </m:r>
        <m:r>
          <m:t>0</m:t>
        </m:r>
      </m:oMath>
      <w:r>
        <w:t xml:space="preserve">, hence Eq. (7). In units of</w:t>
      </w:r>
      <w:r>
        <w:t xml:space="preserve"> </w:t>
      </w:r>
      <m:oMath>
        <m:sSubSup>
          <m:e>
            <m:r>
              <m:t>L</m:t>
            </m:r>
          </m:e>
          <m:sub>
            <m:r>
              <m:t>1</m:t>
            </m:r>
          </m:sub>
          <m:sup>
            <m:r>
              <m:t>4</m:t>
            </m:r>
          </m:sup>
        </m:sSubSup>
        <m:r>
          <m:rPr>
            <m:sty m:val="p"/>
          </m:rPr>
          <m:t>/</m:t>
        </m:r>
        <m:d>
          <m:dPr>
            <m:begChr m:val="("/>
            <m:endChr m:val=")"/>
            <m:sepChr m:val=""/>
            <m:grow/>
          </m:dPr>
          <m:e>
            <m:r>
              <m:t>192</m:t>
            </m:r>
            <m:r>
              <m:t>E</m:t>
            </m:r>
            <m:sSub>
              <m:e>
                <m:r>
                  <m:t>I</m:t>
                </m:r>
              </m:e>
              <m:sub>
                <m:r>
                  <m:t>1</m:t>
                </m:r>
              </m:sub>
            </m:sSub>
          </m:e>
        </m:d>
      </m:oMath>
      <w:r>
        <w:t xml:space="preserve">, the positive contribution of the instrumented span varies only between 1.50 and 2.00 for</w:t>
      </w:r>
      <w:r>
        <w:t xml:space="preserve"> </w:t>
      </w:r>
      <m:oMath>
        <m:r>
          <m:t>λ</m:t>
        </m:r>
      </m:oMath>
      <w:r>
        <w:t xml:space="preserve"> </w:t>
      </w:r>
      <w:r>
        <w:t xml:space="preserve">from 0.5 to 2.0, whereas the negative contribution of the adjacent span sweeps from −0.125 to −4.00; the cancellation is driven almost entirely by the adjacent span.</w:t>
      </w:r>
    </w:p>
    <w:p>
      <w:pPr>
        <w:pStyle w:val="BodyText"/>
      </w:pPr>
      <w:r>
        <w:t xml:space="preserve">For the symmetric three-span beam the three-moment equation gives</w:t>
      </w:r>
      <w:r>
        <w:t xml:space="preserve"> </w:t>
      </w:r>
      <m:oMath>
        <m:sSub>
          <m:e>
            <m:r>
              <m:t>M</m:t>
            </m:r>
          </m:e>
          <m:sub>
            <m:r>
              <m:t>B</m:t>
            </m:r>
          </m:sub>
        </m:sSub>
        <m:r>
          <m:rPr>
            <m:sty m:val="p"/>
          </m:rPr>
          <m:t>=</m:t>
        </m:r>
        <m:sSub>
          <m:e>
            <m:r>
              <m:t>M</m:t>
            </m:r>
          </m:e>
          <m:sub>
            <m:r>
              <m:t>C</m:t>
            </m:r>
          </m:sub>
        </m:sSub>
        <m:r>
          <m:rPr>
            <m:sty m:val="p"/>
          </m:rPr>
          <m:t>=</m:t>
        </m:r>
        <m:r>
          <m:rPr>
            <m:sty m:val="p"/>
          </m:rPr>
          <m:t>−</m:t>
        </m:r>
        <m:sSub>
          <m:e>
            <m:r>
              <m:t>q</m:t>
            </m:r>
          </m:e>
          <m:sub>
            <m:r>
              <m:t>0</m:t>
            </m:r>
          </m:sub>
        </m:sSub>
        <m:sSubSup>
          <m:e>
            <m:r>
              <m:t>L</m:t>
            </m:r>
          </m:e>
          <m:sub>
            <m:r>
              <m:rPr>
                <m:sty m:val="p"/>
              </m:rPr>
              <m:t>side</m:t>
            </m:r>
          </m:sub>
          <m:sup>
            <m:r>
              <m:t>2</m:t>
            </m:r>
          </m:sup>
        </m:sSubSup>
        <m:r>
          <m:t>μ</m:t>
        </m:r>
        <m:r>
          <m:rPr>
            <m:sty m:val="p"/>
          </m:rPr>
          <m:t>/</m:t>
        </m:r>
        <m:r>
          <m:t>8</m:t>
        </m:r>
      </m:oMath>
      <w:r>
        <w:t xml:space="preserve"> </w:t>
      </w:r>
      <w:r>
        <w:t xml:space="preserve">with</w:t>
      </w:r>
      <w:r>
        <w:t xml:space="preserve"> </w:t>
      </w:r>
      <m:oMath>
        <m:sSub>
          <m:e>
            <m:r>
              <m:t>μ</m:t>
            </m:r>
          </m:e>
          <m:sub>
            <m:r>
              <m:rPr>
                <m:sty m:val="p"/>
              </m:rPr>
              <m:t>3</m:t>
            </m:r>
            <m:r>
              <m:rPr>
                <m:sty m:val="p"/>
              </m:rPr>
              <m:t>span</m:t>
            </m:r>
          </m:sub>
        </m:sSub>
      </m:oMath>
      <w:r>
        <w:t xml:space="preserve"> </w:t>
      </w:r>
      <w:r>
        <w:t xml:space="preserve">of Eq. (4). Three equal spans give</w:t>
      </w:r>
      <w:r>
        <w:t xml:space="preserve"> </w:t>
      </w:r>
      <m:oMath>
        <m:r>
          <m:t>μ</m:t>
        </m:r>
        <m:r>
          <m:rPr>
            <m:sty m:val="p"/>
          </m:rPr>
          <m:t>=</m:t>
        </m:r>
        <m:r>
          <m:t>4</m:t>
        </m:r>
        <m:r>
          <m:rPr>
            <m:sty m:val="p"/>
          </m:rPr>
          <m:t>/</m:t>
        </m:r>
        <m:r>
          <m:t>5</m:t>
        </m:r>
      </m:oMath>
      <w:r>
        <w:t xml:space="preserve">. The optimal side-span position solves</w:t>
      </w:r>
      <w:r>
        <w:t xml:space="preserve"> </w:t>
      </w:r>
      <m:oMath>
        <m:r>
          <m:t>8</m:t>
        </m:r>
        <m:sSup>
          <m:e>
            <m:r>
              <m:t>ξ</m:t>
            </m:r>
          </m:e>
          <m:sup>
            <m:r>
              <m:t>3</m:t>
            </m:r>
          </m:sup>
        </m:sSup>
        <m:r>
          <m:rPr>
            <m:sty m:val="p"/>
          </m:rPr>
          <m:t>−</m:t>
        </m:r>
        <m:d>
          <m:dPr>
            <m:begChr m:val="("/>
            <m:endChr m:val=")"/>
            <m:sepChr m:val=""/>
            <m:grow/>
          </m:dPr>
          <m:e>
            <m:r>
              <m:t>12</m:t>
            </m:r>
            <m:r>
              <m:rPr>
                <m:sty m:val="p"/>
              </m:rPr>
              <m:t>−</m:t>
            </m:r>
            <m:r>
              <m:t>3</m:t>
            </m:r>
            <m:r>
              <m:t>μ</m:t>
            </m:r>
          </m:e>
        </m:d>
        <m:sSup>
          <m:e>
            <m:r>
              <m:t>ξ</m:t>
            </m:r>
          </m:e>
          <m:sup>
            <m:r>
              <m:t>2</m:t>
            </m:r>
          </m:sup>
        </m:sSup>
        <m:r>
          <m:rPr>
            <m:sty m:val="p"/>
          </m:rPr>
          <m:t>+</m:t>
        </m:r>
        <m:d>
          <m:dPr>
            <m:begChr m:val="("/>
            <m:endChr m:val=")"/>
            <m:sepChr m:val=""/>
            <m:grow/>
          </m:dPr>
          <m:e>
            <m:r>
              <m:t>2</m:t>
            </m:r>
            <m:r>
              <m:rPr>
                <m:sty m:val="p"/>
              </m:rPr>
              <m:t>−</m:t>
            </m:r>
            <m:r>
              <m:t>μ</m:t>
            </m:r>
          </m:e>
        </m:d>
        <m:r>
          <m:rPr>
            <m:sty m:val="p"/>
          </m:rPr>
          <m:t>=</m:t>
        </m:r>
        <m:r>
          <m:t>0</m:t>
        </m:r>
      </m:oMath>
      <w:r>
        <w:t xml:space="preserve"> </w:t>
      </w:r>
      <w:r>
        <w:t xml:space="preserve">(Table S2). The near-blind band at mid side span runs from the root of</w:t>
      </w:r>
      <w:r>
        <w:t xml:space="preserve"> </w:t>
      </w:r>
      <m:oMath>
        <m:r>
          <m:t>30</m:t>
        </m:r>
        <m:sSup>
          <m:e>
            <m:r>
              <m:t>β</m:t>
            </m:r>
          </m:e>
          <m:sup>
            <m:r>
              <m:t>3</m:t>
            </m:r>
          </m:sup>
        </m:sSup>
        <m:r>
          <m:rPr>
            <m:sty m:val="p"/>
          </m:rPr>
          <m:t>−</m:t>
        </m:r>
        <m:r>
          <m:t>69</m:t>
        </m:r>
        <m:r>
          <m:t>β</m:t>
        </m:r>
        <m:r>
          <m:rPr>
            <m:sty m:val="p"/>
          </m:rPr>
          <m:t>−</m:t>
        </m:r>
        <m:r>
          <m:t>16</m:t>
        </m:r>
        <m:r>
          <m:rPr>
            <m:sty m:val="p"/>
          </m:rPr>
          <m:t>=</m:t>
        </m:r>
        <m:r>
          <m:t>0</m:t>
        </m:r>
      </m:oMath>
      <w:r>
        <w:t xml:space="preserve"> </w:t>
      </w:r>
      <w:r>
        <w:t xml:space="preserve">(1.621) to that of</w:t>
      </w:r>
      <w:r>
        <w:t xml:space="preserve"> </w:t>
      </w:r>
      <m:oMath>
        <m:r>
          <m:t>10</m:t>
        </m:r>
        <m:sSup>
          <m:e>
            <m:r>
              <m:t>β</m:t>
            </m:r>
          </m:e>
          <m:sup>
            <m:r>
              <m:t>3</m:t>
            </m:r>
          </m:sup>
        </m:sSup>
        <m:r>
          <m:rPr>
            <m:sty m:val="p"/>
          </m:rPr>
          <m:t>−</m:t>
        </m:r>
        <m:r>
          <m:t>27</m:t>
        </m:r>
        <m:r>
          <m:t>β</m:t>
        </m:r>
        <m:r>
          <m:rPr>
            <m:sty m:val="p"/>
          </m:rPr>
          <m:t>−</m:t>
        </m:r>
        <m:r>
          <m:t>8</m:t>
        </m:r>
        <m:r>
          <m:rPr>
            <m:sty m:val="p"/>
          </m:rPr>
          <m:t>=</m:t>
        </m:r>
        <m:r>
          <m:t>0</m:t>
        </m:r>
      </m:oMath>
      <w:r>
        <w:t xml:space="preserve"> </w:t>
      </w:r>
      <w:r>
        <w:t xml:space="preserve">(1.775). A mid main-span deflection sensor is blind at</w:t>
      </w:r>
      <w:r>
        <w:t xml:space="preserve"> </w:t>
      </w:r>
      <m:oMath>
        <m:r>
          <m:t>β</m:t>
        </m:r>
        <m:r>
          <m:rPr>
            <m:sty m:val="p"/>
          </m:rPr>
          <m:t>=</m:t>
        </m:r>
        <m:r>
          <m:t>0.9647</m:t>
        </m:r>
      </m:oMath>
      <w:r>
        <w:t xml:space="preserve">. For a sensor at</w:t>
      </w:r>
      <w:r>
        <w:t xml:space="preserve"> </w:t>
      </w:r>
      <m:oMath>
        <m:r>
          <m:t>ζ</m:t>
        </m:r>
        <m:r>
          <m:rPr>
            <m:sty m:val="p"/>
          </m:rPr>
          <m:t>=</m:t>
        </m:r>
        <m:r>
          <m:t>x</m:t>
        </m:r>
        <m:r>
          <m:rPr>
            <m:sty m:val="p"/>
          </m:rPr>
          <m:t>/</m:t>
        </m:r>
        <m:sSub>
          <m:e>
            <m:r>
              <m:t>L</m:t>
            </m:r>
          </m:e>
          <m:sub>
            <m:r>
              <m:rPr>
                <m:sty m:val="p"/>
              </m:rPr>
              <m:t>main</m:t>
            </m:r>
          </m:sub>
        </m:sSub>
      </m:oMath>
      <w:r>
        <w:t xml:space="preserve"> </w:t>
      </w:r>
      <w:r>
        <w:t xml:space="preserve">in the main span,</w:t>
      </w:r>
      <w:r>
        <w:t xml:space="preserve"> </w:t>
      </w:r>
      <m:oMath>
        <m:r>
          <m:t>192</m:t>
        </m:r>
        <m:r>
          <m:t>E</m:t>
        </m:r>
        <m:sSub>
          <m:e>
            <m:r>
              <m:t>I</m:t>
            </m:r>
          </m:e>
          <m:sub>
            <m:r>
              <m:rPr>
                <m:sty m:val="p"/>
              </m:rPr>
              <m:t>main</m:t>
            </m:r>
          </m:sub>
        </m:sSub>
        <m:sSub>
          <m:e>
            <m:r>
              <m:t>C</m:t>
            </m:r>
          </m:e>
          <m:sub>
            <m:r>
              <m:t>m</m:t>
            </m:r>
          </m:sub>
        </m:sSub>
        <m:r>
          <m:rPr>
            <m:sty m:val="p"/>
          </m:rPr>
          <m:t>/</m:t>
        </m:r>
        <m:sSubSup>
          <m:e>
            <m:r>
              <m:t>L</m:t>
            </m:r>
          </m:e>
          <m:sub>
            <m:r>
              <m:rPr>
                <m:sty m:val="p"/>
              </m:rPr>
              <m:t>main</m:t>
            </m:r>
          </m:sub>
          <m:sup>
            <m:r>
              <m:t>4</m:t>
            </m:r>
          </m:sup>
        </m:sSubSup>
        <m:r>
          <m:rPr>
            <m:sty m:val="p"/>
          </m:rPr>
          <m:t>=</m:t>
        </m:r>
        <m:r>
          <m:t>8</m:t>
        </m:r>
        <m:d>
          <m:dPr>
            <m:begChr m:val="["/>
            <m:endChr m:val="]"/>
            <m:sepChr m:val=""/>
            <m:grow/>
          </m:dPr>
          <m:e>
            <m:r>
              <m:t>ζ</m:t>
            </m:r>
            <m:d>
              <m:dPr>
                <m:begChr m:val="("/>
                <m:endChr m:val=")"/>
                <m:sepChr m:val=""/>
                <m:grow/>
              </m:dPr>
              <m:e>
                <m:r>
                  <m:t>1</m:t>
                </m:r>
                <m:r>
                  <m:rPr>
                    <m:sty m:val="p"/>
                  </m:rPr>
                  <m:t>−</m:t>
                </m:r>
                <m:r>
                  <m:t>2</m:t>
                </m:r>
                <m:sSup>
                  <m:e>
                    <m:r>
                      <m:t>ζ</m:t>
                    </m:r>
                  </m:e>
                  <m:sup>
                    <m:r>
                      <m:t>2</m:t>
                    </m:r>
                  </m:sup>
                </m:sSup>
                <m:r>
                  <m:rPr>
                    <m:sty m:val="p"/>
                  </m:rPr>
                  <m:t>+</m:t>
                </m:r>
                <m:sSup>
                  <m:e>
                    <m:r>
                      <m:t>ζ</m:t>
                    </m:r>
                  </m:e>
                  <m:sup>
                    <m:r>
                      <m:t>3</m:t>
                    </m:r>
                  </m:sup>
                </m:sSup>
              </m:e>
            </m:d>
            <m:r>
              <m:rPr>
                <m:sty m:val="p"/>
              </m:rPr>
              <m:t>−</m:t>
            </m:r>
            <m:r>
              <m:t>ν</m:t>
            </m:r>
            <m:r>
              <m:t>ζ</m:t>
            </m:r>
            <m:d>
              <m:dPr>
                <m:begChr m:val="("/>
                <m:endChr m:val=")"/>
                <m:sepChr m:val=""/>
                <m:grow/>
              </m:dPr>
              <m:e>
                <m:r>
                  <m:t>1</m:t>
                </m:r>
                <m:r>
                  <m:rPr>
                    <m:sty m:val="p"/>
                  </m:rPr>
                  <m:t>−</m:t>
                </m:r>
                <m:r>
                  <m:t>ζ</m:t>
                </m:r>
              </m:e>
            </m:d>
          </m:e>
        </m:d>
      </m:oMath>
      <w:r>
        <w:t xml:space="preserve"> </w:t>
      </w:r>
      <w:r>
        <w:t xml:space="preserve">with</w:t>
      </w:r>
      <w:r>
        <w:t xml:space="preserve"> </w:t>
      </w:r>
      <m:oMath>
        <m:r>
          <m:t>ν</m:t>
        </m:r>
        <m:r>
          <m:rPr>
            <m:sty m:val="p"/>
          </m:rPr>
          <m:t>=</m:t>
        </m:r>
        <m:r>
          <m:t>3</m:t>
        </m:r>
        <m:d>
          <m:dPr>
            <m:begChr m:val="("/>
            <m:endChr m:val=")"/>
            <m:sepChr m:val=""/>
            <m:grow/>
          </m:dPr>
          <m:e>
            <m:r>
              <m:t>γ</m:t>
            </m:r>
            <m:r>
              <m:rPr>
                <m:sty m:val="p"/>
              </m:rPr>
              <m:t>+</m:t>
            </m:r>
            <m:sSup>
              <m:e>
                <m:r>
                  <m:t>β</m:t>
                </m:r>
              </m:e>
              <m:sup>
                <m:r>
                  <m:t>3</m:t>
                </m:r>
              </m:sup>
            </m:sSup>
          </m:e>
        </m:d>
        <m:r>
          <m:rPr>
            <m:sty m:val="p"/>
          </m:rPr>
          <m:t>/</m:t>
        </m:r>
        <m:d>
          <m:dPr>
            <m:begChr m:val="["/>
            <m:endChr m:val="]"/>
            <m:sepChr m:val=""/>
            <m:grow/>
          </m:dPr>
          <m:e>
            <m:sSup>
              <m:e>
                <m:r>
                  <m:t>β</m:t>
                </m:r>
              </m:e>
              <m:sup>
                <m:r>
                  <m:t>2</m:t>
                </m:r>
              </m:sup>
            </m:sSup>
            <m:d>
              <m:dPr>
                <m:begChr m:val="("/>
                <m:endChr m:val=")"/>
                <m:sepChr m:val=""/>
                <m:grow/>
              </m:dPr>
              <m:e>
                <m:r>
                  <m:t>2</m:t>
                </m:r>
                <m:r>
                  <m:t>γ</m:t>
                </m:r>
                <m:r>
                  <m:rPr>
                    <m:sty m:val="p"/>
                  </m:rPr>
                  <m:t>+</m:t>
                </m:r>
                <m:r>
                  <m:t>3</m:t>
                </m:r>
                <m:r>
                  <m:t>β</m:t>
                </m:r>
              </m:e>
            </m:d>
          </m:e>
        </m:d>
      </m:oMath>
      <w:r>
        <w:t xml:space="preserve">. For</w:t>
      </w:r>
      <w:r>
        <w:t xml:space="preserve"> </w:t>
      </w:r>
      <m:oMath>
        <m:r>
          <m:t>β</m:t>
        </m:r>
        <m:r>
          <m:rPr>
            <m:sty m:val="p"/>
          </m:rPr>
          <m:t>=</m:t>
        </m:r>
        <m:r>
          <m:t>1.636</m:t>
        </m:r>
      </m:oMath>
      <w:r>
        <w:t xml:space="preserve"> </w:t>
      </w:r>
      <w:r>
        <w:t xml:space="preserve">the strain blind point in the main span lies at</w:t>
      </w:r>
      <w:r>
        <w:t xml:space="preserve"> </w:t>
      </w:r>
      <m:oMath>
        <m:sSub>
          <m:e>
            <m:r>
              <m:t>ζ</m:t>
            </m:r>
          </m:e>
          <m:sub>
            <m:r>
              <m:t>0</m:t>
            </m:r>
          </m:sub>
        </m:sSub>
        <m:r>
          <m:rPr>
            <m:sty m:val="p"/>
          </m:rPr>
          <m:t>=</m:t>
        </m:r>
        <m:r>
          <m:t>0.177</m:t>
        </m:r>
      </m:oMath>
      <w:r>
        <w:t xml:space="preserve"> </w:t>
      </w:r>
      <w:r>
        <w:t xml:space="preserve">from the pier.</w:t>
      </w:r>
    </w:p>
    <w:p>
      <w:pPr>
        <w:pStyle w:val="BodyText"/>
        <w:keepNext/>
      </w:pPr>
      <w:r>
        <w:rPr>
          <w:bCs/>
          <w:b/>
        </w:rPr>
        <w:t xml:space="preserve">Table S2.</w:t>
      </w:r>
      <w:r>
        <w:t xml:space="preserve"> </w:t>
      </w:r>
      <w:r>
        <w:t xml:space="preserve">Symmetric three-span beam, uniform rigidity: optimal side-span position</w:t>
      </w:r>
      <w:r>
        <w:t xml:space="preserve"> </w:t>
      </w:r>
      <m:oMath>
        <m:sSup>
          <m:e>
            <m:r>
              <m:t>ξ</m:t>
            </m:r>
          </m:e>
          <m:sup>
            <m:r>
              <m:rPr>
                <m:sty m:val="p"/>
              </m:rPr>
              <m:t>*</m:t>
            </m:r>
          </m:sup>
        </m:sSup>
      </m:oMath>
      <w:r>
        <w:t xml:space="preserve"> </w:t>
      </w:r>
      <w:r>
        <w:t xml:space="preserve">and deflection indicator</w:t>
      </w:r>
      <w:r>
        <w:t xml:space="preserve"> </w:t>
      </w:r>
      <m:oMath>
        <m:sSub>
          <m:e>
            <m:r>
              <m:t>N</m:t>
            </m:r>
          </m:e>
          <m:sub>
            <m:r>
              <m:t>w</m:t>
            </m:r>
          </m:sub>
        </m:sSub>
      </m:oMath>
      <w:r>
        <w:t xml:space="preserve"> </w:t>
      </w:r>
      <w:r>
        <w:t xml:space="preserve">(Eq. (10); 2.5 for a simply supported mid-span).</w:t>
      </w:r>
    </w:p>
    <w:tbl>
      <w:tblPr>
        <w:tblStyle w:val="Table"/>
        <w:tblW w:type="auto" w:w="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2093"/>
        <w:gridCol w:w="1744"/>
        <w:gridCol w:w="1744"/>
        <w:gridCol w:w="1744"/>
        <w:gridCol w:w="1744"/>
      </w:tblGrid>
      <w:tr>
        <w:trPr>
          <w:tblHeader w:val="true"/>
          <w:tblHeader w:val="true"/>
          <w:cantSplit/>
        </w:trPr>
        <w:tc>
          <w:tcPr>
            <w:tcW w:type="dxa" w:w="2093"/>
            <w:tcBorders>
              <w:top w:val="nil"/>
              <w:left w:val="nil"/>
              <w:bottom w:val="single" w:sz="6" w:space="0" w:color="000000"/>
              <w:right w:val="nil"/>
            </w:tcBorders>
          </w:tcPr>
          <w:p>
            <w:pPr>
              <w:pStyle w:val="Compact"/>
              <w:jc w:val="right"/>
            </w:pPr>
            <m:oMath>
              <m:r>
                <m:t>β</m:t>
              </m:r>
            </m:oMath>
          </w:p>
        </w:tc>
        <w:tc>
          <w:tcPr>
            <w:tcW w:type="dxa" w:w="1744"/>
            <w:tcBorders>
              <w:top w:val="nil"/>
              <w:left w:val="nil"/>
              <w:bottom w:val="single" w:sz="6" w:space="0" w:color="000000"/>
              <w:right w:val="nil"/>
            </w:tcBorders>
          </w:tcPr>
          <w:p>
            <w:pPr>
              <w:pStyle w:val="Compact"/>
              <w:jc w:val="right"/>
            </w:pPr>
            <m:oMath>
              <m:r>
                <m:t>μ</m:t>
              </m:r>
            </m:oMath>
          </w:p>
        </w:tc>
        <w:tc>
          <w:tcPr>
            <w:tcW w:type="dxa" w:w="1744"/>
            <w:tcBorders>
              <w:top w:val="nil"/>
              <w:left w:val="nil"/>
              <w:bottom w:val="single" w:sz="6" w:space="0" w:color="000000"/>
              <w:right w:val="nil"/>
            </w:tcBorders>
          </w:tcPr>
          <w:p>
            <w:pPr>
              <w:pStyle w:val="Compact"/>
              <w:jc w:val="right"/>
            </w:pPr>
            <m:oMath>
              <m:sSup>
                <m:e>
                  <m:r>
                    <m:t>ξ</m:t>
                  </m:r>
                </m:e>
                <m:sup>
                  <m:r>
                    <m:rPr>
                      <m:sty m:val="p"/>
                    </m:rPr>
                    <m:t>*</m:t>
                  </m:r>
                </m:sup>
              </m:sSup>
            </m:oMath>
          </w:p>
        </w:tc>
        <w:tc>
          <w:tcPr>
            <w:tcW w:type="dxa" w:w="1744"/>
            <w:tcBorders>
              <w:top w:val="nil"/>
              <w:left w:val="nil"/>
              <w:bottom w:val="single" w:sz="6" w:space="0" w:color="000000"/>
              <w:right w:val="nil"/>
            </w:tcBorders>
          </w:tcPr>
          <w:p>
            <w:pPr>
              <w:pStyle w:val="Compact"/>
              <w:jc w:val="right"/>
            </w:pPr>
            <m:oMath>
              <m:sSub>
                <m:e>
                  <m:r>
                    <m:t>N</m:t>
                  </m:r>
                </m:e>
                <m:sub>
                  <m:r>
                    <m:t>w</m:t>
                  </m:r>
                </m:sub>
              </m:sSub>
            </m:oMath>
            <w:r>
              <w:t xml:space="preserve"> </w:t>
            </w:r>
            <w:r>
              <w:t xml:space="preserve">at</w:t>
            </w:r>
            <w:r>
              <w:t xml:space="preserve"> </w:t>
            </w:r>
            <m:oMath>
              <m:sSup>
                <m:e>
                  <m:r>
                    <m:t>ξ</m:t>
                  </m:r>
                </m:e>
                <m:sup>
                  <m:r>
                    <m:rPr>
                      <m:sty m:val="p"/>
                    </m:rPr>
                    <m:t>*</m:t>
                  </m:r>
                </m:sup>
              </m:sSup>
            </m:oMath>
          </w:p>
        </w:tc>
        <w:tc>
          <w:tcPr>
            <w:tcW w:type="dxa" w:w="1744"/>
            <w:tcBorders>
              <w:top w:val="nil"/>
              <w:left w:val="nil"/>
              <w:bottom w:val="single" w:sz="6" w:space="0" w:color="000000"/>
              <w:right w:val="nil"/>
            </w:tcBorders>
          </w:tcPr>
          <w:p>
            <w:pPr>
              <w:pStyle w:val="Compact"/>
              <w:jc w:val="right"/>
            </w:pPr>
            <m:oMath>
              <m:sSub>
                <m:e>
                  <m:r>
                    <m:t>N</m:t>
                  </m:r>
                </m:e>
                <m:sub>
                  <m:r>
                    <m:t>w</m:t>
                  </m:r>
                </m:sub>
              </m:sSub>
            </m:oMath>
            <w:r>
              <w:t xml:space="preserve"> </w:t>
            </w:r>
            <w:r>
              <w:t xml:space="preserve">at</w:t>
            </w:r>
            <w:r>
              <w:t xml:space="preserve"> </w:t>
            </w:r>
            <m:oMath>
              <m:r>
                <m:t>ξ</m:t>
              </m:r>
              <m:r>
                <m:rPr>
                  <m:sty m:val="p"/>
                </m:rPr>
                <m:t>=</m:t>
              </m:r>
              <m:r>
                <m:t>1</m:t>
              </m:r>
              <m:r>
                <m:rPr>
                  <m:sty m:val="p"/>
                </m:rPr>
                <m:t>/</m:t>
              </m:r>
              <m:r>
                <m:t>2</m:t>
              </m:r>
            </m:oMath>
          </w:p>
        </w:tc>
      </w:tr>
      <w:tr>
        <w:trPr>
          <w:cantSplit/>
        </w:trPr>
        <w:tc>
          <w:tcPr>
            <w:tcW w:type="dxa" w:w="2093"/>
          </w:tcPr>
          <w:p>
            <w:pPr>
              <w:pStyle w:val="Compact"/>
              <w:jc w:val="right"/>
            </w:pPr>
            <w:r>
              <w:t xml:space="preserve">1.0</w:t>
            </w:r>
          </w:p>
        </w:tc>
        <w:tc>
          <w:tcPr>
            <w:tcW w:type="dxa" w:w="1744"/>
          </w:tcPr>
          <w:p>
            <w:pPr>
              <w:pStyle w:val="Compact"/>
              <w:jc w:val="right"/>
            </w:pPr>
            <w:r>
              <w:t xml:space="preserve">0.800</w:t>
            </w:r>
          </w:p>
        </w:tc>
        <w:tc>
          <w:tcPr>
            <w:tcW w:type="dxa" w:w="1744"/>
          </w:tcPr>
          <w:p>
            <w:pPr>
              <w:pStyle w:val="Compact"/>
              <w:jc w:val="right"/>
            </w:pPr>
            <w:r>
              <w:t xml:space="preserve">0.4460</w:t>
            </w:r>
          </w:p>
        </w:tc>
        <w:tc>
          <w:tcPr>
            <w:tcW w:type="dxa" w:w="1744"/>
          </w:tcPr>
          <w:p>
            <w:pPr>
              <w:pStyle w:val="Compact"/>
              <w:jc w:val="right"/>
            </w:pPr>
            <w:r>
              <w:t xml:space="preserve">1.322</w:t>
            </w:r>
          </w:p>
        </w:tc>
        <w:tc>
          <w:tcPr>
            <w:tcW w:type="dxa" w:w="1744"/>
          </w:tcPr>
          <w:p>
            <w:pPr>
              <w:pStyle w:val="Compact"/>
              <w:jc w:val="right"/>
            </w:pPr>
            <w:r>
              <w:t xml:space="preserve">1.300</w:t>
            </w:r>
          </w:p>
        </w:tc>
      </w:tr>
      <w:tr>
        <w:trPr>
          <w:cantSplit/>
        </w:trPr>
        <w:tc>
          <w:tcPr>
            <w:tcW w:type="dxa" w:w="2093"/>
          </w:tcPr>
          <w:p>
            <w:pPr>
              <w:pStyle w:val="Compact"/>
              <w:jc w:val="right"/>
            </w:pPr>
            <w:r>
              <w:t xml:space="preserve">1.2</w:t>
            </w:r>
          </w:p>
        </w:tc>
        <w:tc>
          <w:tcPr>
            <w:tcW w:type="dxa" w:w="1744"/>
          </w:tcPr>
          <w:p>
            <w:pPr>
              <w:pStyle w:val="Compact"/>
              <w:jc w:val="right"/>
            </w:pPr>
            <w:r>
              <w:t xml:space="preserve">0.9743</w:t>
            </w:r>
          </w:p>
        </w:tc>
        <w:tc>
          <w:tcPr>
            <w:tcW w:type="dxa" w:w="1744"/>
          </w:tcPr>
          <w:p>
            <w:pPr>
              <w:pStyle w:val="Compact"/>
              <w:jc w:val="right"/>
            </w:pPr>
            <w:r>
              <w:t xml:space="preserve">0.4251</w:t>
            </w:r>
          </w:p>
        </w:tc>
        <w:tc>
          <w:tcPr>
            <w:tcW w:type="dxa" w:w="1744"/>
          </w:tcPr>
          <w:p>
            <w:pPr>
              <w:pStyle w:val="Compact"/>
              <w:jc w:val="right"/>
            </w:pPr>
            <w:r>
              <w:t xml:space="preserve">1.076</w:t>
            </w:r>
          </w:p>
        </w:tc>
        <w:tc>
          <w:tcPr>
            <w:tcW w:type="dxa" w:w="1744"/>
          </w:tcPr>
          <w:p>
            <w:pPr>
              <w:pStyle w:val="Compact"/>
              <w:jc w:val="right"/>
            </w:pPr>
            <w:r>
              <w:t xml:space="preserve">1.039</w:t>
            </w:r>
          </w:p>
        </w:tc>
      </w:tr>
      <w:tr>
        <w:trPr>
          <w:cantSplit/>
        </w:trPr>
        <w:tc>
          <w:tcPr>
            <w:tcW w:type="dxa" w:w="2093"/>
          </w:tcPr>
          <w:p>
            <w:pPr>
              <w:pStyle w:val="Compact"/>
              <w:jc w:val="right"/>
            </w:pPr>
            <w:r>
              <w:t xml:space="preserve">1.4</w:t>
            </w:r>
          </w:p>
        </w:tc>
        <w:tc>
          <w:tcPr>
            <w:tcW w:type="dxa" w:w="1744"/>
          </w:tcPr>
          <w:p>
            <w:pPr>
              <w:pStyle w:val="Compact"/>
              <w:jc w:val="right"/>
            </w:pPr>
            <w:r>
              <w:t xml:space="preserve">1.208</w:t>
            </w:r>
          </w:p>
        </w:tc>
        <w:tc>
          <w:tcPr>
            <w:tcW w:type="dxa" w:w="1744"/>
          </w:tcPr>
          <w:p>
            <w:pPr>
              <w:pStyle w:val="Compact"/>
              <w:jc w:val="right"/>
            </w:pPr>
            <w:r>
              <w:t xml:space="preserve">0.3875</w:t>
            </w:r>
          </w:p>
        </w:tc>
        <w:tc>
          <w:tcPr>
            <w:tcW w:type="dxa" w:w="1744"/>
          </w:tcPr>
          <w:p>
            <w:pPr>
              <w:pStyle w:val="Compact"/>
              <w:jc w:val="right"/>
            </w:pPr>
            <w:r>
              <w:t xml:space="preserve">0.7585</w:t>
            </w:r>
          </w:p>
        </w:tc>
        <w:tc>
          <w:tcPr>
            <w:tcW w:type="dxa" w:w="1744"/>
          </w:tcPr>
          <w:p>
            <w:pPr>
              <w:pStyle w:val="Compact"/>
              <w:jc w:val="right"/>
            </w:pPr>
            <w:r>
              <w:t xml:space="preserve">0.6884</w:t>
            </w:r>
          </w:p>
        </w:tc>
      </w:tr>
      <w:tr>
        <w:trPr>
          <w:cantSplit/>
        </w:trPr>
        <w:tc>
          <w:tcPr>
            <w:tcW w:type="dxa" w:w="2093"/>
          </w:tcPr>
          <w:p>
            <w:pPr>
              <w:pStyle w:val="Compact"/>
              <w:jc w:val="right"/>
            </w:pPr>
            <w:r>
              <w:t xml:space="preserve">1.5</w:t>
            </w:r>
          </w:p>
        </w:tc>
        <w:tc>
          <w:tcPr>
            <w:tcW w:type="dxa" w:w="1744"/>
          </w:tcPr>
          <w:p>
            <w:pPr>
              <w:pStyle w:val="Compact"/>
              <w:jc w:val="right"/>
            </w:pPr>
            <w:r>
              <w:t xml:space="preserve">1.346</w:t>
            </w:r>
          </w:p>
        </w:tc>
        <w:tc>
          <w:tcPr>
            <w:tcW w:type="dxa" w:w="1744"/>
          </w:tcPr>
          <w:p>
            <w:pPr>
              <w:pStyle w:val="Compact"/>
              <w:jc w:val="right"/>
            </w:pPr>
            <w:r>
              <w:t xml:space="preserve">0.3582</w:t>
            </w:r>
          </w:p>
        </w:tc>
        <w:tc>
          <w:tcPr>
            <w:tcW w:type="dxa" w:w="1744"/>
          </w:tcPr>
          <w:p>
            <w:pPr>
              <w:pStyle w:val="Compact"/>
              <w:jc w:val="right"/>
            </w:pPr>
            <w:r>
              <w:t xml:space="preserve">0.5807</w:t>
            </w:r>
          </w:p>
        </w:tc>
        <w:tc>
          <w:tcPr>
            <w:tcW w:type="dxa" w:w="1744"/>
          </w:tcPr>
          <w:p>
            <w:pPr>
              <w:pStyle w:val="Compact"/>
              <w:jc w:val="right"/>
            </w:pPr>
            <w:r>
              <w:t xml:space="preserve">0.4808</w:t>
            </w:r>
          </w:p>
        </w:tc>
      </w:tr>
      <w:tr>
        <w:trPr>
          <w:cantSplit/>
        </w:trPr>
        <w:tc>
          <w:tcPr>
            <w:tcW w:type="dxa" w:w="2093"/>
          </w:tcPr>
          <w:p>
            <w:pPr>
              <w:pStyle w:val="Compact"/>
              <w:jc w:val="right"/>
            </w:pPr>
            <w:r>
              <w:t xml:space="preserve">1.636 (= 90/55)</w:t>
            </w:r>
          </w:p>
        </w:tc>
        <w:tc>
          <w:tcPr>
            <w:tcW w:type="dxa" w:w="1744"/>
          </w:tcPr>
          <w:p>
            <w:pPr>
              <w:pStyle w:val="Compact"/>
              <w:jc w:val="right"/>
            </w:pPr>
            <w:r>
              <w:t xml:space="preserve">1.558</w:t>
            </w:r>
          </w:p>
        </w:tc>
        <w:tc>
          <w:tcPr>
            <w:tcW w:type="dxa" w:w="1744"/>
          </w:tcPr>
          <w:p>
            <w:pPr>
              <w:pStyle w:val="Compact"/>
              <w:jc w:val="right"/>
            </w:pPr>
            <w:r>
              <w:t xml:space="preserve">0.2994</w:t>
            </w:r>
          </w:p>
        </w:tc>
        <w:tc>
          <w:tcPr>
            <w:tcW w:type="dxa" w:w="1744"/>
          </w:tcPr>
          <w:p>
            <w:pPr>
              <w:pStyle w:val="Compact"/>
              <w:jc w:val="right"/>
            </w:pPr>
            <w:r>
              <w:t xml:space="preserve">0.3316</w:t>
            </w:r>
          </w:p>
        </w:tc>
        <w:tc>
          <w:tcPr>
            <w:tcW w:type="dxa" w:w="1744"/>
          </w:tcPr>
          <w:p>
            <w:pPr>
              <w:pStyle w:val="Compact"/>
              <w:jc w:val="right"/>
            </w:pPr>
            <w:r>
              <w:t xml:space="preserve">0.1632</w:t>
            </w:r>
          </w:p>
        </w:tc>
      </w:tr>
      <w:tr>
        <w:trPr>
          <w:cantSplit/>
        </w:trPr>
        <w:tc>
          <w:tcPr>
            <w:tcW w:type="dxa" w:w="2093"/>
          </w:tcPr>
          <w:p>
            <w:pPr>
              <w:pStyle w:val="Compact"/>
              <w:jc w:val="right"/>
            </w:pPr>
            <w:r>
              <w:t xml:space="preserve">1.7</w:t>
            </w:r>
          </w:p>
        </w:tc>
        <w:tc>
          <w:tcPr>
            <w:tcW w:type="dxa" w:w="1744"/>
          </w:tcPr>
          <w:p>
            <w:pPr>
              <w:pStyle w:val="Compact"/>
              <w:jc w:val="right"/>
            </w:pPr>
            <w:r>
              <w:t xml:space="preserve">1.666</w:t>
            </w:r>
          </w:p>
        </w:tc>
        <w:tc>
          <w:tcPr>
            <w:tcW w:type="dxa" w:w="1744"/>
          </w:tcPr>
          <w:p>
            <w:pPr>
              <w:pStyle w:val="Compact"/>
              <w:jc w:val="right"/>
            </w:pPr>
            <w:r>
              <w:t xml:space="preserve">0.2608</w:t>
            </w:r>
          </w:p>
        </w:tc>
        <w:tc>
          <w:tcPr>
            <w:tcW w:type="dxa" w:w="1744"/>
          </w:tcPr>
          <w:p>
            <w:pPr>
              <w:pStyle w:val="Compact"/>
              <w:jc w:val="right"/>
            </w:pPr>
            <w:r>
              <w:t xml:space="preserve">0.2202</w:t>
            </w:r>
          </w:p>
        </w:tc>
        <w:tc>
          <w:tcPr>
            <w:tcW w:type="dxa" w:w="1744"/>
          </w:tcPr>
          <w:p>
            <w:pPr>
              <w:pStyle w:val="Compact"/>
              <w:jc w:val="right"/>
            </w:pPr>
            <w:r>
              <w:t xml:space="preserve">0.0015</w:t>
            </w:r>
          </w:p>
        </w:tc>
      </w:tr>
    </w:tbl>
    <w:p>
      <w:pPr>
        <w:pStyle w:val="BodyText"/>
      </w:pPr>
      <w:r>
        <w:t xml:space="preserve">Asymmetric three-span beams. For arbitrary spans</w:t>
      </w:r>
      <w:r>
        <w:t xml:space="preserve"> </w:t>
      </w:r>
      <m:oMath>
        <m:sSub>
          <m:e>
            <m:r>
              <m:t>L</m:t>
            </m:r>
          </m:e>
          <m:sub>
            <m:r>
              <m:t>1</m:t>
            </m:r>
          </m:sub>
        </m:sSub>
        <m:r>
          <m:rPr>
            <m:sty m:val="p"/>
          </m:rPr>
          <m:t>,</m:t>
        </m:r>
        <m:sSub>
          <m:e>
            <m:r>
              <m:t>L</m:t>
            </m:r>
          </m:e>
          <m:sub>
            <m:r>
              <m:t>2</m:t>
            </m:r>
          </m:sub>
        </m:sSub>
        <m:r>
          <m:rPr>
            <m:sty m:val="p"/>
          </m:rPr>
          <m:t>,</m:t>
        </m:r>
        <m:sSub>
          <m:e>
            <m:r>
              <m:t>L</m:t>
            </m:r>
          </m:e>
          <m:sub>
            <m:r>
              <m:t>3</m:t>
            </m:r>
          </m:sub>
        </m:sSub>
      </m:oMath>
      <w:r>
        <w:t xml:space="preserve"> </w:t>
      </w:r>
      <w:r>
        <w:t xml:space="preserve">and rigidities</w:t>
      </w:r>
      <w:r>
        <w:t xml:space="preserve"> </w:t>
      </w:r>
      <m:oMath>
        <m:r>
          <m:t>E</m:t>
        </m:r>
        <m:sSub>
          <m:e>
            <m:r>
              <m:t>I</m:t>
            </m:r>
          </m:e>
          <m:sub>
            <m:r>
              <m:t>1</m:t>
            </m:r>
          </m:sub>
        </m:sSub>
        <m:r>
          <m:rPr>
            <m:sty m:val="p"/>
          </m:rPr>
          <m:t>,</m:t>
        </m:r>
        <m:r>
          <m:t>E</m:t>
        </m:r>
        <m:sSub>
          <m:e>
            <m:r>
              <m:t>I</m:t>
            </m:r>
          </m:e>
          <m:sub>
            <m:r>
              <m:t>2</m:t>
            </m:r>
          </m:sub>
        </m:sSub>
        <m:r>
          <m:rPr>
            <m:sty m:val="p"/>
          </m:rPr>
          <m:t>,</m:t>
        </m:r>
        <m:r>
          <m:t>E</m:t>
        </m:r>
        <m:sSub>
          <m:e>
            <m:r>
              <m:t>I</m:t>
            </m:r>
          </m:e>
          <m:sub>
            <m:r>
              <m:t>3</m:t>
            </m:r>
          </m:sub>
        </m:sSub>
      </m:oMath>
      <w:r>
        <w:t xml:space="preserve">, the two support moments follow from the three-moment equations at the inner supports, solved symbolically; the sensor deflection under a uniform load then follows by superposition, as above. The general expressions are long and are given in the scripts. Four asymmetric cases agree with FE to a relative error of at most 9.2 × 10⁻¹². With the sensor at mid-span of span 1 and uniform rigidity, the blind ratio</w:t>
      </w:r>
      <w:r>
        <w:t xml:space="preserve"> </w:t>
      </w:r>
      <m:oMath>
        <m:sSub>
          <m:e>
            <m:r>
              <m:t>L</m:t>
            </m:r>
          </m:e>
          <m:sub>
            <m:r>
              <m:t>1</m:t>
            </m:r>
          </m:sub>
        </m:sSub>
        <m:r>
          <m:rPr>
            <m:sty m:val="p"/>
          </m:rPr>
          <m:t>/</m:t>
        </m:r>
        <m:sSub>
          <m:e>
            <m:r>
              <m:t>L</m:t>
            </m:r>
          </m:e>
          <m:sub>
            <m:r>
              <m:t>2</m:t>
            </m:r>
          </m:sub>
        </m:sSub>
      </m:oMath>
      <w:r>
        <w:t xml:space="preserve"> </w:t>
      </w:r>
      <w:r>
        <w:t xml:space="preserve">is 0.589774, 0.591969, 0.587260, 0.565712, 0.525757 and 0.461410 for</w:t>
      </w:r>
      <w:r>
        <w:t xml:space="preserve"> </w:t>
      </w:r>
      <m:oMath>
        <m:sSub>
          <m:e>
            <m:r>
              <m:t>L</m:t>
            </m:r>
          </m:e>
          <m:sub>
            <m:r>
              <m:t>3</m:t>
            </m:r>
          </m:sub>
        </m:sSub>
        <m:r>
          <m:rPr>
            <m:sty m:val="p"/>
          </m:rPr>
          <m:t>/</m:t>
        </m:r>
        <m:sSub>
          <m:e>
            <m:r>
              <m:t>L</m:t>
            </m:r>
          </m:e>
          <m:sub>
            <m:r>
              <m:t>2</m:t>
            </m:r>
          </m:sub>
        </m:sSub>
      </m:oMath>
      <w:r>
        <w:t xml:space="preserve"> </w:t>
      </w:r>
      <w:r>
        <w:t xml:space="preserve">= 0.3, 0.5, 0.6, 0.8, 1.0 and 1.2 (main-text Fig. 2b).</w:t>
      </w:r>
    </w:p>
    <w:p>
      <w:pPr>
        <w:pStyle w:val="BodyText"/>
      </w:pPr>
      <w:r>
        <w:t xml:space="preserve">Strain blind-locus maps. Figs. S1 and S2 map the strain indicator</w:t>
      </w:r>
      <w:r>
        <w:t xml:space="preserve"> </w:t>
      </w:r>
      <m:oMath>
        <m:sSub>
          <m:e>
            <m:r>
              <m:t>N</m:t>
            </m:r>
          </m:e>
          <m:sub>
            <m:r>
              <m:t>M</m:t>
            </m:r>
          </m:sub>
        </m:sSub>
      </m:oMath>
      <w:r>
        <w:t xml:space="preserve"> </w:t>
      </w:r>
      <w:r>
        <w:t xml:space="preserve">over the sensor position and the span ratio for two-span and symmetric three-span beams. For two equal spans the strain near-blind band is</w:t>
      </w:r>
      <w:r>
        <w:t xml:space="preserve"> </w:t>
      </w:r>
      <m:oMath>
        <m:r>
          <m:t>0.676</m:t>
        </m:r>
        <m:r>
          <m:rPr>
            <m:sty m:val="p"/>
          </m:rPr>
          <m:t>&lt;</m:t>
        </m:r>
        <m:r>
          <m:t>ξ</m:t>
        </m:r>
        <m:r>
          <m:rPr>
            <m:sty m:val="p"/>
          </m:rPr>
          <m:t>&lt;</m:t>
        </m:r>
        <m:r>
          <m:t>0.812</m:t>
        </m:r>
      </m:oMath>
      <w:r>
        <w:t xml:space="preserve">, that is, 0.19–0.32 of the span from the interior support.</w:t>
      </w:r>
    </w:p>
    <w:p>
      <w:pPr>
        <w:pStyle w:val="Figure"/>
      </w:pPr>
      <w:r>
        <w:drawing>
          <wp:inline>
            <wp:extent cx="5039999" cy="2026020"/>
            <wp:effectExtent b="0" l="0" r="0" t="0"/>
            <wp:docPr descr="" title="" id="22" name="Picture"/>
            <a:graphic>
              <a:graphicData uri="http://schemas.openxmlformats.org/drawingml/2006/picture">
                <pic:pic>
                  <pic:nvPicPr>
                    <pic:cNvPr descr="/home/user/SHM-Paper1-1D/manuscript/ase/figures/supplementary/FigS1_strain_map_2span.png" id="23" name="Picture"/>
                    <pic:cNvPicPr>
                      <a:picLocks noChangeArrowheads="1" noChangeAspect="1"/>
                    </pic:cNvPicPr>
                  </pic:nvPicPr>
                  <pic:blipFill>
                    <a:blip r:embed="rId21"/>
                    <a:stretch>
                      <a:fillRect/>
                    </a:stretch>
                  </pic:blipFill>
                  <pic:spPr bwMode="auto">
                    <a:xfrm>
                      <a:off x="0" y="0"/>
                      <a:ext cx="5039999" cy="2026020"/>
                    </a:xfrm>
                    <a:prstGeom prst="rect">
                      <a:avLst/>
                    </a:prstGeom>
                    <a:noFill/>
                    <a:ln w="9525">
                      <a:noFill/>
                      <a:headEnd/>
                      <a:tailEnd/>
                    </a:ln>
                  </pic:spPr>
                </pic:pic>
              </a:graphicData>
            </a:graphic>
          </wp:inline>
        </w:drawing>
      </w:r>
    </w:p>
    <w:p>
      <w:pPr>
        <w:pStyle w:val="Captionjustified"/>
      </w:pPr>
      <w:r>
        <w:rPr>
          <w:bCs/>
          <w:b/>
        </w:rPr>
        <w:t xml:space="preserve">Figure S1.</w:t>
      </w:r>
      <w:r>
        <w:t xml:space="preserve"> </w:t>
      </w:r>
      <w:r>
        <w:t xml:space="preserve">Two-span beam: (a) strain indicator</w:t>
      </w:r>
      <w:r>
        <w:t xml:space="preserve"> </w:t>
      </w:r>
      <m:oMath>
        <m:sSub>
          <m:e>
            <m:r>
              <m:t>N</m:t>
            </m:r>
          </m:e>
          <m:sub>
            <m:r>
              <m:t>M</m:t>
            </m:r>
          </m:sub>
        </m:sSub>
      </m:oMath>
      <w:r>
        <w:t xml:space="preserve"> </w:t>
      </w:r>
      <w:r>
        <w:t xml:space="preserve">over the sensor position and the span ratio</w:t>
      </w:r>
      <w:r>
        <w:t xml:space="preserve"> </w:t>
      </w:r>
      <m:oMath>
        <m:r>
          <m:t>λ</m:t>
        </m:r>
      </m:oMath>
      <w:r>
        <w:t xml:space="preserve">, with the strain and deflection blind loci and the near-blind band; (b) blind positions against</w:t>
      </w:r>
      <w:r>
        <w:t xml:space="preserve"> </w:t>
      </w:r>
      <m:oMath>
        <m:r>
          <m:t>λ</m:t>
        </m:r>
      </m:oMath>
      <w:r>
        <w:t xml:space="preserve">.</w:t>
      </w:r>
    </w:p>
    <w:p>
      <w:pPr>
        <w:pStyle w:val="Figure"/>
      </w:pPr>
      <w:r>
        <w:drawing>
          <wp:inline>
            <wp:extent cx="5039999" cy="2050867"/>
            <wp:effectExtent b="0" l="0" r="0" t="0"/>
            <wp:docPr descr="" title="" id="25" name="Picture"/>
            <a:graphic>
              <a:graphicData uri="http://schemas.openxmlformats.org/drawingml/2006/picture">
                <pic:pic>
                  <pic:nvPicPr>
                    <pic:cNvPr descr="/home/user/SHM-Paper1-1D/manuscript/ase/figures/supplementary/FigS2_strain_map_3span.png" id="26" name="Picture"/>
                    <pic:cNvPicPr>
                      <a:picLocks noChangeArrowheads="1" noChangeAspect="1"/>
                    </pic:cNvPicPr>
                  </pic:nvPicPr>
                  <pic:blipFill>
                    <a:blip r:embed="rId24"/>
                    <a:stretch>
                      <a:fillRect/>
                    </a:stretch>
                  </pic:blipFill>
                  <pic:spPr bwMode="auto">
                    <a:xfrm>
                      <a:off x="0" y="0"/>
                      <a:ext cx="5039999" cy="2050867"/>
                    </a:xfrm>
                    <a:prstGeom prst="rect">
                      <a:avLst/>
                    </a:prstGeom>
                    <a:noFill/>
                    <a:ln w="9525">
                      <a:noFill/>
                      <a:headEnd/>
                      <a:tailEnd/>
                    </a:ln>
                  </pic:spPr>
                </pic:pic>
              </a:graphicData>
            </a:graphic>
          </wp:inline>
        </w:drawing>
      </w:r>
    </w:p>
    <w:p>
      <w:pPr>
        <w:pStyle w:val="Captionjustified"/>
      </w:pPr>
      <w:r>
        <w:rPr>
          <w:bCs/>
          <w:b/>
        </w:rPr>
        <w:t xml:space="preserve">Figure S2.</w:t>
      </w:r>
      <w:r>
        <w:t xml:space="preserve"> </w:t>
      </w:r>
      <w:r>
        <w:t xml:space="preserve">Symmetric three-span beam: strain indicator</w:t>
      </w:r>
      <w:r>
        <w:t xml:space="preserve"> </w:t>
      </w:r>
      <m:oMath>
        <m:sSub>
          <m:e>
            <m:r>
              <m:t>N</m:t>
            </m:r>
          </m:e>
          <m:sub>
            <m:r>
              <m:t>M</m:t>
            </m:r>
          </m:sub>
        </m:sSub>
      </m:oMath>
      <w:r>
        <w:t xml:space="preserve"> </w:t>
      </w:r>
      <w:r>
        <w:t xml:space="preserve">(a) in the side span and (b) in the main span measured from the pier, over the span ratio</w:t>
      </w:r>
      <w:r>
        <w:t xml:space="preserve"> </w:t>
      </w:r>
      <m:oMath>
        <m:r>
          <m:t>β</m:t>
        </m:r>
      </m:oMath>
      <w:r>
        <w:t xml:space="preserve">, with the blind loci, the near-blind band and the Cầu Mây span ratio.</w:t>
      </w:r>
    </w:p>
    <w:bookmarkEnd w:id="27"/>
    <w:bookmarkStart w:id="31" w:name="X44c9035c4fb27a4b9c667ec5209ad657665486b"/>
    <w:p>
      <w:pPr>
        <w:pStyle w:val="Heading2"/>
      </w:pPr>
      <w:r>
        <w:t xml:space="preserve">S3. General channels, finite element verification and invariant weighting functions</w:t>
      </w:r>
    </w:p>
    <w:p>
      <w:pPr>
        <w:pStyle w:val="FirstParagraph"/>
      </w:pPr>
      <w:r>
        <w:t xml:space="preserve">For a prismatic span with end-moment parameters</w:t>
      </w:r>
      <w:r>
        <w:t xml:space="preserve"> </w:t>
      </w:r>
      <m:oMath>
        <m:sSub>
          <m:e>
            <m:acc>
              <m:accPr>
                <m:chr m:val="‾"/>
              </m:accPr>
              <m:e>
                <m:r>
                  <m:t>M</m:t>
                </m:r>
              </m:e>
            </m:acc>
          </m:e>
          <m:sub>
            <m:r>
              <m:t>l</m:t>
            </m:r>
          </m:sub>
        </m:sSub>
      </m:oMath>
      <w:r>
        <w:t xml:space="preserve">,</w:t>
      </w:r>
      <w:r>
        <w:t xml:space="preserve"> </w:t>
      </w:r>
      <m:oMath>
        <m:sSub>
          <m:e>
            <m:acc>
              <m:accPr>
                <m:chr m:val="‾"/>
              </m:accPr>
              <m:e>
                <m:r>
                  <m:t>M</m:t>
                </m:r>
              </m:e>
            </m:acc>
          </m:e>
          <m:sub>
            <m:r>
              <m:t>r</m:t>
            </m:r>
          </m:sub>
        </m:sSub>
      </m:oMath>
      <w:r>
        <w:t xml:space="preserve"> </w:t>
      </w:r>
      <w:r>
        <w:t xml:space="preserve">and</w:t>
      </w:r>
      <w:r>
        <w:t xml:space="preserve"> </w:t>
      </w:r>
      <m:oMath>
        <m:r>
          <m:t>ξ</m:t>
        </m:r>
        <m:r>
          <m:rPr>
            <m:sty m:val="p"/>
          </m:rPr>
          <m:t>=</m:t>
        </m:r>
        <m:r>
          <m:t>x</m:t>
        </m:r>
        <m:r>
          <m:rPr>
            <m:sty m:val="p"/>
          </m:rPr>
          <m:t>/</m:t>
        </m:r>
        <m:r>
          <m:t>L</m:t>
        </m:r>
      </m:oMath>
      <w:r>
        <w:t xml:space="preserve">, the indicators are</w:t>
      </w:r>
      <w:r>
        <w:t xml:space="preserve"> </w:t>
      </w:r>
      <m:oMath>
        <m:sSub>
          <m:e>
            <m:r>
              <m:t>N</m:t>
            </m:r>
          </m:e>
          <m:sub>
            <m:r>
              <m:t>w</m:t>
            </m:r>
          </m:sub>
        </m:sSub>
        <m:r>
          <m:rPr>
            <m:sty m:val="p"/>
          </m:rPr>
          <m:t>=</m:t>
        </m:r>
        <m:r>
          <m:t>8</m:t>
        </m:r>
        <m:r>
          <m:t>Φ</m:t>
        </m:r>
      </m:oMath>
      <w:r>
        <w:t xml:space="preserve"> </w:t>
      </w:r>
      <w:r>
        <w:t xml:space="preserve">with</w:t>
      </w:r>
      <w:r>
        <w:t xml:space="preserve"> </w:t>
      </w:r>
      <m:oMath>
        <m:r>
          <m:t>Φ</m:t>
        </m:r>
        <m:r>
          <m:rPr>
            <m:sty m:val="p"/>
          </m:rPr>
          <m:t>=</m:t>
        </m:r>
        <m:r>
          <m:t>ξ</m:t>
        </m:r>
        <m:d>
          <m:dPr>
            <m:begChr m:val="("/>
            <m:endChr m:val=")"/>
            <m:sepChr m:val=""/>
            <m:grow/>
          </m:dPr>
          <m:e>
            <m:r>
              <m:t>1</m:t>
            </m:r>
            <m:r>
              <m:rPr>
                <m:sty m:val="p"/>
              </m:rPr>
              <m:t>−</m:t>
            </m:r>
            <m:r>
              <m:t>2</m:t>
            </m:r>
            <m:sSup>
              <m:e>
                <m:r>
                  <m:t>ξ</m:t>
                </m:r>
              </m:e>
              <m:sup>
                <m:r>
                  <m:t>2</m:t>
                </m:r>
              </m:sup>
            </m:sSup>
            <m:r>
              <m:rPr>
                <m:sty m:val="p"/>
              </m:rPr>
              <m:t>+</m:t>
            </m:r>
            <m:sSup>
              <m:e>
                <m:r>
                  <m:t>ξ</m:t>
                </m:r>
              </m:e>
              <m:sup>
                <m:r>
                  <m:t>3</m:t>
                </m:r>
              </m:sup>
            </m:sSup>
          </m:e>
        </m:d>
        <m:r>
          <m:rPr>
            <m:sty m:val="p"/>
          </m:rPr>
          <m:t>−</m:t>
        </m:r>
        <m:f>
          <m:fPr>
            <m:type m:val="lin"/>
          </m:fPr>
          <m:num>
            <m:sSub>
              <m:e>
                <m:acc>
                  <m:accPr>
                    <m:chr m:val="‾"/>
                  </m:accPr>
                  <m:e>
                    <m:r>
                      <m:t>M</m:t>
                    </m:r>
                  </m:e>
                </m:acc>
              </m:e>
              <m:sub>
                <m:r>
                  <m:t>l</m:t>
                </m:r>
              </m:sub>
            </m:sSub>
          </m:num>
          <m:den>
            <m:r>
              <m:t>2</m:t>
            </m:r>
          </m:den>
        </m:f>
        <m:d>
          <m:dPr>
            <m:begChr m:val="("/>
            <m:endChr m:val=")"/>
            <m:sepChr m:val=""/>
            <m:grow/>
          </m:dPr>
          <m:e>
            <m:r>
              <m:t>2</m:t>
            </m:r>
            <m:r>
              <m:t>ξ</m:t>
            </m:r>
            <m:r>
              <m:rPr>
                <m:sty m:val="p"/>
              </m:rPr>
              <m:t>−</m:t>
            </m:r>
            <m:r>
              <m:t>3</m:t>
            </m:r>
            <m:sSup>
              <m:e>
                <m:r>
                  <m:t>ξ</m:t>
                </m:r>
              </m:e>
              <m:sup>
                <m:r>
                  <m:t>2</m:t>
                </m:r>
              </m:sup>
            </m:sSup>
            <m:r>
              <m:rPr>
                <m:sty m:val="p"/>
              </m:rPr>
              <m:t>+</m:t>
            </m:r>
            <m:sSup>
              <m:e>
                <m:r>
                  <m:t>ξ</m:t>
                </m:r>
              </m:e>
              <m:sup>
                <m:r>
                  <m:t>3</m:t>
                </m:r>
              </m:sup>
            </m:sSup>
          </m:e>
        </m:d>
        <m:r>
          <m:rPr>
            <m:sty m:val="p"/>
          </m:rPr>
          <m:t>−</m:t>
        </m:r>
        <m:f>
          <m:fPr>
            <m:type m:val="lin"/>
          </m:fPr>
          <m:num>
            <m:sSub>
              <m:e>
                <m:acc>
                  <m:accPr>
                    <m:chr m:val="‾"/>
                  </m:accPr>
                  <m:e>
                    <m:r>
                      <m:t>M</m:t>
                    </m:r>
                  </m:e>
                </m:acc>
              </m:e>
              <m:sub>
                <m:r>
                  <m:t>r</m:t>
                </m:r>
              </m:sub>
            </m:sSub>
          </m:num>
          <m:den>
            <m:r>
              <m:t>2</m:t>
            </m:r>
          </m:den>
        </m:f>
        <m:d>
          <m:dPr>
            <m:begChr m:val="("/>
            <m:endChr m:val=")"/>
            <m:sepChr m:val=""/>
            <m:grow/>
          </m:dPr>
          <m:e>
            <m:r>
              <m:t>ξ</m:t>
            </m:r>
            <m:r>
              <m:rPr>
                <m:sty m:val="p"/>
              </m:rPr>
              <m:t>−</m:t>
            </m:r>
            <m:sSup>
              <m:e>
                <m:r>
                  <m:t>ξ</m:t>
                </m:r>
              </m:e>
              <m:sup>
                <m:r>
                  <m:t>3</m:t>
                </m:r>
              </m:sup>
            </m:sSup>
          </m:e>
        </m:d>
      </m:oMath>
      <w:r>
        <w:t xml:space="preserve">,</w:t>
      </w:r>
      <w:r>
        <w:t xml:space="preserve"> </w:t>
      </w:r>
      <m:oMath>
        <m:sSub>
          <m:e>
            <m:r>
              <m:t>N</m:t>
            </m:r>
          </m:e>
          <m:sub>
            <m:r>
              <m:t>θ</m:t>
            </m:r>
          </m:sub>
        </m:sSub>
        <m:r>
          <m:rPr>
            <m:sty m:val="p"/>
          </m:rPr>
          <m:t>=</m:t>
        </m:r>
        <m:r>
          <m:t>24</m:t>
        </m:r>
        <m:r>
          <m:t>E</m:t>
        </m:r>
        <m:r>
          <m:t>I</m:t>
        </m:r>
        <m:r>
          <m:t> </m:t>
        </m:r>
        <m:sSub>
          <m:e>
            <m:r>
              <m:t>C</m:t>
            </m:r>
          </m:e>
          <m:sub>
            <m:r>
              <m:t>θ</m:t>
            </m:r>
          </m:sub>
        </m:sSub>
        <m:r>
          <m:rPr>
            <m:sty m:val="p"/>
          </m:rPr>
          <m:t>/</m:t>
        </m:r>
        <m:sSup>
          <m:e>
            <m:r>
              <m:t>L</m:t>
            </m:r>
          </m:e>
          <m:sup>
            <m:r>
              <m:t>3</m:t>
            </m:r>
          </m:sup>
        </m:sSup>
        <m:r>
          <m:rPr>
            <m:sty m:val="p"/>
          </m:rPr>
          <m:t>=</m:t>
        </m:r>
        <m:r>
          <m:t>Φ</m:t>
        </m:r>
        <m:r>
          <m:rPr>
            <m:sty m:val="p"/>
          </m:rPr>
          <m:t>′</m:t>
        </m:r>
        <m:d>
          <m:dPr>
            <m:begChr m:val="("/>
            <m:endChr m:val=")"/>
            <m:sepChr m:val=""/>
            <m:grow/>
          </m:dPr>
          <m:e>
            <m:r>
              <m:t>ξ</m:t>
            </m:r>
          </m:e>
        </m:d>
      </m:oMath>
      <w:r>
        <w:t xml:space="preserve">,</w:t>
      </w:r>
      <w:r>
        <w:t xml:space="preserve"> </w:t>
      </w:r>
      <m:oMath>
        <m:sSub>
          <m:e>
            <m:r>
              <m:t>N</m:t>
            </m:r>
          </m:e>
          <m:sub>
            <m:r>
              <m:t>M</m:t>
            </m:r>
          </m:sub>
        </m:sSub>
      </m:oMath>
      <w:r>
        <w:t xml:space="preserve"> </w:t>
      </w:r>
      <w:r>
        <w:t xml:space="preserve">of Eq. (9) and</w:t>
      </w:r>
      <w:r>
        <w:t xml:space="preserve"> </w:t>
      </w:r>
      <m:oMath>
        <m:sSub>
          <m:e>
            <m:r>
              <m:t>N</m:t>
            </m:r>
          </m:e>
          <m:sub>
            <m:r>
              <m:t>V</m:t>
            </m:r>
          </m:sub>
        </m:sSub>
        <m:r>
          <m:rPr>
            <m:sty m:val="p"/>
          </m:rPr>
          <m:t>=</m:t>
        </m:r>
        <m:r>
          <m:t>2</m:t>
        </m:r>
        <m:sSub>
          <m:e>
            <m:r>
              <m:t>C</m:t>
            </m:r>
          </m:e>
          <m:sub>
            <m:r>
              <m:t>V</m:t>
            </m:r>
          </m:sub>
        </m:sSub>
        <m:r>
          <m:rPr>
            <m:sty m:val="p"/>
          </m:rPr>
          <m:t>/</m:t>
        </m:r>
        <m:r>
          <m:t>L</m:t>
        </m:r>
        <m:r>
          <m:rPr>
            <m:sty m:val="p"/>
          </m:rPr>
          <m:t>=</m:t>
        </m:r>
        <m:r>
          <m:t>1</m:t>
        </m:r>
        <m:r>
          <m:rPr>
            <m:sty m:val="p"/>
          </m:rPr>
          <m:t>−</m:t>
        </m:r>
        <m:r>
          <m:t>2</m:t>
        </m:r>
        <m:r>
          <m:t>ξ</m:t>
        </m:r>
        <m:r>
          <m:rPr>
            <m:sty m:val="p"/>
          </m:rPr>
          <m:t>+</m:t>
        </m:r>
        <m:d>
          <m:dPr>
            <m:begChr m:val="("/>
            <m:endChr m:val=")"/>
            <m:sepChr m:val=""/>
            <m:grow/>
          </m:dPr>
          <m:e>
            <m:sSub>
              <m:e>
                <m:acc>
                  <m:accPr>
                    <m:chr m:val="‾"/>
                  </m:accPr>
                  <m:e>
                    <m:r>
                      <m:t>M</m:t>
                    </m:r>
                  </m:e>
                </m:acc>
              </m:e>
              <m:sub>
                <m:r>
                  <m:t>l</m:t>
                </m:r>
              </m:sub>
            </m:sSub>
            <m:r>
              <m:rPr>
                <m:sty m:val="p"/>
              </m:rPr>
              <m:t>−</m:t>
            </m:r>
            <m:sSub>
              <m:e>
                <m:acc>
                  <m:accPr>
                    <m:chr m:val="‾"/>
                  </m:accPr>
                  <m:e>
                    <m:r>
                      <m:t>M</m:t>
                    </m:r>
                  </m:e>
                </m:acc>
              </m:e>
              <m:sub>
                <m:r>
                  <m:t>r</m:t>
                </m:r>
              </m:sub>
            </m:sSub>
          </m:e>
        </m:d>
        <m:r>
          <m:rPr>
            <m:sty m:val="p"/>
          </m:rPr>
          <m:t>/</m:t>
        </m:r>
        <m:r>
          <m:t>4</m:t>
        </m:r>
      </m:oMath>
      <w:r>
        <w:t xml:space="preserve">.</w:t>
      </w:r>
      <w:r>
        <w:t xml:space="preserve"> </w:t>
      </w:r>
      <m:oMath>
        <m:sSub>
          <m:e>
            <m:r>
              <m:t>N</m:t>
            </m:r>
          </m:e>
          <m:sub>
            <m:r>
              <m:t>θ</m:t>
            </m:r>
          </m:sub>
        </m:sSub>
      </m:oMath>
      <w:r>
        <w:t xml:space="preserve">,</w:t>
      </w:r>
      <w:r>
        <w:t xml:space="preserve"> </w:t>
      </w:r>
      <m:oMath>
        <m:sSub>
          <m:e>
            <m:r>
              <m:t>N</m:t>
            </m:r>
          </m:e>
          <m:sub>
            <m:r>
              <m:t>M</m:t>
            </m:r>
          </m:sub>
        </m:sSub>
      </m:oMath>
      <w:r>
        <w:t xml:space="preserve"> </w:t>
      </w:r>
      <w:r>
        <w:t xml:space="preserve">and</w:t>
      </w:r>
      <w:r>
        <w:t xml:space="preserve"> </w:t>
      </w:r>
      <m:oMath>
        <m:sSub>
          <m:e>
            <m:r>
              <m:t>N</m:t>
            </m:r>
          </m:e>
          <m:sub>
            <m:r>
              <m:t>V</m:t>
            </m:r>
          </m:sub>
        </m:sSub>
      </m:oMath>
      <w:r>
        <w:t xml:space="preserve"> </w:t>
      </w:r>
      <w:r>
        <w:t xml:space="preserve">equal 1 for the simply supported reference (end rotation, mid-span moment, end shear).</w:t>
      </w:r>
      <w:r>
        <w:t xml:space="preserve"> </w:t>
      </w:r>
      <m:oMath>
        <m:sSub>
          <m:e>
            <m:r>
              <m:t>N</m:t>
            </m:r>
          </m:e>
          <m:sub>
            <m:r>
              <m:t>w</m:t>
            </m:r>
          </m:sub>
        </m:sSub>
      </m:oMath>
      <w:r>
        <w:t xml:space="preserve"> </w:t>
      </w:r>
      <w:r>
        <w:t xml:space="preserve">equals 2.5 at a simply supported mid-span and 1 at mid-span of each span of an equal two-span beam. For the two-span beam,</w:t>
      </w:r>
      <w:r>
        <w:t xml:space="preserve"> </w:t>
      </w:r>
      <m:oMath>
        <m:d>
          <m:dPr>
            <m:begChr m:val="("/>
            <m:endChr m:val=")"/>
            <m:sepChr m:val=""/>
            <m:grow/>
          </m:dPr>
          <m:e>
            <m:sSub>
              <m:e>
                <m:acc>
                  <m:accPr>
                    <m:chr m:val="‾"/>
                  </m:accPr>
                  <m:e>
                    <m:r>
                      <m:t>M</m:t>
                    </m:r>
                  </m:e>
                </m:acc>
              </m:e>
              <m:sub>
                <m:r>
                  <m:t>l</m:t>
                </m:r>
              </m:sub>
            </m:sSub>
            <m:r>
              <m:rPr>
                <m:sty m:val="p"/>
              </m:rPr>
              <m:t>,</m:t>
            </m:r>
            <m:sSub>
              <m:e>
                <m:acc>
                  <m:accPr>
                    <m:chr m:val="‾"/>
                  </m:accPr>
                  <m:e>
                    <m:r>
                      <m:t>M</m:t>
                    </m:r>
                  </m:e>
                </m:acc>
              </m:e>
              <m:sub>
                <m:r>
                  <m:t>r</m:t>
                </m:r>
              </m:sub>
            </m:sSub>
          </m:e>
        </m:d>
        <m:r>
          <m:rPr>
            <m:sty m:val="p"/>
          </m:rPr>
          <m:t>=</m:t>
        </m:r>
        <m:d>
          <m:dPr>
            <m:begChr m:val="("/>
            <m:endChr m:val=")"/>
            <m:sepChr m:val=""/>
            <m:grow/>
          </m:dPr>
          <m:e>
            <m:r>
              <m:t>0</m:t>
            </m:r>
            <m:r>
              <m:rPr>
                <m:sty m:val="p"/>
              </m:rPr>
              <m:t>,</m:t>
            </m:r>
            <m:r>
              <m:t>μ</m:t>
            </m:r>
          </m:e>
        </m:d>
      </m:oMath>
      <w:r>
        <w:t xml:space="preserve"> </w:t>
      </w:r>
      <w:r>
        <w:t xml:space="preserve">in span 1 and</w:t>
      </w:r>
      <w:r>
        <w:t xml:space="preserve"> </w:t>
      </w:r>
      <m:oMath>
        <m:d>
          <m:dPr>
            <m:begChr m:val="("/>
            <m:endChr m:val=")"/>
            <m:sepChr m:val=""/>
            <m:grow/>
          </m:dPr>
          <m:e>
            <m:r>
              <m:t>μ</m:t>
            </m:r>
            <m:r>
              <m:rPr>
                <m:sty m:val="p"/>
              </m:rPr>
              <m:t>/</m:t>
            </m:r>
            <m:sSup>
              <m:e>
                <m:r>
                  <m:t>λ</m:t>
                </m:r>
              </m:e>
              <m:sup>
                <m:r>
                  <m:t>2</m:t>
                </m:r>
              </m:sup>
            </m:sSup>
            <m:r>
              <m:rPr>
                <m:sty m:val="p"/>
              </m:rPr>
              <m:t>,</m:t>
            </m:r>
            <m:r>
              <m:t>0</m:t>
            </m:r>
          </m:e>
        </m:d>
      </m:oMath>
      <w:r>
        <w:t xml:space="preserve"> </w:t>
      </w:r>
      <w:r>
        <w:t xml:space="preserve">in span 2; for the symmetric three-span beam,</w:t>
      </w:r>
      <w:r>
        <w:t xml:space="preserve"> </w:t>
      </w:r>
      <m:oMath>
        <m:d>
          <m:dPr>
            <m:begChr m:val="("/>
            <m:endChr m:val=")"/>
            <m:sepChr m:val=""/>
            <m:grow/>
          </m:dPr>
          <m:e>
            <m:r>
              <m:t>0</m:t>
            </m:r>
            <m:r>
              <m:rPr>
                <m:sty m:val="p"/>
              </m:rPr>
              <m:t>,</m:t>
            </m:r>
            <m:r>
              <m:t>μ</m:t>
            </m:r>
          </m:e>
        </m:d>
      </m:oMath>
      <w:r>
        <w:t xml:space="preserve"> </w:t>
      </w:r>
      <w:r>
        <w:t xml:space="preserve">in the side span and</w:t>
      </w:r>
      <w:r>
        <w:t xml:space="preserve"> </w:t>
      </w:r>
      <m:oMath>
        <m:d>
          <m:dPr>
            <m:begChr m:val="("/>
            <m:endChr m:val=")"/>
            <m:sepChr m:val=""/>
            <m:grow/>
          </m:dPr>
          <m:e>
            <m:r>
              <m:t>μ</m:t>
            </m:r>
            <m:r>
              <m:rPr>
                <m:sty m:val="p"/>
              </m:rPr>
              <m:t>/</m:t>
            </m:r>
            <m:sSup>
              <m:e>
                <m:r>
                  <m:t>β</m:t>
                </m:r>
              </m:e>
              <m:sup>
                <m:r>
                  <m:t>2</m:t>
                </m:r>
              </m:sup>
            </m:sSup>
            <m:r>
              <m:rPr>
                <m:sty m:val="p"/>
              </m:rPr>
              <m:t>,</m:t>
            </m:r>
            <m:r>
              <m:t>μ</m:t>
            </m:r>
            <m:r>
              <m:rPr>
                <m:sty m:val="p"/>
              </m:rPr>
              <m:t>/</m:t>
            </m:r>
            <m:sSup>
              <m:e>
                <m:r>
                  <m:t>β</m:t>
                </m:r>
              </m:e>
              <m:sup>
                <m:r>
                  <m:t>2</m:t>
                </m:r>
              </m:sup>
            </m:sSup>
          </m:e>
        </m:d>
      </m:oMath>
      <w:r>
        <w:t xml:space="preserve"> </w:t>
      </w:r>
      <w:r>
        <w:t xml:space="preserve">in the main span with pinned piers; with pier springs,</w:t>
      </w:r>
      <w:r>
        <w:t xml:space="preserve"> </w:t>
      </w:r>
      <m:oMath>
        <m:r>
          <m:t>μ</m:t>
        </m:r>
      </m:oMath>
      <w:r>
        <w:t xml:space="preserve"> </w:t>
      </w:r>
      <w:r>
        <w:t xml:space="preserve">follows from Eq. (16) and the main-span values from</w:t>
      </w:r>
      <w:r>
        <w:t xml:space="preserve"> </w:t>
      </w:r>
      <m:oMath>
        <m:sSub>
          <m:e>
            <m:acc>
              <m:accPr>
                <m:chr m:val="‾"/>
              </m:accPr>
              <m:e>
                <m:r>
                  <m:t>M</m:t>
                </m:r>
              </m:e>
            </m:acc>
          </m:e>
          <m:sub>
            <m:r>
              <m:rPr>
                <m:sty m:val="p"/>
              </m:rPr>
              <m:t>main</m:t>
            </m:r>
          </m:sub>
        </m:sSub>
      </m:oMath>
      <w:r>
        <w:t xml:space="preserve"> </w:t>
      </w:r>
      <w:r>
        <w:t xml:space="preserve">in Section 2.5. Strain zeros solve</w:t>
      </w:r>
      <w:r>
        <w:t xml:space="preserve"> </w:t>
      </w:r>
      <m:oMath>
        <m:r>
          <m:t>4</m:t>
        </m:r>
        <m:sSup>
          <m:e>
            <m:r>
              <m:t>ξ</m:t>
            </m:r>
          </m:e>
          <m:sup>
            <m:r>
              <m:t>2</m:t>
            </m:r>
          </m:sup>
        </m:sSup>
        <m:r>
          <m:rPr>
            <m:sty m:val="p"/>
          </m:rPr>
          <m:t>−</m:t>
        </m:r>
        <m:d>
          <m:dPr>
            <m:begChr m:val="("/>
            <m:endChr m:val=")"/>
            <m:sepChr m:val=""/>
            <m:grow/>
          </m:dPr>
          <m:e>
            <m:r>
              <m:t>4</m:t>
            </m:r>
            <m:r>
              <m:rPr>
                <m:sty m:val="p"/>
              </m:rPr>
              <m:t>+</m:t>
            </m:r>
            <m:sSub>
              <m:e>
                <m:acc>
                  <m:accPr>
                    <m:chr m:val="‾"/>
                  </m:accPr>
                  <m:e>
                    <m:r>
                      <m:t>M</m:t>
                    </m:r>
                  </m:e>
                </m:acc>
              </m:e>
              <m:sub>
                <m:r>
                  <m:t>l</m:t>
                </m:r>
              </m:sub>
            </m:sSub>
            <m:r>
              <m:rPr>
                <m:sty m:val="p"/>
              </m:rPr>
              <m:t>−</m:t>
            </m:r>
            <m:sSub>
              <m:e>
                <m:acc>
                  <m:accPr>
                    <m:chr m:val="‾"/>
                  </m:accPr>
                  <m:e>
                    <m:r>
                      <m:t>M</m:t>
                    </m:r>
                  </m:e>
                </m:acc>
              </m:e>
              <m:sub>
                <m:r>
                  <m:t>r</m:t>
                </m:r>
              </m:sub>
            </m:sSub>
          </m:e>
        </m:d>
        <m:r>
          <m:t>ξ</m:t>
        </m:r>
        <m:r>
          <m:rPr>
            <m:sty m:val="p"/>
          </m:rPr>
          <m:t>+</m:t>
        </m:r>
        <m:sSub>
          <m:e>
            <m:acc>
              <m:accPr>
                <m:chr m:val="‾"/>
              </m:accPr>
              <m:e>
                <m:r>
                  <m:t>M</m:t>
                </m:r>
              </m:e>
            </m:acc>
          </m:e>
          <m:sub>
            <m:r>
              <m:t>l</m:t>
            </m:r>
          </m:sub>
        </m:sSub>
        <m:r>
          <m:rPr>
            <m:sty m:val="p"/>
          </m:rPr>
          <m:t>=</m:t>
        </m:r>
        <m:r>
          <m:t>0</m:t>
        </m:r>
      </m:oMath>
      <w:r>
        <w:t xml:space="preserve">.</w:t>
      </w:r>
    </w:p>
    <w:p>
      <w:pPr>
        <w:pStyle w:val="BodyText"/>
      </w:pPr>
      <w:r>
        <w:t xml:space="preserve">All closed forms of Section 2.2 agree with FE evaluations of Eq. (2) in 981 checks, with a maximum error of 8.1 × 10⁻¹¹ on the normalized indicators. The verification covered two-span, symmetric and asymmetric three-span and four-span beams, zero-moment positions, ten blind configurations, the identity for a two-truck convoy on piecewise-prismatic girders with elastic pier springs (relative error 2.8 × 10⁻⁹), and the haunched Cầu Mây FE against an independent force-method solution (5.4 × 10⁻¹⁰). Truncating the record when the first axle leaves changed the integral by up to 59 % (rotation) and 10 % (moment) on the two-span example.</w:t>
      </w:r>
    </w:p>
    <w:p>
      <w:pPr>
        <w:pStyle w:val="BodyText"/>
      </w:pPr>
      <w:r>
        <w:t xml:space="preserve">For the most general linear estimator</w:t>
      </w:r>
      <w:r>
        <w:t xml:space="preserve"> </w:t>
      </w:r>
      <m:oMath>
        <m:acc>
          <m:accPr>
            <m:chr m:val="̂"/>
          </m:accPr>
          <m:e>
            <m:r>
              <m:t>P</m:t>
            </m:r>
          </m:e>
        </m:acc>
        <m:r>
          <m:rPr>
            <m:sty m:val="p"/>
          </m:rPr>
          <m:t>=</m:t>
        </m:r>
        <m:nary>
          <m:naryPr>
            <m:chr m:val="∑"/>
            <m:limLoc m:val="undOvr"/>
            <m:subHide m:val="off"/>
            <m:supHide m:val="on"/>
          </m:naryPr>
          <m:sub>
            <m:r>
              <m:t>j</m:t>
            </m:r>
          </m:sub>
          <m:sup>
            <m:r>
              <m:t>​</m:t>
            </m:r>
          </m:sup>
          <m:e>
            <m:r>
              <m:rPr>
                <m:sty m:val="p"/>
              </m:rPr>
              <m:t>∫</m:t>
            </m:r>
          </m:e>
        </m:nary>
        <m:sSub>
          <m:e>
            <m:r>
              <m:t>g</m:t>
            </m:r>
          </m:e>
          <m:sub>
            <m:r>
              <m:t>j</m:t>
            </m:r>
          </m:sub>
        </m:sSub>
        <m:d>
          <m:dPr>
            <m:begChr m:val="("/>
            <m:endChr m:val=")"/>
            <m:sepChr m:val=""/>
            <m:grow/>
          </m:dPr>
          <m:e>
            <m:r>
              <m:t>x</m:t>
            </m:r>
          </m:e>
        </m:d>
        <m:sSub>
          <m:e>
            <m:r>
              <m:t>y</m:t>
            </m:r>
          </m:e>
          <m:sub>
            <m:r>
              <m:t>j</m:t>
            </m:r>
          </m:sub>
        </m:sSub>
        <m:d>
          <m:dPr>
            <m:begChr m:val="("/>
            <m:endChr m:val=")"/>
            <m:sepChr m:val=""/>
            <m:grow/>
          </m:dPr>
          <m:e>
            <m:r>
              <m:t>x</m:t>
            </m:r>
          </m:e>
        </m:d>
        <m:r>
          <m:t> </m:t>
        </m:r>
        <m:r>
          <m:rPr>
            <m:sty m:val="p"/>
          </m:rPr>
          <m:t>d</m:t>
        </m:r>
        <m:r>
          <m:t>x</m:t>
        </m:r>
      </m:oMath>
      <w:r>
        <w:t xml:space="preserve">, with weighting functions</w:t>
      </w:r>
      <w:r>
        <w:t xml:space="preserve"> </w:t>
      </w:r>
      <m:oMath>
        <m:sSub>
          <m:e>
            <m:r>
              <m:t>g</m:t>
            </m:r>
          </m:e>
          <m:sub>
            <m:r>
              <m:t>j</m:t>
            </m:r>
          </m:sub>
        </m:sSub>
      </m:oMath>
      <w:r>
        <w:t xml:space="preserve"> </w:t>
      </w:r>
      <w:r>
        <w:t xml:space="preserve">along the records</w:t>
      </w:r>
      <w:r>
        <w:t xml:space="preserve"> </w:t>
      </w:r>
      <m:oMath>
        <m:sSub>
          <m:e>
            <m:r>
              <m:t>y</m:t>
            </m:r>
          </m:e>
          <m:sub>
            <m:r>
              <m:t>j</m:t>
            </m:r>
          </m:sub>
        </m:sSub>
      </m:oMath>
      <w:r>
        <w:t xml:space="preserve">, the mean is</w:t>
      </w:r>
      <w:r>
        <w:t xml:space="preserve"> </w:t>
      </w:r>
      <m:oMath>
        <m:nary>
          <m:naryPr>
            <m:chr m:val="∑"/>
            <m:limLoc m:val="undOvr"/>
            <m:subHide m:val="off"/>
            <m:supHide m:val="on"/>
          </m:naryPr>
          <m:sub>
            <m:r>
              <m:t>i</m:t>
            </m:r>
          </m:sub>
          <m:sup>
            <m:r>
              <m:t>​</m:t>
            </m:r>
          </m:sup>
          <m:e>
            <m:sSub>
              <m:e>
                <m:r>
                  <m:t>P</m:t>
                </m:r>
              </m:e>
              <m:sub>
                <m:r>
                  <m:t>i</m:t>
                </m:r>
              </m:sub>
            </m:sSub>
          </m:e>
        </m:nary>
        <m:r>
          <m:t>ψ</m:t>
        </m:r>
        <m:d>
          <m:dPr>
            <m:begChr m:val="("/>
            <m:endChr m:val=")"/>
            <m:sepChr m:val=""/>
            <m:grow/>
          </m:dPr>
          <m:e>
            <m:sSub>
              <m:e>
                <m:r>
                  <m:t>s</m:t>
                </m:r>
              </m:e>
              <m:sub>
                <m:r>
                  <m:t>i</m:t>
                </m:r>
              </m:sub>
            </m:sSub>
          </m:e>
        </m:d>
      </m:oMath>
      <w:r>
        <w:t xml:space="preserve">, with</w:t>
      </w:r>
      <w:r>
        <w:t xml:space="preserve"> </w:t>
      </w:r>
      <m:oMath>
        <m:sSub>
          <m:e>
            <m:r>
              <m:t>s</m:t>
            </m:r>
          </m:e>
          <m:sub>
            <m:r>
              <m:t>i</m:t>
            </m:r>
          </m:sub>
        </m:sSub>
      </m:oMath>
      <w:r>
        <w:t xml:space="preserve"> </w:t>
      </w:r>
      <w:r>
        <w:t xml:space="preserve">the position of axle</w:t>
      </w:r>
      <w:r>
        <w:t xml:space="preserve"> </w:t>
      </w:r>
      <m:oMath>
        <m:r>
          <m:t>i</m:t>
        </m:r>
      </m:oMath>
      <w:r>
        <w:t xml:space="preserve"> </w:t>
      </w:r>
      <w:r>
        <w:t xml:space="preserve">and</w:t>
      </w:r>
      <w:r>
        <w:t xml:space="preserve"> </w:t>
      </w:r>
      <m:oMath>
        <m:r>
          <m:t>ψ</m:t>
        </m:r>
        <m:d>
          <m:dPr>
            <m:begChr m:val="("/>
            <m:endChr m:val=")"/>
            <m:sepChr m:val=""/>
            <m:grow/>
          </m:dPr>
          <m:e>
            <m:r>
              <m:t>s</m:t>
            </m:r>
          </m:e>
        </m:d>
        <m:r>
          <m:rPr>
            <m:sty m:val="p"/>
          </m:rPr>
          <m:t>=</m:t>
        </m:r>
        <m:nary>
          <m:naryPr>
            <m:chr m:val="∑"/>
            <m:limLoc m:val="undOvr"/>
            <m:subHide m:val="off"/>
            <m:supHide m:val="on"/>
          </m:naryPr>
          <m:sub>
            <m:r>
              <m:t>j</m:t>
            </m:r>
          </m:sub>
          <m:sup>
            <m:r>
              <m:t>​</m:t>
            </m:r>
          </m:sup>
          <m:e>
            <m:r>
              <m:rPr>
                <m:sty m:val="p"/>
              </m:rPr>
              <m:t>∫</m:t>
            </m:r>
          </m:e>
        </m:nary>
        <m:sSub>
          <m:e>
            <m:r>
              <m:t>g</m:t>
            </m:r>
          </m:e>
          <m:sub>
            <m:r>
              <m:t>j</m:t>
            </m:r>
          </m:sub>
        </m:sSub>
        <m:d>
          <m:dPr>
            <m:begChr m:val="("/>
            <m:endChr m:val=")"/>
            <m:sepChr m:val=""/>
            <m:grow/>
          </m:dPr>
          <m:e>
            <m:r>
              <m:t>x</m:t>
            </m:r>
          </m:e>
        </m:d>
        <m:sSub>
          <m:e>
            <m:r>
              <m:t>η</m:t>
            </m:r>
          </m:e>
          <m:sub>
            <m:r>
              <m:t>j</m:t>
            </m:r>
          </m:sub>
        </m:sSub>
        <m:d>
          <m:dPr>
            <m:begChr m:val="("/>
            <m:endChr m:val=")"/>
            <m:sepChr m:val=""/>
            <m:grow/>
          </m:dPr>
          <m:e>
            <m:r>
              <m:t>x</m:t>
            </m:r>
            <m:r>
              <m:rPr>
                <m:sty m:val="p"/>
              </m:rPr>
              <m:t>−</m:t>
            </m:r>
            <m:r>
              <m:t>s</m:t>
            </m:r>
          </m:e>
        </m:d>
        <m:r>
          <m:t> </m:t>
        </m:r>
        <m:r>
          <m:rPr>
            <m:sty m:val="p"/>
          </m:rPr>
          <m:t>d</m:t>
        </m:r>
        <m:r>
          <m:t>x</m:t>
        </m:r>
      </m:oMath>
      <w:r>
        <w:t xml:space="preserve">. If</w:t>
      </w:r>
      <w:r>
        <w:t xml:space="preserve"> </w:t>
      </w:r>
      <m:oMath>
        <m:r>
          <m:t>ψ</m:t>
        </m:r>
      </m:oMath>
      <w:r>
        <w:t xml:space="preserve"> </w:t>
      </w:r>
      <w:r>
        <w:t xml:space="preserve">must be constant in</w:t>
      </w:r>
      <w:r>
        <w:t xml:space="preserve"> </w:t>
      </w:r>
      <m:oMath>
        <m:r>
          <m:t>s</m:t>
        </m:r>
      </m:oMath>
      <w:r>
        <w:t xml:space="preserve"> </w:t>
      </w:r>
      <w:r>
        <w:t xml:space="preserve">for every set of influence lines supported on</w:t>
      </w:r>
      <w:r>
        <w:t xml:space="preserve"> </w:t>
      </w:r>
      <m:oMath>
        <m:d>
          <m:dPr>
            <m:begChr m:val="["/>
            <m:endChr m:val="]"/>
            <m:sepChr m:val=""/>
            <m:grow/>
          </m:dPr>
          <m:e>
            <m:r>
              <m:t>0</m:t>
            </m:r>
            <m:r>
              <m:rPr>
                <m:sty m:val="p"/>
              </m:rPr>
              <m:t>,</m:t>
            </m:r>
            <m:sSub>
              <m:e>
                <m:r>
                  <m:t>L</m:t>
                </m:r>
              </m:e>
              <m:sub>
                <m:r>
                  <m:t>p</m:t>
                </m:r>
              </m:sub>
            </m:sSub>
          </m:e>
        </m:d>
      </m:oMath>
      <w:r>
        <w:t xml:space="preserve">, then</w:t>
      </w:r>
      <w:r>
        <w:t xml:space="preserve"> </w:t>
      </w:r>
      <m:oMath>
        <m:nary>
          <m:naryPr>
            <m:chr m:val="∫"/>
            <m:limLoc m:val="subSup"/>
            <m:subHide m:val="off"/>
            <m:supHide m:val="off"/>
          </m:naryPr>
          <m:sub>
            <m:r>
              <m:t>0</m:t>
            </m:r>
          </m:sub>
          <m:sup>
            <m:sSub>
              <m:e>
                <m:r>
                  <m:t>L</m:t>
                </m:r>
              </m:e>
              <m:sub>
                <m:r>
                  <m:t>p</m:t>
                </m:r>
              </m:sub>
            </m:sSub>
          </m:sup>
          <m:e>
            <m:d>
              <m:dPr>
                <m:begChr m:val="["/>
                <m:endChr m:val="]"/>
                <m:sepChr m:val=""/>
                <m:grow/>
              </m:dPr>
              <m:e>
                <m:r>
                  <m:t>g</m:t>
                </m:r>
                <m:d>
                  <m:dPr>
                    <m:begChr m:val="("/>
                    <m:endChr m:val=")"/>
                    <m:sepChr m:val=""/>
                    <m:grow/>
                  </m:dPr>
                  <m:e>
                    <m:r>
                      <m:t>u</m:t>
                    </m:r>
                    <m:r>
                      <m:rPr>
                        <m:sty m:val="p"/>
                      </m:rPr>
                      <m:t>+</m:t>
                    </m:r>
                    <m:r>
                      <m:t>s</m:t>
                    </m:r>
                  </m:e>
                </m:d>
                <m:r>
                  <m:rPr>
                    <m:sty m:val="p"/>
                  </m:rPr>
                  <m:t>−</m:t>
                </m:r>
                <m:r>
                  <m:t>g</m:t>
                </m:r>
                <m:d>
                  <m:dPr>
                    <m:begChr m:val="("/>
                    <m:endChr m:val=")"/>
                    <m:sepChr m:val=""/>
                    <m:grow/>
                  </m:dPr>
                  <m:e>
                    <m:r>
                      <m:t>u</m:t>
                    </m:r>
                    <m:r>
                      <m:rPr>
                        <m:sty m:val="p"/>
                      </m:rPr>
                      <m:t>+</m:t>
                    </m:r>
                    <m:r>
                      <m:t>s</m:t>
                    </m:r>
                    <m:r>
                      <m:rPr>
                        <m:sty m:val="p"/>
                      </m:rPr>
                      <m:t>′</m:t>
                    </m:r>
                  </m:e>
                </m:d>
              </m:e>
            </m:d>
          </m:e>
        </m:nary>
        <m:r>
          <m:t>η</m:t>
        </m:r>
        <m:d>
          <m:dPr>
            <m:begChr m:val="("/>
            <m:endChr m:val=")"/>
            <m:sepChr m:val=""/>
            <m:grow/>
          </m:dPr>
          <m:e>
            <m:r>
              <m:t>u</m:t>
            </m:r>
          </m:e>
        </m:d>
        <m:r>
          <m:t> </m:t>
        </m:r>
        <m:r>
          <m:rPr>
            <m:sty m:val="p"/>
          </m:rPr>
          <m:t>d</m:t>
        </m:r>
        <m:r>
          <m:t>u</m:t>
        </m:r>
        <m:r>
          <m:rPr>
            <m:sty m:val="p"/>
          </m:rPr>
          <m:t>=</m:t>
        </m:r>
        <m:r>
          <m:t>0</m:t>
        </m:r>
      </m:oMath>
      <w:r>
        <w:t xml:space="preserve"> </w:t>
      </w:r>
      <w:r>
        <w:t xml:space="preserve">for every admissible</w:t>
      </w:r>
      <w:r>
        <w:t xml:space="preserve"> </w:t>
      </w:r>
      <m:oMath>
        <m:r>
          <m:t>η</m:t>
        </m:r>
      </m:oMath>
      <w:r>
        <w:t xml:space="preserve">, so</w:t>
      </w:r>
      <w:r>
        <w:t xml:space="preserve"> </w:t>
      </w:r>
      <m:oMath>
        <m:r>
          <m:t>g</m:t>
        </m:r>
        <m:d>
          <m:dPr>
            <m:begChr m:val="("/>
            <m:endChr m:val=")"/>
            <m:sepChr m:val=""/>
            <m:grow/>
          </m:dPr>
          <m:e>
            <m:r>
              <m:t>u</m:t>
            </m:r>
            <m:r>
              <m:rPr>
                <m:sty m:val="p"/>
              </m:rPr>
              <m:t>+</m:t>
            </m:r>
            <m:r>
              <m:t>s</m:t>
            </m:r>
          </m:e>
        </m:d>
        <m:r>
          <m:rPr>
            <m:sty m:val="p"/>
          </m:rPr>
          <m:t>=</m:t>
        </m:r>
        <m:r>
          <m:t>g</m:t>
        </m:r>
        <m:d>
          <m:dPr>
            <m:begChr m:val="("/>
            <m:endChr m:val=")"/>
            <m:sepChr m:val=""/>
            <m:grow/>
          </m:dPr>
          <m:e>
            <m:r>
              <m:t>u</m:t>
            </m:r>
            <m:r>
              <m:rPr>
                <m:sty m:val="p"/>
              </m:rPr>
              <m:t>+</m:t>
            </m:r>
            <m:r>
              <m:t>s</m:t>
            </m:r>
            <m:r>
              <m:rPr>
                <m:sty m:val="p"/>
              </m:rPr>
              <m:t>′</m:t>
            </m:r>
          </m:e>
        </m:d>
      </m:oMath>
      <w:r>
        <w:t xml:space="preserve"> </w:t>
      </w:r>
      <w:r>
        <w:t xml:space="preserve">almost everywhere. Each</w:t>
      </w:r>
      <w:r>
        <w:t xml:space="preserve"> </w:t>
      </w:r>
      <m:oMath>
        <m:sSub>
          <m:e>
            <m:r>
              <m:t>g</m:t>
            </m:r>
          </m:e>
          <m:sub>
            <m:r>
              <m:t>j</m:t>
            </m:r>
          </m:sub>
        </m:sSub>
      </m:oMath>
      <w:r>
        <w:t xml:space="preserve"> </w:t>
      </w:r>
      <w:r>
        <w:t xml:space="preserve">is therefore constant, and the only freedom lies across channels. SLM relies on this invariance. An estimate built on the absolute value of the record (Deng et al., 2025) is not linear in the axle loads, so it loses this invariance whenever contributions of opposite sign overlap.</w:t>
      </w:r>
    </w:p>
    <w:p>
      <w:pPr>
        <w:pStyle w:val="BodyText"/>
      </w:pPr>
      <w:r>
        <w:t xml:space="preserve">The same argument links SLM to transmissibility-based weighing (Yan et al., 2022): a transmissibility is a ratio of response spectra, and at zero frequency it equals the ratio of record integrals. A record integrated uniformly in time weights space by</w:t>
      </w:r>
      <w:r>
        <w:t xml:space="preserve"> </w:t>
      </w:r>
      <m:oMath>
        <m:r>
          <m:t>1</m:t>
        </m:r>
        <m:r>
          <m:rPr>
            <m:sty m:val="p"/>
          </m:rPr>
          <m:t>/</m:t>
        </m:r>
        <m:r>
          <m:t>v</m:t>
        </m:r>
        <m:d>
          <m:dPr>
            <m:begChr m:val="("/>
            <m:endChr m:val=")"/>
            <m:sepChr m:val=""/>
            <m:grow/>
          </m:dPr>
          <m:e>
            <m:r>
              <m:t>x</m:t>
            </m:r>
          </m:e>
        </m:d>
      </m:oMath>
      <w:r>
        <w:t xml:space="preserve">, so the integral must be taken in space; at constant speed</w:t>
      </w:r>
      <w:r>
        <w:t xml:space="preserve"> </w:t>
      </w:r>
      <m:oMath>
        <m:r>
          <m:t>v</m:t>
        </m:r>
      </m:oMath>
      <w:r>
        <w:t xml:space="preserve"> </w:t>
      </w:r>
      <w:r>
        <w:t xml:space="preserve">the time integral is</w:t>
      </w:r>
      <w:r>
        <w:t xml:space="preserve"> </w:t>
      </w:r>
      <m:oMath>
        <m:sSub>
          <m:e>
            <m:r>
              <m:t>J</m:t>
            </m:r>
          </m:e>
          <m:sub>
            <m:r>
              <m:t>m</m:t>
            </m:r>
          </m:sub>
        </m:sSub>
        <m:r>
          <m:rPr>
            <m:sty m:val="p"/>
          </m:rPr>
          <m:t>/</m:t>
        </m:r>
        <m:r>
          <m:t>v</m:t>
        </m:r>
      </m:oMath>
      <w:r>
        <w:t xml:space="preserve">.</w:t>
      </w:r>
    </w:p>
    <w:p>
      <w:pPr>
        <w:pStyle w:val="BodyText"/>
      </w:pPr>
      <w:r>
        <w:t xml:space="preserve">When the influence line is known, other invariant weighting functions exist; for two equal spans their white-noise variance is lower by a factor of 1.5–6.6, but a 20 % rigidity error in the adjacent span then produces configuration-dependent errors of −1.1 % to +2.0 % (Fig. S3).</w:t>
      </w:r>
    </w:p>
    <w:p>
      <w:pPr>
        <w:pStyle w:val="Figure"/>
      </w:pPr>
      <w:r>
        <w:drawing>
          <wp:inline>
            <wp:extent cx="5039999" cy="1747894"/>
            <wp:effectExtent b="0" l="0" r="0" t="0"/>
            <wp:docPr descr="" title="" id="29" name="Picture"/>
            <a:graphic>
              <a:graphicData uri="http://schemas.openxmlformats.org/drawingml/2006/picture">
                <pic:pic>
                  <pic:nvPicPr>
                    <pic:cNvPr descr="/home/user/SHM-Paper1-1D/manuscript/ase/figures/supplementary/FigS3_structure_aware_weights.png" id="30" name="Picture"/>
                    <pic:cNvPicPr>
                      <a:picLocks noChangeArrowheads="1" noChangeAspect="1"/>
                    </pic:cNvPicPr>
                  </pic:nvPicPr>
                  <pic:blipFill>
                    <a:blip r:embed="rId28"/>
                    <a:stretch>
                      <a:fillRect/>
                    </a:stretch>
                  </pic:blipFill>
                  <pic:spPr bwMode="auto">
                    <a:xfrm>
                      <a:off x="0" y="0"/>
                      <a:ext cx="5039999" cy="1747894"/>
                    </a:xfrm>
                    <a:prstGeom prst="rect">
                      <a:avLst/>
                    </a:prstGeom>
                    <a:noFill/>
                    <a:ln w="9525">
                      <a:noFill/>
                      <a:headEnd/>
                      <a:tailEnd/>
                    </a:ln>
                  </pic:spPr>
                </pic:pic>
              </a:graphicData>
            </a:graphic>
          </wp:inline>
        </w:drawing>
      </w:r>
    </w:p>
    <w:p>
      <w:pPr>
        <w:pStyle w:val="Captionjustified"/>
      </w:pPr>
      <w:r>
        <w:rPr>
          <w:bCs/>
          <w:b/>
        </w:rPr>
        <w:t xml:space="preserve">Figure S3.</w:t>
      </w:r>
      <w:r>
        <w:t xml:space="preserve"> </w:t>
      </w:r>
      <w:r>
        <w:t xml:space="preserve">Structure-aware weighting functions for two equal spans (Section S3): (a) weighting functions along the record, (b) white-noise variance relative to uniform weighting against the range of entry shift, (c) configuration-dependent error under a rigidity error in the adjacent span.</w:t>
      </w:r>
    </w:p>
    <w:bookmarkEnd w:id="31"/>
    <w:bookmarkStart w:id="41" w:name="X04cfbbce9dd0f8d3105ba2172e0353156c4517f"/>
    <w:p>
      <w:pPr>
        <w:pStyle w:val="Heading2"/>
      </w:pPr>
      <w:r>
        <w:t xml:space="preserve">S4. Multi-channel estimation and placement</w:t>
      </w:r>
    </w:p>
    <w:p>
      <w:pPr>
        <w:pStyle w:val="FirstParagraph"/>
      </w:pPr>
      <w:r>
        <w:t xml:space="preserve">For one channel, Eq. (13) returns</w:t>
      </w:r>
      <w:r>
        <w:t xml:space="preserve"> </w:t>
      </w:r>
      <m:oMath>
        <m:acc>
          <m:accPr>
            <m:chr m:val="̂"/>
          </m:accPr>
          <m:e>
            <m:r>
              <m:t>P</m:t>
            </m:r>
          </m:e>
        </m:acc>
        <m:r>
          <m:rPr>
            <m:sty m:val="p"/>
          </m:rPr>
          <m:t>=</m:t>
        </m:r>
        <m:r>
          <m:t>J</m:t>
        </m:r>
        <m:r>
          <m:rPr>
            <m:sty m:val="p"/>
          </m:rPr>
          <m:t>/</m:t>
        </m:r>
        <m:r>
          <m:t>C</m:t>
        </m:r>
      </m:oMath>
      <w:r>
        <w:t xml:space="preserve"> </w:t>
      </w:r>
      <w:r>
        <w:t xml:space="preserve">with variance</w:t>
      </w:r>
      <w:r>
        <w:t xml:space="preserve"> </w:t>
      </w:r>
      <m:oMath>
        <m:sSubSup>
          <m:e>
            <m:r>
              <m:t>σ</m:t>
            </m:r>
          </m:e>
          <m:sub>
            <m:r>
              <m:t>P</m:t>
            </m:r>
            <m:r>
              <m:rPr>
                <m:sty m:val="p"/>
              </m:rPr>
              <m:t>,</m:t>
            </m:r>
            <m:r>
              <m:rPr>
                <m:sty m:val="p"/>
              </m:rPr>
              <m:t>noise</m:t>
            </m:r>
          </m:sub>
          <m:sup>
            <m:r>
              <m:t>2</m:t>
            </m:r>
          </m:sup>
        </m:sSubSup>
        <m:r>
          <m:rPr>
            <m:sty m:val="p"/>
          </m:rPr>
          <m:t>+</m:t>
        </m:r>
        <m:sSubSup>
          <m:e>
            <m:r>
              <m:t>P</m:t>
            </m:r>
          </m:e>
          <m:sub>
            <m:r>
              <m:t>δ</m:t>
            </m:r>
          </m:sub>
          <m:sup>
            <m:r>
              <m:t>2</m:t>
            </m:r>
          </m:sup>
        </m:sSubSup>
      </m:oMath>
      <w:r>
        <w:t xml:space="preserve">, where</w:t>
      </w:r>
      <w:r>
        <w:t xml:space="preserve"> </w:t>
      </w:r>
      <m:oMath>
        <m:sSub>
          <m:e>
            <m:r>
              <m:t>σ</m:t>
            </m:r>
          </m:e>
          <m:sub>
            <m:r>
              <m:t>P</m:t>
            </m:r>
            <m:r>
              <m:rPr>
                <m:sty m:val="p"/>
              </m:rPr>
              <m:t>,</m:t>
            </m:r>
            <m:r>
              <m:rPr>
                <m:sty m:val="p"/>
              </m:rPr>
              <m:t>noise</m:t>
            </m:r>
          </m:sub>
        </m:sSub>
      </m:oMath>
      <w:r>
        <w:t xml:space="preserve"> </w:t>
      </w:r>
      <w:r>
        <w:t xml:space="preserve">is the standard deviation of the load estimate caused by white noise. For two channels the zero-sum weights are</w:t>
      </w:r>
      <w:r>
        <w:t xml:space="preserve"> </w:t>
      </w:r>
      <m:oMath>
        <m:r>
          <m:t>a</m:t>
        </m:r>
        <m:r>
          <m:rPr>
            <m:sty m:val="p"/>
          </m:rPr>
          <m:t>=</m:t>
        </m:r>
        <m:d>
          <m:dPr>
            <m:begChr m:val="("/>
            <m:endChr m:val=")"/>
            <m:sepChr m:val=""/>
            <m:grow/>
          </m:dPr>
          <m:e>
            <m:r>
              <m:t>1</m:t>
            </m:r>
            <m:r>
              <m:rPr>
                <m:sty m:val="p"/>
              </m:rPr>
              <m:t>,</m:t>
            </m:r>
            <m:r>
              <m:rPr>
                <m:sty m:val="p"/>
              </m:rPr>
              <m:t>−</m:t>
            </m:r>
            <m:r>
              <m:t>1</m:t>
            </m:r>
          </m:e>
        </m:d>
        <m:r>
          <m:rPr>
            <m:sty m:val="p"/>
          </m:rPr>
          <m:t>/</m:t>
        </m:r>
        <m:d>
          <m:dPr>
            <m:begChr m:val="("/>
            <m:endChr m:val=")"/>
            <m:sepChr m:val=""/>
            <m:grow/>
          </m:dPr>
          <m:e>
            <m:sSub>
              <m:e>
                <m:r>
                  <m:t>C</m:t>
                </m:r>
              </m:e>
              <m:sub>
                <m:r>
                  <m:t>1</m:t>
                </m:r>
              </m:sub>
            </m:sSub>
            <m:r>
              <m:rPr>
                <m:sty m:val="p"/>
              </m:rPr>
              <m:t>−</m:t>
            </m:r>
            <m:sSub>
              <m:e>
                <m:r>
                  <m:t>C</m:t>
                </m:r>
              </m:e>
              <m:sub>
                <m:r>
                  <m:t>2</m:t>
                </m:r>
              </m:sub>
            </m:sSub>
          </m:e>
        </m:d>
      </m:oMath>
      <w:r>
        <w:t xml:space="preserve">, and a second sensor over a support (</w:t>
      </w:r>
      <m:oMath>
        <m:sSub>
          <m:e>
            <m:r>
              <m:t>C</m:t>
            </m:r>
          </m:e>
          <m:sub>
            <m:r>
              <m:t>2</m:t>
            </m:r>
          </m:sub>
        </m:sSub>
        <m:r>
          <m:rPr>
            <m:sty m:val="p"/>
          </m:rPr>
          <m:t>=</m:t>
        </m:r>
        <m:r>
          <m:t>0</m:t>
        </m:r>
      </m:oMath>
      <w:r>
        <w:t xml:space="preserve">) gives the familiar differential measurement against a reference. The white-noise variance then rises by the factor</w:t>
      </w:r>
      <w:r>
        <w:t xml:space="preserve"> </w:t>
      </w:r>
      <m:oMath>
        <m:r>
          <m:t>2</m:t>
        </m:r>
        <m:sSubSup>
          <m:e>
            <m:r>
              <m:t>C</m:t>
            </m:r>
          </m:e>
          <m:sub>
            <m:r>
              <m:t>1</m:t>
            </m:r>
          </m:sub>
          <m:sup>
            <m:r>
              <m:t>2</m:t>
            </m:r>
          </m:sup>
        </m:sSubSup>
        <m:r>
          <m:rPr>
            <m:sty m:val="p"/>
          </m:rPr>
          <m:t>/</m:t>
        </m:r>
        <m:sSup>
          <m:e>
            <m:d>
              <m:dPr>
                <m:begChr m:val="("/>
                <m:endChr m:val=")"/>
                <m:sepChr m:val=""/>
                <m:grow/>
              </m:dPr>
              <m:e>
                <m:sSub>
                  <m:e>
                    <m:r>
                      <m:t>C</m:t>
                    </m:r>
                  </m:e>
                  <m:sub>
                    <m:r>
                      <m:t>1</m:t>
                    </m:r>
                  </m:sub>
                </m:sSub>
                <m:r>
                  <m:rPr>
                    <m:sty m:val="p"/>
                  </m:rPr>
                  <m:t>−</m:t>
                </m:r>
                <m:sSub>
                  <m:e>
                    <m:r>
                      <m:t>C</m:t>
                    </m:r>
                  </m:e>
                  <m:sub>
                    <m:r>
                      <m:t>2</m:t>
                    </m:r>
                  </m:sub>
                </m:sSub>
              </m:e>
            </m:d>
          </m:e>
          <m:sup>
            <m:r>
              <m:t>2</m:t>
            </m:r>
          </m:sup>
        </m:sSup>
      </m:oMath>
      <w:r>
        <w:t xml:space="preserve">, which is 1.65–2.0 on the beams studied. This price is small, because for the long-span parameters of Section 5.3 with</w:t>
      </w:r>
      <w:r>
        <w:t xml:space="preserve"> </w:t>
      </w:r>
      <m:oMath>
        <m:r>
          <m:t>Δ</m:t>
        </m:r>
        <m:r>
          <m:t>x</m:t>
        </m:r>
        <m:r>
          <m:rPr>
            <m:sty m:val="p"/>
          </m:rPr>
          <m:t>=</m:t>
        </m:r>
        <m:r>
          <m:t>0.1</m:t>
        </m:r>
      </m:oMath>
      <w:r>
        <w:t xml:space="preserve"> </w:t>
      </w:r>
      <w:r>
        <w:t xml:space="preserve">m the white-noise term of Eq. (14) is only about 5 × 10⁻⁶ of the offset term (</w:t>
      </w:r>
      <m:oMath>
        <m:r>
          <m:t>σ</m:t>
        </m:r>
      </m:oMath>
      <w:r>
        <w:t xml:space="preserve"> </w:t>
      </w:r>
      <w:r>
        <w:t xml:space="preserve">= 0.01 mm,</w:t>
      </w:r>
      <w:r>
        <w:t xml:space="preserve"> </w:t>
      </w:r>
      <m:oMath>
        <m:sSub>
          <m:e>
            <m:r>
              <m:t>δ</m:t>
            </m:r>
          </m:e>
          <m:sub>
            <m:r>
              <m:t>0</m:t>
            </m:r>
          </m:sub>
        </m:sSub>
      </m:oMath>
      <w:r>
        <w:t xml:space="preserve"> </w:t>
      </w:r>
      <w:r>
        <w:t xml:space="preserve">= 0.1 mm,</w:t>
      </w:r>
      <w:r>
        <w:t xml:space="preserve"> </w:t>
      </w:r>
      <m:oMath>
        <m:sSub>
          <m:e>
            <m:r>
              <m:t>L</m:t>
            </m:r>
          </m:e>
          <m:sub>
            <m:r>
              <m:rPr>
                <m:sty m:val="p"/>
              </m:rPr>
              <m:t>tot</m:t>
            </m:r>
          </m:sub>
        </m:sSub>
      </m:oMath>
      <w:r>
        <w:t xml:space="preserve"> </w:t>
      </w:r>
      <w:r>
        <w:t xml:space="preserve">= 220 m, that is, the 200 m unit plus a 20 m convoy allowance). Strain and deflection channels need separate zero-sum constraints.</w:t>
      </w:r>
    </w:p>
    <w:p>
      <w:pPr>
        <w:pStyle w:val="BodyText"/>
      </w:pPr>
      <w:r>
        <w:t xml:space="preserve">Which extreme of</w:t>
      </w:r>
      <w:r>
        <w:t xml:space="preserve"> </w:t>
      </w:r>
      <m:oMath>
        <m:r>
          <m:t>C</m:t>
        </m:r>
        <m:d>
          <m:dPr>
            <m:begChr m:val="("/>
            <m:endChr m:val=")"/>
            <m:sepChr m:val=""/>
            <m:grow/>
          </m:dPr>
          <m:e>
            <m:r>
              <m:t>x</m:t>
            </m:r>
          </m:e>
        </m:d>
      </m:oMath>
      <w:r>
        <w:t xml:space="preserve"> </w:t>
      </w:r>
      <w:r>
        <w:t xml:space="preserve">to use depends on the offsets. With independent offsets, every sensor should sit as close as possible to the maximum, because the GLS variance then falls with the sum of the squared constants. With correlated offsets, one sensor should sit at the minimum, because a common offset cancels in the difference of two channels and the variance of Eq. (14) falls with the spread of the constants. The placement rule was verified by a brute-force search over 96 cases, which found no design better than the vertex design, and by a Monte Carlo study with 10⁵ random axle configurations per case, which confirmed that the estimators are unbiased and that Eqs. (13) and (14) hold to within 0.6 %. Fig. S4 shows the gain over the best single sensor under the assumed noise model, Fig. S5 the extremes of</w:t>
      </w:r>
      <w:r>
        <w:t xml:space="preserve"> </w:t>
      </w:r>
      <m:oMath>
        <m:r>
          <m:t>C</m:t>
        </m:r>
        <m:d>
          <m:dPr>
            <m:begChr m:val="("/>
            <m:endChr m:val=")"/>
            <m:sepChr m:val=""/>
            <m:grow/>
          </m:dPr>
          <m:e>
            <m:r>
              <m:t>x</m:t>
            </m:r>
          </m:e>
        </m:d>
      </m:oMath>
      <w:r>
        <w:t xml:space="preserve"> </w:t>
      </w:r>
      <w:r>
        <w:t xml:space="preserve">that the rule selects, and Fig. S6 the Monte Carlo verification. For the Cầu Mây girder, the single-gauge standard deviation of the load at mid main span is 22.5 % for a 200 m record under the assumptions of Section 5.3 (</w:t>
      </w:r>
      <m:oMath>
        <m:r>
          <m:t>ρ</m:t>
        </m:r>
      </m:oMath>
      <w:r>
        <w:t xml:space="preserve"> </w:t>
      </w:r>
      <w:r>
        <w:t xml:space="preserve">= 0.9, calibration A), against 24.8 % for the 220 m record.</w:t>
      </w:r>
    </w:p>
    <w:p>
      <w:pPr>
        <w:pStyle w:val="Figure"/>
      </w:pPr>
      <w:r>
        <w:drawing>
          <wp:inline>
            <wp:extent cx="5039999" cy="2308826"/>
            <wp:effectExtent b="0" l="0" r="0" t="0"/>
            <wp:docPr descr="" title="" id="33" name="Picture"/>
            <a:graphic>
              <a:graphicData uri="http://schemas.openxmlformats.org/drawingml/2006/picture">
                <pic:pic>
                  <pic:nvPicPr>
                    <pic:cNvPr descr="/home/user/SHM-Paper1-1D/manuscript/ase/figures/supplementary/FigS4_multichannel_gain.png" id="34" name="Picture"/>
                    <pic:cNvPicPr>
                      <a:picLocks noChangeArrowheads="1" noChangeAspect="1"/>
                    </pic:cNvPicPr>
                  </pic:nvPicPr>
                  <pic:blipFill>
                    <a:blip r:embed="rId32"/>
                    <a:stretch>
                      <a:fillRect/>
                    </a:stretch>
                  </pic:blipFill>
                  <pic:spPr bwMode="auto">
                    <a:xfrm>
                      <a:off x="0" y="0"/>
                      <a:ext cx="5039999" cy="2308826"/>
                    </a:xfrm>
                    <a:prstGeom prst="rect">
                      <a:avLst/>
                    </a:prstGeom>
                    <a:noFill/>
                    <a:ln w="9525">
                      <a:noFill/>
                      <a:headEnd/>
                      <a:tailEnd/>
                    </a:ln>
                  </pic:spPr>
                </pic:pic>
              </a:graphicData>
            </a:graphic>
          </wp:inline>
        </w:drawing>
      </w:r>
    </w:p>
    <w:p>
      <w:pPr>
        <w:pStyle w:val="Captionjustified"/>
      </w:pPr>
      <w:r>
        <w:rPr>
          <w:bCs/>
          <w:b/>
        </w:rPr>
        <w:t xml:space="preserve">Figure S4.</w:t>
      </w:r>
      <w:r>
        <w:t xml:space="preserve"> </w:t>
      </w:r>
      <w:r>
        <w:t xml:space="preserve">Multi-channel estimation under the assumed noise model: (a) variance with two or three optimally placed sensors relative to the best single sensor, against the common-mode fraction</w:t>
      </w:r>
      <w:r>
        <w:t xml:space="preserve"> </w:t>
      </w:r>
      <m:oMath>
        <m:r>
          <m:t>ρ</m:t>
        </m:r>
      </m:oMath>
      <w:r>
        <w:t xml:space="preserve"> </w:t>
      </w:r>
      <w:r>
        <w:t xml:space="preserve">of the offset; (b) standard deviation of the load against the offset level for single sensors and three-sensor designs; (c) zero-sum pair at</w:t>
      </w:r>
      <w:r>
        <w:t xml:space="preserve"> </w:t>
      </w:r>
      <m:oMath>
        <m:r>
          <m:t>ρ</m:t>
        </m:r>
        <m:r>
          <m:rPr>
            <m:sty m:val="p"/>
          </m:rPr>
          <m:t>=</m:t>
        </m:r>
        <m:r>
          <m:t>1</m:t>
        </m:r>
      </m:oMath>
      <w:r>
        <w:t xml:space="preserve"> </w:t>
      </w:r>
      <w:r>
        <w:t xml:space="preserve">against the white-noise level. 2S-eq: equal two-span beam; 3S-b2.0: three-span beam with</w:t>
      </w:r>
      <w:r>
        <w:t xml:space="preserve"> </w:t>
      </w:r>
      <m:oMath>
        <m:r>
          <m:t>β</m:t>
        </m:r>
        <m:r>
          <m:rPr>
            <m:sty m:val="p"/>
          </m:rPr>
          <m:t>=</m:t>
        </m:r>
        <m:r>
          <m:t>2</m:t>
        </m:r>
      </m:oMath>
      <w:r>
        <w:t xml:space="preserve">; CM-A, CM-B: Cầu Mây calibrations A and B.</w:t>
      </w:r>
    </w:p>
    <w:p>
      <w:pPr>
        <w:pStyle w:val="Figure"/>
      </w:pPr>
      <w:r>
        <w:drawing>
          <wp:inline>
            <wp:extent cx="5039999" cy="2735276"/>
            <wp:effectExtent b="0" l="0" r="0" t="0"/>
            <wp:docPr descr="" title="" id="36" name="Picture"/>
            <a:graphic>
              <a:graphicData uri="http://schemas.openxmlformats.org/drawingml/2006/picture">
                <pic:pic>
                  <pic:nvPicPr>
                    <pic:cNvPr descr="/home/user/SHM-Paper1-1D/manuscript/ase/figures/supplementary/FigS5_Cx_extremes.png" id="37" name="Picture"/>
                    <pic:cNvPicPr>
                      <a:picLocks noChangeArrowheads="1" noChangeAspect="1"/>
                    </pic:cNvPicPr>
                  </pic:nvPicPr>
                  <pic:blipFill>
                    <a:blip r:embed="rId35"/>
                    <a:stretch>
                      <a:fillRect/>
                    </a:stretch>
                  </pic:blipFill>
                  <pic:spPr bwMode="auto">
                    <a:xfrm>
                      <a:off x="0" y="0"/>
                      <a:ext cx="5039999" cy="2735276"/>
                    </a:xfrm>
                    <a:prstGeom prst="rect">
                      <a:avLst/>
                    </a:prstGeom>
                    <a:noFill/>
                    <a:ln w="9525">
                      <a:noFill/>
                      <a:headEnd/>
                      <a:tailEnd/>
                    </a:ln>
                  </pic:spPr>
                </pic:pic>
              </a:graphicData>
            </a:graphic>
          </wp:inline>
        </w:drawing>
      </w:r>
    </w:p>
    <w:p>
      <w:pPr>
        <w:pStyle w:val="Captionjustified"/>
      </w:pPr>
      <w:r>
        <w:rPr>
          <w:bCs/>
          <w:b/>
        </w:rPr>
        <w:t xml:space="preserve">Figure S5.</w:t>
      </w:r>
      <w:r>
        <w:t xml:space="preserve"> </w:t>
      </w:r>
      <w:r>
        <w:t xml:space="preserve">Uniform-load response</w:t>
      </w:r>
      <w:r>
        <w:t xml:space="preserve"> </w:t>
      </w:r>
      <m:oMath>
        <m:r>
          <m:t>C</m:t>
        </m:r>
        <m:d>
          <m:dPr>
            <m:begChr m:val="("/>
            <m:endChr m:val=")"/>
            <m:sepChr m:val=""/>
            <m:grow/>
          </m:dPr>
          <m:e>
            <m:r>
              <m:t>x</m:t>
            </m:r>
          </m:e>
        </m:d>
      </m:oMath>
      <w:r>
        <w:t xml:space="preserve"> </w:t>
      </w:r>
      <w:r>
        <w:t xml:space="preserve">along six girders (two-span, three-span and the Cầu Mây girder under calibrations A and B), with the maximum and minimum selected by the placement rule.</w:t>
      </w:r>
    </w:p>
    <w:p>
      <w:pPr>
        <w:pStyle w:val="Figure"/>
      </w:pPr>
      <w:r>
        <w:drawing>
          <wp:inline>
            <wp:extent cx="5039999" cy="1658220"/>
            <wp:effectExtent b="0" l="0" r="0" t="0"/>
            <wp:docPr descr="" title="" id="39" name="Picture"/>
            <a:graphic>
              <a:graphicData uri="http://schemas.openxmlformats.org/drawingml/2006/picture">
                <pic:pic>
                  <pic:nvPicPr>
                    <pic:cNvPr descr="/home/user/SHM-Paper1-1D/manuscript/ase/figures/supplementary/FigS6_multichannel_montecarlo.png" id="40" name="Picture"/>
                    <pic:cNvPicPr>
                      <a:picLocks noChangeArrowheads="1" noChangeAspect="1"/>
                    </pic:cNvPicPr>
                  </pic:nvPicPr>
                  <pic:blipFill>
                    <a:blip r:embed="rId38"/>
                    <a:stretch>
                      <a:fillRect/>
                    </a:stretch>
                  </pic:blipFill>
                  <pic:spPr bwMode="auto">
                    <a:xfrm>
                      <a:off x="0" y="0"/>
                      <a:ext cx="5039999" cy="1658220"/>
                    </a:xfrm>
                    <a:prstGeom prst="rect">
                      <a:avLst/>
                    </a:prstGeom>
                    <a:noFill/>
                    <a:ln w="9525">
                      <a:noFill/>
                      <a:headEnd/>
                      <a:tailEnd/>
                    </a:ln>
                  </pic:spPr>
                </pic:pic>
              </a:graphicData>
            </a:graphic>
          </wp:inline>
        </w:drawing>
      </w:r>
    </w:p>
    <w:p>
      <w:pPr>
        <w:pStyle w:val="Captionjustified"/>
      </w:pPr>
      <w:r>
        <w:rPr>
          <w:bCs/>
          <w:b/>
        </w:rPr>
        <w:t xml:space="preserve">Figure S6.</w:t>
      </w:r>
      <w:r>
        <w:t xml:space="preserve"> </w:t>
      </w:r>
      <w:r>
        <w:t xml:space="preserve">Monte Carlo verification: distribution of the load error for a single gauge, GLS and the zero-sum estimator with three gauges, (a) on a 30 + 60 + 30 m beam and (b) on the Cầu Mây girder (calibration A), and (c) scatter against the number of axles relative to theory.</w:t>
      </w:r>
    </w:p>
    <w:bookmarkEnd w:id="41"/>
    <w:bookmarkStart w:id="45" w:name="X2a05199bd1353927c5806c367a7e13ecd408e3f"/>
    <w:p>
      <w:pPr>
        <w:pStyle w:val="Heading2"/>
      </w:pPr>
      <w:r>
        <w:t xml:space="preserve">S5. Identifiability, sensitivities and Möbius law</w:t>
      </w:r>
    </w:p>
    <w:p>
      <w:pPr>
        <w:pStyle w:val="FirstParagraph"/>
      </w:pPr>
      <w:r>
        <w:t xml:space="preserve">Let</w:t>
      </w:r>
      <w:r>
        <w:t xml:space="preserve"> </w:t>
      </w:r>
      <m:oMath>
        <m:r>
          <m:t>G</m:t>
        </m:r>
        <m:r>
          <m:rPr>
            <m:sty m:val="p"/>
          </m:rPr>
          <m:t>=</m:t>
        </m:r>
        <m:sSup>
          <m:e>
            <m:r>
              <m:t>K</m:t>
            </m:r>
          </m:e>
          <m:sup>
            <m:r>
              <m:rPr>
                <m:sty m:val="p"/>
              </m:rPr>
              <m:t>−</m:t>
            </m:r>
            <m:r>
              <m:t>1</m:t>
            </m:r>
          </m:sup>
        </m:sSup>
      </m:oMath>
      <w:r>
        <w:t xml:space="preserve"> </w:t>
      </w:r>
      <w:r>
        <w:t xml:space="preserve">with</w:t>
      </w:r>
      <w:r>
        <w:t xml:space="preserve"> </w:t>
      </w:r>
      <m:oMath>
        <m:r>
          <m:t>K</m:t>
        </m:r>
        <m:r>
          <m:rPr>
            <m:sty m:val="p"/>
          </m:rPr>
          <m:t>=</m:t>
        </m:r>
        <m:r>
          <m:t>α</m:t>
        </m:r>
        <m:sSub>
          <m:e>
            <m:r>
              <m:t>K</m:t>
            </m:r>
          </m:e>
          <m:sub>
            <m:r>
              <m:t>g</m:t>
            </m:r>
          </m:sub>
        </m:sSub>
        <m:r>
          <m:rPr>
            <m:sty m:val="p"/>
          </m:rPr>
          <m:t>+</m:t>
        </m:r>
        <m:r>
          <m:t>k</m:t>
        </m:r>
        <m:sSub>
          <m:e>
            <m:r>
              <m:t>K</m:t>
            </m:r>
          </m:e>
          <m:sub>
            <m:r>
              <m:t>p</m:t>
            </m:r>
          </m:sub>
        </m:sSub>
      </m:oMath>
      <w:r>
        <w:t xml:space="preserve">, where</w:t>
      </w:r>
      <w:r>
        <w:t xml:space="preserve"> </w:t>
      </w:r>
      <m:oMath>
        <m:sSub>
          <m:e>
            <m:r>
              <m:t>K</m:t>
            </m:r>
          </m:e>
          <m:sub>
            <m:r>
              <m:t>p</m:t>
            </m:r>
          </m:sub>
        </m:sSub>
      </m:oMath>
      <w:r>
        <w:t xml:space="preserve"> </w:t>
      </w:r>
      <w:r>
        <w:t xml:space="preserve">has a unit entry on each inner-pier rotational degree of freedom, and</w:t>
      </w:r>
      <w:r>
        <w:t xml:space="preserve"> </w:t>
      </w:r>
      <m:oMath>
        <m:sSub>
          <m:e>
            <m:r>
              <m:t>C</m:t>
            </m:r>
          </m:e>
          <m:sub>
            <m:r>
              <m:t>m</m:t>
            </m:r>
          </m:sub>
        </m:sSub>
        <m:r>
          <m:rPr>
            <m:sty m:val="p"/>
          </m:rPr>
          <m:t>=</m:t>
        </m:r>
        <m:sSubSup>
          <m:e>
            <m:r>
              <m:t>e</m:t>
            </m:r>
          </m:e>
          <m:sub>
            <m:r>
              <m:t>m</m:t>
            </m:r>
          </m:sub>
          <m:sup>
            <m:r>
              <m:rPr>
                <m:sty m:val="p"/>
              </m:rPr>
              <m:t>⊤</m:t>
            </m:r>
          </m:sup>
        </m:sSubSup>
        <m:r>
          <m:t>G</m:t>
        </m:r>
        <m:r>
          <m:t>q</m:t>
        </m:r>
      </m:oMath>
      <w:r>
        <w:t xml:space="preserve"> </w:t>
      </w:r>
      <w:r>
        <w:t xml:space="preserve">with</w:t>
      </w:r>
      <w:r>
        <w:t xml:space="preserve"> </w:t>
      </w:r>
      <m:oMath>
        <m:r>
          <m:t>q</m:t>
        </m:r>
      </m:oMath>
      <w:r>
        <w:t xml:space="preserve"> </w:t>
      </w:r>
      <w:r>
        <w:t xml:space="preserve">the consistent uniform load. Then</w:t>
      </w:r>
      <w:r>
        <w:t xml:space="preserve"> </w:t>
      </w:r>
      <m:oMath>
        <m:r>
          <m:rPr>
            <m:sty m:val="p"/>
          </m:rPr>
          <m:t>d</m:t>
        </m:r>
        <m:sSub>
          <m:e>
            <m:r>
              <m:t>C</m:t>
            </m:r>
          </m:e>
          <m:sub>
            <m:r>
              <m:t>m</m:t>
            </m:r>
          </m:sub>
        </m:sSub>
        <m:r>
          <m:rPr>
            <m:sty m:val="p"/>
          </m:rPr>
          <m:t>/</m:t>
        </m:r>
        <m:r>
          <m:rPr>
            <m:sty m:val="p"/>
          </m:rPr>
          <m:t>d</m:t>
        </m:r>
        <m:r>
          <m:t>k</m:t>
        </m:r>
        <m:r>
          <m:rPr>
            <m:sty m:val="p"/>
          </m:rPr>
          <m:t>=</m:t>
        </m:r>
        <m:r>
          <m:rPr>
            <m:sty m:val="p"/>
          </m:rPr>
          <m:t>−</m:t>
        </m:r>
        <m:nary>
          <m:naryPr>
            <m:chr m:val="∑"/>
            <m:limLoc m:val="undOvr"/>
            <m:subHide m:val="off"/>
            <m:supHide m:val="on"/>
          </m:naryPr>
          <m:sub>
            <m:r>
              <m:t>i</m:t>
            </m:r>
          </m:sub>
          <m:sup>
            <m:r>
              <m:t>​</m:t>
            </m:r>
          </m:sup>
          <m:e>
            <m:sSub>
              <m:e>
                <m:r>
                  <m:t>θ</m:t>
                </m:r>
              </m:e>
              <m:sub>
                <m:r>
                  <m:t>m</m:t>
                </m:r>
                <m:r>
                  <m:rPr>
                    <m:sty m:val="p"/>
                  </m:rPr>
                  <m:t>,</m:t>
                </m:r>
                <m:r>
                  <m:t>i</m:t>
                </m:r>
              </m:sub>
            </m:sSub>
          </m:e>
        </m:nary>
        <m:sSub>
          <m:e>
            <m:r>
              <m:t>θ</m:t>
            </m:r>
          </m:e>
          <m:sub>
            <m:r>
              <m:t>q</m:t>
            </m:r>
            <m:r>
              <m:rPr>
                <m:sty m:val="p"/>
              </m:rPr>
              <m:t>,</m:t>
            </m:r>
            <m:r>
              <m:t>i</m:t>
            </m:r>
          </m:sub>
        </m:sSub>
      </m:oMath>
      <w:r>
        <w:t xml:space="preserve">, where</w:t>
      </w:r>
      <w:r>
        <w:t xml:space="preserve"> </w:t>
      </w:r>
      <m:oMath>
        <m:sSub>
          <m:e>
            <m:r>
              <m:t>θ</m:t>
            </m:r>
          </m:e>
          <m:sub>
            <m:r>
              <m:t>m</m:t>
            </m:r>
            <m:r>
              <m:rPr>
                <m:sty m:val="p"/>
              </m:rPr>
              <m:t>,</m:t>
            </m:r>
            <m:r>
              <m:t>i</m:t>
            </m:r>
          </m:sub>
        </m:sSub>
      </m:oMath>
      <w:r>
        <w:t xml:space="preserve"> </w:t>
      </w:r>
      <w:r>
        <w:t xml:space="preserve">and</w:t>
      </w:r>
      <w:r>
        <w:t xml:space="preserve"> </w:t>
      </w:r>
      <m:oMath>
        <m:sSub>
          <m:e>
            <m:r>
              <m:t>θ</m:t>
            </m:r>
          </m:e>
          <m:sub>
            <m:r>
              <m:t>q</m:t>
            </m:r>
            <m:r>
              <m:rPr>
                <m:sty m:val="p"/>
              </m:rPr>
              <m:t>,</m:t>
            </m:r>
            <m:r>
              <m:t>i</m:t>
            </m:r>
          </m:sub>
        </m:sSub>
      </m:oMath>
      <w:r>
        <w:t xml:space="preserve"> </w:t>
      </w:r>
      <w:r>
        <w:t xml:space="preserve">are the pier rotations under a unit load at the gauge and under the uniform load. The logarithmic sensitivities</w:t>
      </w:r>
      <w:r>
        <w:t xml:space="preserve"> </w:t>
      </w:r>
      <m:oMath>
        <m:sSub>
          <m:e>
            <m:r>
              <m:t>S</m:t>
            </m:r>
          </m:e>
          <m:sub>
            <m:r>
              <m:t>α</m:t>
            </m:r>
          </m:sub>
        </m:sSub>
        <m:r>
          <m:rPr>
            <m:sty m:val="p"/>
          </m:rPr>
          <m:t>=</m:t>
        </m:r>
        <m:r>
          <m:rPr>
            <m:sty m:val="p"/>
          </m:rPr>
          <m:t>∂</m:t>
        </m:r>
        <m:r>
          <m:rPr>
            <m:sty m:val="p"/>
          </m:rPr>
          <m:t>ln</m:t>
        </m:r>
        <m:sSub>
          <m:e>
            <m:r>
              <m:t>C</m:t>
            </m:r>
          </m:e>
          <m:sub>
            <m:r>
              <m:t>m</m:t>
            </m:r>
          </m:sub>
        </m:sSub>
        <m:r>
          <m:rPr>
            <m:sty m:val="p"/>
          </m:rPr>
          <m:t>/</m:t>
        </m:r>
        <m:r>
          <m:rPr>
            <m:sty m:val="p"/>
          </m:rPr>
          <m:t>∂</m:t>
        </m:r>
        <m:r>
          <m:rPr>
            <m:sty m:val="p"/>
          </m:rPr>
          <m:t>ln</m:t>
        </m:r>
        <m:r>
          <m:t>α</m:t>
        </m:r>
      </m:oMath>
      <w:r>
        <w:t xml:space="preserve"> </w:t>
      </w:r>
      <w:r>
        <w:t xml:space="preserve">and</w:t>
      </w:r>
      <w:r>
        <w:t xml:space="preserve"> </w:t>
      </w:r>
      <m:oMath>
        <m:sSub>
          <m:e>
            <m:r>
              <m:t>S</m:t>
            </m:r>
          </m:e>
          <m:sub>
            <m:r>
              <m:t>k</m:t>
            </m:r>
          </m:sub>
        </m:sSub>
        <m:r>
          <m:rPr>
            <m:sty m:val="p"/>
          </m:rPr>
          <m:t>=</m:t>
        </m:r>
        <m:r>
          <m:rPr>
            <m:sty m:val="p"/>
          </m:rPr>
          <m:t>∂</m:t>
        </m:r>
        <m:r>
          <m:rPr>
            <m:sty m:val="p"/>
          </m:rPr>
          <m:t>ln</m:t>
        </m:r>
        <m:sSub>
          <m:e>
            <m:r>
              <m:t>C</m:t>
            </m:r>
          </m:e>
          <m:sub>
            <m:r>
              <m:t>m</m:t>
            </m:r>
          </m:sub>
        </m:sSub>
        <m:r>
          <m:rPr>
            <m:sty m:val="p"/>
          </m:rPr>
          <m:t>/</m:t>
        </m:r>
        <m:r>
          <m:rPr>
            <m:sty m:val="p"/>
          </m:rPr>
          <m:t>∂</m:t>
        </m:r>
        <m:r>
          <m:rPr>
            <m:sty m:val="p"/>
          </m:rPr>
          <m:t>ln</m:t>
        </m:r>
        <m:r>
          <m:t>k</m:t>
        </m:r>
      </m:oMath>
      <w:r>
        <w:t xml:space="preserve"> </w:t>
      </w:r>
      <w:r>
        <w:t xml:space="preserve">satisfy</w:t>
      </w:r>
      <w:r>
        <w:t xml:space="preserve"> </w:t>
      </w:r>
      <m:oMath>
        <m:sSub>
          <m:e>
            <m:r>
              <m:t>S</m:t>
            </m:r>
          </m:e>
          <m:sub>
            <m:r>
              <m:t>α</m:t>
            </m:r>
          </m:sub>
        </m:sSub>
        <m:r>
          <m:rPr>
            <m:sty m:val="p"/>
          </m:rPr>
          <m:t>+</m:t>
        </m:r>
        <m:sSub>
          <m:e>
            <m:r>
              <m:t>S</m:t>
            </m:r>
          </m:e>
          <m:sub>
            <m:r>
              <m:t>k</m:t>
            </m:r>
          </m:sub>
        </m:sSub>
        <m:r>
          <m:rPr>
            <m:sty m:val="p"/>
          </m:rPr>
          <m:t>=</m:t>
        </m:r>
        <m:r>
          <m:rPr>
            <m:sty m:val="p"/>
          </m:rPr>
          <m:t>−</m:t>
        </m:r>
        <m:r>
          <m:t>1</m:t>
        </m:r>
      </m:oMath>
      <w:r>
        <w:t xml:space="preserve"> </w:t>
      </w:r>
      <w:r>
        <w:t xml:space="preserve">by Euler’s theorem, because</w:t>
      </w:r>
      <w:r>
        <w:t xml:space="preserve"> </w:t>
      </w:r>
      <m:oMath>
        <m:sSub>
          <m:e>
            <m:r>
              <m:t>C</m:t>
            </m:r>
          </m:e>
          <m:sub>
            <m:r>
              <m:t>m</m:t>
            </m:r>
          </m:sub>
        </m:sSub>
      </m:oMath>
      <w:r>
        <w:t xml:space="preserve"> </w:t>
      </w:r>
      <w:r>
        <w:t xml:space="preserve">is homogeneous of degree −1 in</w:t>
      </w:r>
      <w:r>
        <w:t xml:space="preserve"> </w:t>
      </w:r>
      <m:oMath>
        <m:d>
          <m:dPr>
            <m:begChr m:val="("/>
            <m:endChr m:val=")"/>
            <m:sepChr m:val=""/>
            <m:grow/>
          </m:dPr>
          <m:e>
            <m:r>
              <m:t>α</m:t>
            </m:r>
            <m:r>
              <m:rPr>
                <m:sty m:val="p"/>
              </m:rPr>
              <m:t>,</m:t>
            </m:r>
            <m:r>
              <m:t>k</m:t>
            </m:r>
          </m:e>
        </m:d>
      </m:oMath>
      <w:r>
        <w:t xml:space="preserve">. Mirror symmetry decouples the symmetric and antisymmetric pier-rotation patterns, the uniform load excites only the antisymmetric one, and the Sherman–Morrison formula gives the linear-fractional (Möbius) law of Eq. (15) with</w:t>
      </w:r>
      <w:r>
        <w:t xml:space="preserve"> </w:t>
      </w:r>
      <m:oMath>
        <m:r>
          <m:t>1</m:t>
        </m:r>
        <m:r>
          <m:rPr>
            <m:sty m:val="p"/>
          </m:rPr>
          <m:t>/</m:t>
        </m:r>
        <m:sSub>
          <m:e>
            <m:r>
              <m:t>k</m:t>
            </m:r>
          </m:e>
          <m:sub>
            <m:r>
              <m:t>g</m:t>
            </m:r>
          </m:sub>
        </m:sSub>
      </m:oMath>
      <w:r>
        <w:t xml:space="preserve"> </w:t>
      </w:r>
      <w:r>
        <w:t xml:space="preserve">the antisymmetric pier flexibility of the girder at</w:t>
      </w:r>
      <w:r>
        <w:t xml:space="preserve"> </w:t>
      </w:r>
      <m:oMath>
        <m:r>
          <m:t>k</m:t>
        </m:r>
        <m:r>
          <m:rPr>
            <m:sty m:val="p"/>
          </m:rPr>
          <m:t>=</m:t>
        </m:r>
        <m:r>
          <m:t>0</m:t>
        </m:r>
      </m:oMath>
      <w:r>
        <w:t xml:space="preserve">. For the Cầu Mây model the law holds to a relative error of 5 × 10⁻⁶ over</w:t>
      </w:r>
      <w:r>
        <w:t xml:space="preserve"> </w:t>
      </w:r>
      <m:oMath>
        <m:r>
          <m:t>k</m:t>
        </m:r>
        <m:r>
          <m:rPr>
            <m:sty m:val="p"/>
          </m:rPr>
          <m:t>=</m:t>
        </m:r>
        <m:sSup>
          <m:e>
            <m:r>
              <m:t>10</m:t>
            </m:r>
          </m:e>
          <m:sup>
            <m:r>
              <m:t>5</m:t>
            </m:r>
          </m:sup>
        </m:sSup>
      </m:oMath>
      <w:r>
        <w:t xml:space="preserve">–</w:t>
      </w:r>
      <m:oMath>
        <m:sSup>
          <m:e>
            <m:r>
              <m:t>10</m:t>
            </m:r>
          </m:e>
          <m:sup>
            <m:r>
              <m:t>12</m:t>
            </m:r>
          </m:sup>
        </m:sSup>
      </m:oMath>
      <w:r>
        <w:t xml:space="preserve"> </w:t>
      </w:r>
      <w:r>
        <w:t xml:space="preserve">kN m/rad, and Eq. (16) agrees with FE to 4.4 × 10⁻⁷ (Fig. S7).</w:t>
      </w:r>
    </w:p>
    <w:p>
      <w:pPr>
        <w:pStyle w:val="Figure"/>
      </w:pPr>
      <w:r>
        <w:drawing>
          <wp:inline>
            <wp:extent cx="5039999" cy="2029999"/>
            <wp:effectExtent b="0" l="0" r="0" t="0"/>
            <wp:docPr descr="" title="" id="43" name="Picture"/>
            <a:graphic>
              <a:graphicData uri="http://schemas.openxmlformats.org/drawingml/2006/picture">
                <pic:pic>
                  <pic:nvPicPr>
                    <pic:cNvPr descr="/home/user/SHM-Paper1-1D/manuscript/ase/figures/supplementary/FigS7_mobius_closedform.png" id="44" name="Picture"/>
                    <pic:cNvPicPr>
                      <a:picLocks noChangeArrowheads="1" noChangeAspect="1"/>
                    </pic:cNvPicPr>
                  </pic:nvPicPr>
                  <pic:blipFill>
                    <a:blip r:embed="rId42"/>
                    <a:stretch>
                      <a:fillRect/>
                    </a:stretch>
                  </pic:blipFill>
                  <pic:spPr bwMode="auto">
                    <a:xfrm>
                      <a:off x="0" y="0"/>
                      <a:ext cx="5039999" cy="2029999"/>
                    </a:xfrm>
                    <a:prstGeom prst="rect">
                      <a:avLst/>
                    </a:prstGeom>
                    <a:noFill/>
                    <a:ln w="9525">
                      <a:noFill/>
                      <a:headEnd/>
                      <a:tailEnd/>
                    </a:ln>
                  </pic:spPr>
                </pic:pic>
              </a:graphicData>
            </a:graphic>
          </wp:inline>
        </w:drawing>
      </w:r>
    </w:p>
    <w:p>
      <w:pPr>
        <w:pStyle w:val="Captionjustified"/>
      </w:pPr>
      <w:r>
        <w:rPr>
          <w:bCs/>
          <w:b/>
        </w:rPr>
        <w:t xml:space="preserve">Figure S7.</w:t>
      </w:r>
      <w:r>
        <w:t xml:space="preserve"> </w:t>
      </w:r>
      <w:r>
        <w:t xml:space="preserve">Cầu Mây proportions, prismatic beam: (a) deflection indicators of the side-span and main-span gauges against the relative pier stiffness</w:t>
      </w:r>
      <w:r>
        <w:t xml:space="preserve"> </w:t>
      </w:r>
      <m:oMath>
        <m:acc>
          <m:accPr>
            <m:chr m:val="̂"/>
          </m:accPr>
          <m:e>
            <m:r>
              <m:t>k</m:t>
            </m:r>
          </m:e>
        </m:acc>
      </m:oMath>
      <w:r>
        <w:t xml:space="preserve">, closed form against FE; (b) boundary sensitivity</w:t>
      </w:r>
      <w:r>
        <w:t xml:space="preserve"> </w:t>
      </w:r>
      <m:oMath>
        <m:sSub>
          <m:e>
            <m:r>
              <m:t>B</m:t>
            </m:r>
          </m:e>
          <m:sub>
            <m:r>
              <m:t>m</m:t>
            </m:r>
          </m:sub>
        </m:sSub>
      </m:oMath>
      <w:r>
        <w:t xml:space="preserve">.</w:t>
      </w:r>
    </w:p>
    <w:p>
      <w:pPr>
        <w:pStyle w:val="BodyText"/>
      </w:pPr>
      <w:r>
        <w:t xml:space="preserve">Because every static response has the form</w:t>
      </w:r>
      <w:r>
        <w:t xml:space="preserve"> </w:t>
      </w:r>
      <m:oMath>
        <m:r>
          <m:t>f</m:t>
        </m:r>
        <m:d>
          <m:dPr>
            <m:begChr m:val="("/>
            <m:endChr m:val=")"/>
            <m:sepChr m:val=""/>
            <m:grow/>
          </m:dPr>
          <m:e>
            <m:r>
              <m:t>κ</m:t>
            </m:r>
          </m:e>
        </m:d>
        <m:r>
          <m:rPr>
            <m:sty m:val="p"/>
          </m:rPr>
          <m:t>/</m:t>
        </m:r>
        <m:r>
          <m:t>α</m:t>
        </m:r>
      </m:oMath>
      <w:r>
        <w:t xml:space="preserve">, the ratio of two static readings carries all the information about</w:t>
      </w:r>
      <w:r>
        <w:t xml:space="preserve"> </w:t>
      </w:r>
      <m:oMath>
        <m:r>
          <m:t>κ</m:t>
        </m:r>
      </m:oMath>
      <w:r>
        <w:t xml:space="preserve">; once</w:t>
      </w:r>
      <w:r>
        <w:t xml:space="preserve"> </w:t>
      </w:r>
      <m:oMath>
        <m:r>
          <m:t>κ</m:t>
        </m:r>
      </m:oMath>
      <w:r>
        <w:t xml:space="preserve"> </w:t>
      </w:r>
      <w:r>
        <w:t xml:space="preserve">is chosen, either reading gives</w:t>
      </w:r>
      <w:r>
        <w:t xml:space="preserve"> </w:t>
      </w:r>
      <m:oMath>
        <m:r>
          <m:t>α</m:t>
        </m:r>
      </m:oMath>
      <w:r>
        <w:t xml:space="preserve">. With two static readings the Fisher matrix has a determinant proportional to</w:t>
      </w:r>
      <w:r>
        <w:t xml:space="preserve"> </w:t>
      </w:r>
      <m:oMath>
        <m:sSup>
          <m:e>
            <m:d>
              <m:dPr>
                <m:begChr m:val="("/>
                <m:endChr m:val=")"/>
                <m:sepChr m:val=""/>
                <m:grow/>
              </m:dPr>
              <m:e>
                <m:sSub>
                  <m:e>
                    <m:r>
                      <m:t>S</m:t>
                    </m:r>
                  </m:e>
                  <m:sub>
                    <m:r>
                      <m:t>y</m:t>
                    </m:r>
                    <m:r>
                      <m:t>8</m:t>
                    </m:r>
                  </m:sub>
                </m:sSub>
                <m:r>
                  <m:rPr>
                    <m:sty m:val="p"/>
                  </m:rPr>
                  <m:t>−</m:t>
                </m:r>
                <m:sSub>
                  <m:e>
                    <m:r>
                      <m:t>S</m:t>
                    </m:r>
                  </m:e>
                  <m:sub>
                    <m:r>
                      <m:t>y</m:t>
                    </m:r>
                    <m:r>
                      <m:t>7</m:t>
                    </m:r>
                  </m:sub>
                </m:sSub>
              </m:e>
            </m:d>
          </m:e>
          <m:sup>
            <m:r>
              <m:t>2</m:t>
            </m:r>
          </m:sup>
        </m:sSup>
      </m:oMath>
      <w:r>
        <w:t xml:space="preserve">, where</w:t>
      </w:r>
      <w:r>
        <w:t xml:space="preserve"> </w:t>
      </w:r>
      <m:oMath>
        <m:sSub>
          <m:e>
            <m:r>
              <m:t>S</m:t>
            </m:r>
          </m:e>
          <m:sub>
            <m:r>
              <m:t>y</m:t>
            </m:r>
            <m:r>
              <m:t>8</m:t>
            </m:r>
          </m:sub>
        </m:sSub>
      </m:oMath>
      <w:r>
        <w:t xml:space="preserve"> </w:t>
      </w:r>
      <w:r>
        <w:t xml:space="preserve">and</w:t>
      </w:r>
      <w:r>
        <w:t xml:space="preserve"> </w:t>
      </w:r>
      <m:oMath>
        <m:sSub>
          <m:e>
            <m:r>
              <m:t>S</m:t>
            </m:r>
          </m:e>
          <m:sub>
            <m:r>
              <m:t>y</m:t>
            </m:r>
            <m:r>
              <m:t>7</m:t>
            </m:r>
          </m:sub>
        </m:sSub>
      </m:oMath>
      <w:r>
        <w:t xml:space="preserve"> </w:t>
      </w:r>
      <w:r>
        <w:t xml:space="preserve">are the logarithmic sensitivities of the N8 and N7 readings to</w:t>
      </w:r>
      <w:r>
        <w:t xml:space="preserve"> </w:t>
      </w:r>
      <m:oMath>
        <m:r>
          <m:t>κ</m:t>
        </m:r>
      </m:oMath>
      <w:r>
        <w:t xml:space="preserve">; this determinant vanishes at the minimum of the misfit ratio, that is, at calibration B. A frequency adds a row with the mass as nuisance parameter; a pier rotation adds a row without a nuisance parameter. Unequal pier stiffnesses would bring in the symmetric pattern, which Eq. (15) does not cover.</w:t>
      </w:r>
    </w:p>
    <w:bookmarkEnd w:id="45"/>
    <w:bookmarkStart w:id="49" w:name="s6.-laboratory-test"/>
    <w:p>
      <w:pPr>
        <w:pStyle w:val="Heading2"/>
      </w:pPr>
      <w:r>
        <w:t xml:space="preserve">S6. Laboratory test</w:t>
      </w:r>
    </w:p>
    <w:p>
      <w:pPr>
        <w:pStyle w:val="FirstParagraph"/>
      </w:pPr>
      <w:r>
        <w:t xml:space="preserve">The specimen is a steel hollow square tube on three supports forming two equal spans of 2500 mm. Deflection at mid-span of the first span was measured with a linear variable differential transformer of 0.005 mm resolution. The measured single-load influence line of the beam is shown in Fig. S8. Table S3 compares the identified total loads with direct weighing, and Table S4 lists the mid-span deflection for all three load configurations; the order of the three-load group is the best-fitting order discussed in Section 3. On the 250 mm grid the trapezoidal rule underestimates the exact single-load integral by 0.500 %. It is used throughout, because Simpson’s rule loses its advantage when the kinks of trailing loads fall inside its panels.</w:t>
      </w:r>
    </w:p>
    <w:p>
      <w:pPr>
        <w:pStyle w:val="Figure"/>
      </w:pPr>
      <w:r>
        <w:drawing>
          <wp:inline>
            <wp:extent cx="5039999" cy="2519999"/>
            <wp:effectExtent b="0" l="0" r="0" t="0"/>
            <wp:docPr descr="" title="" id="47" name="Picture"/>
            <a:graphic>
              <a:graphicData uri="http://schemas.openxmlformats.org/drawingml/2006/picture">
                <pic:pic>
                  <pic:nvPicPr>
                    <pic:cNvPr descr="/home/user/SHM-Paper1-1D/manuscript/ase/figures/supplementary/FigS8_lab_influence_line.png" id="48" name="Picture"/>
                    <pic:cNvPicPr>
                      <a:picLocks noChangeArrowheads="1" noChangeAspect="1"/>
                    </pic:cNvPicPr>
                  </pic:nvPicPr>
                  <pic:blipFill>
                    <a:blip r:embed="rId46"/>
                    <a:stretch>
                      <a:fillRect/>
                    </a:stretch>
                  </pic:blipFill>
                  <pic:spPr bwMode="auto">
                    <a:xfrm>
                      <a:off x="0" y="0"/>
                      <a:ext cx="5039999" cy="2519999"/>
                    </a:xfrm>
                    <a:prstGeom prst="rect">
                      <a:avLst/>
                    </a:prstGeom>
                    <a:noFill/>
                    <a:ln w="9525">
                      <a:noFill/>
                      <a:headEnd/>
                      <a:tailEnd/>
                    </a:ln>
                  </pic:spPr>
                </pic:pic>
              </a:graphicData>
            </a:graphic>
          </wp:inline>
        </w:drawing>
      </w:r>
    </w:p>
    <w:p>
      <w:pPr>
        <w:pStyle w:val="Captionjustified"/>
      </w:pPr>
      <w:r>
        <w:rPr>
          <w:bCs/>
          <w:b/>
        </w:rPr>
        <w:t xml:space="preserve">Figure S8.</w:t>
      </w:r>
      <w:r>
        <w:t xml:space="preserve"> </w:t>
      </w:r>
      <w:r>
        <w:t xml:space="preserve">Laboratory two-span beam: measured and analytical influence line of the mid-span deflection of the first span for the single 40.64 N load (Table S4).</w:t>
      </w:r>
    </w:p>
    <w:p>
      <w:pPr>
        <w:pStyle w:val="BodyText"/>
        <w:keepNext/>
      </w:pPr>
      <w:r>
        <w:rPr>
          <w:bCs/>
          <w:b/>
        </w:rPr>
        <w:t xml:space="preserve">Table S3.</w:t>
      </w:r>
      <w:r>
        <w:t xml:space="preserve"> </w:t>
      </w:r>
      <w:r>
        <w:t xml:space="preserve">Identified total loads against direct weighing (trapezoidal rule). BPM:</w:t>
      </w:r>
      <w:r>
        <w:t xml:space="preserve"> </w:t>
      </w:r>
      <m:oMath>
        <m:r>
          <m:t>P</m:t>
        </m:r>
        <m:r>
          <m:rPr>
            <m:sty m:val="p"/>
          </m:rPr>
          <m:t>=</m:t>
        </m:r>
        <m:r>
          <m:t>J</m:t>
        </m:r>
        <m:r>
          <m:rPr>
            <m:sty m:val="p"/>
          </m:rPr>
          <m:t>/</m:t>
        </m:r>
        <m:sSub>
          <m:e>
            <m:r>
              <m:t>C</m:t>
            </m:r>
          </m:e>
          <m:sub>
            <m:r>
              <m:t>m</m:t>
            </m:r>
          </m:sub>
        </m:sSub>
      </m:oMath>
      <w:r>
        <w:t xml:space="preserve"> </w:t>
      </w:r>
      <w:r>
        <w:t xml:space="preserve">with the analytical constant; SLM:</w:t>
      </w:r>
      <w:r>
        <w:t xml:space="preserve"> </w:t>
      </w:r>
      <m:oMath>
        <m:sSub>
          <m:e>
            <m:r>
              <m:t>P</m:t>
            </m:r>
          </m:e>
          <m:sub>
            <m:r>
              <m:t>t</m:t>
            </m:r>
          </m:sub>
        </m:sSub>
        <m:r>
          <m:rPr>
            <m:sty m:val="p"/>
          </m:rPr>
          <m:t>=</m:t>
        </m:r>
        <m:sSub>
          <m:e>
            <m:r>
              <m:t>P</m:t>
            </m:r>
          </m:e>
          <m:sub>
            <m:r>
              <m:t>0</m:t>
            </m:r>
          </m:sub>
        </m:sSub>
        <m:sSub>
          <m:e>
            <m:r>
              <m:t>J</m:t>
            </m:r>
          </m:e>
          <m:sub>
            <m:r>
              <m:t>t</m:t>
            </m:r>
          </m:sub>
        </m:sSub>
        <m:r>
          <m:rPr>
            <m:sty m:val="p"/>
          </m:rPr>
          <m:t>/</m:t>
        </m:r>
        <m:sSub>
          <m:e>
            <m:r>
              <m:t>J</m:t>
            </m:r>
          </m:e>
          <m:sub>
            <m:r>
              <m:t>0</m:t>
            </m:r>
          </m:sub>
        </m:sSub>
      </m:oMath>
      <w:r>
        <w:t xml:space="preserve"> </w:t>
      </w:r>
      <w:r>
        <w:t xml:space="preserve">with the single-load record as reference.</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2229"/>
        <w:gridCol w:w="1306"/>
        <w:gridCol w:w="1152"/>
        <w:gridCol w:w="1614"/>
        <w:gridCol w:w="1152"/>
        <w:gridCol w:w="1614"/>
      </w:tblGrid>
      <w:tr>
        <w:trPr>
          <w:tblHeader w:val="true"/>
          <w:tblHeader w:val="true"/>
          <w:cantSplit/>
        </w:trPr>
        <w:tc>
          <w:tcPr>
            <w:tcW w:type="dxa" w:w="2229"/>
            <w:tcBorders>
              <w:top w:val="nil"/>
              <w:left w:val="nil"/>
              <w:bottom w:val="single" w:sz="6" w:space="0" w:color="000000"/>
              <w:right w:val="nil"/>
            </w:tcBorders>
          </w:tcPr>
          <w:p>
            <w:pPr>
              <w:pStyle w:val="Compact"/>
              <w:jc w:val="left"/>
            </w:pPr>
            <w:r>
              <w:t xml:space="preserve">Configuration</w:t>
            </w:r>
          </w:p>
        </w:tc>
        <w:tc>
          <w:tcPr>
            <w:tcW w:type="dxa" w:w="1306"/>
            <w:tcBorders>
              <w:top w:val="nil"/>
              <w:left w:val="nil"/>
              <w:bottom w:val="single" w:sz="6" w:space="0" w:color="000000"/>
              <w:right w:val="nil"/>
            </w:tcBorders>
          </w:tcPr>
          <w:p>
            <w:pPr>
              <w:pStyle w:val="Compact"/>
              <w:jc w:val="right"/>
            </w:pPr>
            <w:r>
              <w:t xml:space="preserve">Weighed (N)</w:t>
            </w:r>
          </w:p>
        </w:tc>
        <w:tc>
          <w:tcPr>
            <w:tcW w:type="dxa" w:w="1152"/>
            <w:tcBorders>
              <w:top w:val="nil"/>
              <w:left w:val="nil"/>
              <w:bottom w:val="single" w:sz="6" w:space="0" w:color="000000"/>
              <w:right w:val="nil"/>
            </w:tcBorders>
          </w:tcPr>
          <w:p>
            <w:pPr>
              <w:pStyle w:val="Compact"/>
              <w:jc w:val="right"/>
            </w:pPr>
            <w:r>
              <w:t xml:space="preserve">BPM (N)</w:t>
            </w:r>
          </w:p>
        </w:tc>
        <w:tc>
          <w:tcPr>
            <w:tcW w:type="dxa" w:w="1614"/>
            <w:tcBorders>
              <w:top w:val="nil"/>
              <w:left w:val="nil"/>
              <w:bottom w:val="single" w:sz="6" w:space="0" w:color="000000"/>
              <w:right w:val="nil"/>
            </w:tcBorders>
          </w:tcPr>
          <w:p>
            <w:pPr>
              <w:pStyle w:val="Compact"/>
              <w:jc w:val="right"/>
            </w:pPr>
            <w:r>
              <w:t xml:space="preserve">BPM deviation</w:t>
            </w:r>
          </w:p>
        </w:tc>
        <w:tc>
          <w:tcPr>
            <w:tcW w:type="dxa" w:w="1152"/>
            <w:tcBorders>
              <w:top w:val="nil"/>
              <w:left w:val="nil"/>
              <w:bottom w:val="single" w:sz="6" w:space="0" w:color="000000"/>
              <w:right w:val="nil"/>
            </w:tcBorders>
          </w:tcPr>
          <w:p>
            <w:pPr>
              <w:pStyle w:val="Compact"/>
              <w:jc w:val="right"/>
            </w:pPr>
            <w:r>
              <w:t xml:space="preserve">SLM (N)</w:t>
            </w:r>
          </w:p>
        </w:tc>
        <w:tc>
          <w:tcPr>
            <w:tcW w:type="dxa" w:w="1614"/>
            <w:tcBorders>
              <w:top w:val="nil"/>
              <w:left w:val="nil"/>
              <w:bottom w:val="single" w:sz="6" w:space="0" w:color="000000"/>
              <w:right w:val="nil"/>
            </w:tcBorders>
          </w:tcPr>
          <w:p>
            <w:pPr>
              <w:pStyle w:val="Compact"/>
              <w:jc w:val="right"/>
            </w:pPr>
            <w:r>
              <w:t xml:space="preserve">SLM deviation</w:t>
            </w:r>
          </w:p>
        </w:tc>
      </w:tr>
      <w:tr>
        <w:trPr>
          <w:cantSplit/>
        </w:trPr>
        <w:tc>
          <w:tcPr>
            <w:tcW w:type="dxa" w:w="2229"/>
          </w:tcPr>
          <w:p>
            <w:pPr>
              <w:pStyle w:val="Compact"/>
              <w:jc w:val="left"/>
            </w:pPr>
            <w:r>
              <w:t xml:space="preserve">Two loads</w:t>
            </w:r>
          </w:p>
        </w:tc>
        <w:tc>
          <w:tcPr>
            <w:tcW w:type="dxa" w:w="1306"/>
          </w:tcPr>
          <w:p>
            <w:pPr>
              <w:pStyle w:val="Compact"/>
              <w:jc w:val="right"/>
            </w:pPr>
            <w:r>
              <w:t xml:space="preserve">66.99</w:t>
            </w:r>
          </w:p>
        </w:tc>
        <w:tc>
          <w:tcPr>
            <w:tcW w:type="dxa" w:w="1152"/>
          </w:tcPr>
          <w:p>
            <w:pPr>
              <w:pStyle w:val="Compact"/>
              <w:jc w:val="right"/>
            </w:pPr>
            <w:r>
              <w:t xml:space="preserve">67.73</w:t>
            </w:r>
          </w:p>
        </w:tc>
        <w:tc>
          <w:tcPr>
            <w:tcW w:type="dxa" w:w="1614"/>
          </w:tcPr>
          <w:p>
            <w:pPr>
              <w:pStyle w:val="Compact"/>
              <w:jc w:val="right"/>
            </w:pPr>
            <w:r>
              <w:t xml:space="preserve">+1.10 %</w:t>
            </w:r>
          </w:p>
        </w:tc>
        <w:tc>
          <w:tcPr>
            <w:tcW w:type="dxa" w:w="1152"/>
          </w:tcPr>
          <w:p>
            <w:pPr>
              <w:pStyle w:val="Compact"/>
              <w:jc w:val="right"/>
            </w:pPr>
            <w:r>
              <w:t xml:space="preserve">67.40</w:t>
            </w:r>
          </w:p>
        </w:tc>
        <w:tc>
          <w:tcPr>
            <w:tcW w:type="dxa" w:w="1614"/>
          </w:tcPr>
          <w:p>
            <w:pPr>
              <w:pStyle w:val="Compact"/>
              <w:jc w:val="right"/>
            </w:pPr>
            <w:r>
              <w:t xml:space="preserve">+0.61 %</w:t>
            </w:r>
          </w:p>
        </w:tc>
      </w:tr>
      <w:tr>
        <w:trPr>
          <w:cantSplit/>
        </w:trPr>
        <w:tc>
          <w:tcPr>
            <w:tcW w:type="dxa" w:w="2229"/>
          </w:tcPr>
          <w:p>
            <w:pPr>
              <w:pStyle w:val="Compact"/>
              <w:jc w:val="left"/>
            </w:pPr>
            <w:r>
              <w:t xml:space="preserve">Three loads</w:t>
            </w:r>
          </w:p>
        </w:tc>
        <w:tc>
          <w:tcPr>
            <w:tcW w:type="dxa" w:w="1306"/>
          </w:tcPr>
          <w:p>
            <w:pPr>
              <w:pStyle w:val="Compact"/>
              <w:jc w:val="right"/>
            </w:pPr>
            <w:r>
              <w:t xml:space="preserve">125.08</w:t>
            </w:r>
          </w:p>
        </w:tc>
        <w:tc>
          <w:tcPr>
            <w:tcW w:type="dxa" w:w="1152"/>
          </w:tcPr>
          <w:p>
            <w:pPr>
              <w:pStyle w:val="Compact"/>
              <w:jc w:val="right"/>
            </w:pPr>
            <w:r>
              <w:t xml:space="preserve">126.57</w:t>
            </w:r>
          </w:p>
        </w:tc>
        <w:tc>
          <w:tcPr>
            <w:tcW w:type="dxa" w:w="1614"/>
          </w:tcPr>
          <w:p>
            <w:pPr>
              <w:pStyle w:val="Compact"/>
              <w:jc w:val="right"/>
            </w:pPr>
            <w:r>
              <w:t xml:space="preserve">+1.19 %</w:t>
            </w:r>
          </w:p>
        </w:tc>
        <w:tc>
          <w:tcPr>
            <w:tcW w:type="dxa" w:w="1152"/>
          </w:tcPr>
          <w:p>
            <w:pPr>
              <w:pStyle w:val="Compact"/>
              <w:jc w:val="right"/>
            </w:pPr>
            <w:r>
              <w:t xml:space="preserve">125.95</w:t>
            </w:r>
          </w:p>
        </w:tc>
        <w:tc>
          <w:tcPr>
            <w:tcW w:type="dxa" w:w="1614"/>
          </w:tcPr>
          <w:p>
            <w:pPr>
              <w:pStyle w:val="Compact"/>
              <w:jc w:val="right"/>
            </w:pPr>
            <w:r>
              <w:t xml:space="preserve">+0.70 %</w:t>
            </w:r>
          </w:p>
        </w:tc>
      </w:tr>
    </w:tbl>
    <w:p>
      <w:pPr>
        <w:pStyle w:val="BodyText"/>
        <w:keepNext/>
      </w:pPr>
      <w:r>
        <w:rPr>
          <w:bCs/>
          <w:b/>
        </w:rPr>
        <w:t xml:space="preserve">Table S4.</w:t>
      </w:r>
      <w:r>
        <w:t xml:space="preserve"> </w:t>
      </w:r>
      <w:r>
        <w:t xml:space="preserve">Mid-span deflection of the first span (mm), mean of three cycles. Single load 40.64 N; analytical values from the closed-form influence line.</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1096"/>
        <w:gridCol w:w="2491"/>
        <w:gridCol w:w="2093"/>
        <w:gridCol w:w="1694"/>
        <w:gridCol w:w="1694"/>
      </w:tblGrid>
      <w:tr>
        <w:trPr>
          <w:tblHeader w:val="true"/>
          <w:tblHeader w:val="true"/>
          <w:cantSplit/>
        </w:trPr>
        <w:tc>
          <w:tcPr>
            <w:tcW w:type="dxa" w:w="1096"/>
            <w:tcBorders>
              <w:top w:val="nil"/>
              <w:left w:val="nil"/>
              <w:bottom w:val="single" w:sz="6" w:space="0" w:color="000000"/>
              <w:right w:val="nil"/>
            </w:tcBorders>
          </w:tcPr>
          <w:p>
            <w:pPr>
              <w:pStyle w:val="Compact"/>
              <w:jc w:val="right"/>
            </w:pPr>
            <m:oMath>
              <m:r>
                <m:t>x</m:t>
              </m:r>
            </m:oMath>
            <w:r>
              <w:t xml:space="preserve"> </w:t>
            </w:r>
            <w:r>
              <w:t xml:space="preserve">(mm)</w:t>
            </w:r>
          </w:p>
        </w:tc>
        <w:tc>
          <w:tcPr>
            <w:tcW w:type="dxa" w:w="2491"/>
            <w:tcBorders>
              <w:top w:val="nil"/>
              <w:left w:val="nil"/>
              <w:bottom w:val="single" w:sz="6" w:space="0" w:color="000000"/>
              <w:right w:val="nil"/>
            </w:tcBorders>
          </w:tcPr>
          <w:p>
            <w:pPr>
              <w:pStyle w:val="Compact"/>
              <w:jc w:val="right"/>
            </w:pPr>
            <w:r>
              <w:t xml:space="preserve">Analytical, single</w:t>
            </w:r>
          </w:p>
        </w:tc>
        <w:tc>
          <w:tcPr>
            <w:tcW w:type="dxa" w:w="2093"/>
            <w:tcBorders>
              <w:top w:val="nil"/>
              <w:left w:val="nil"/>
              <w:bottom w:val="single" w:sz="6" w:space="0" w:color="000000"/>
              <w:right w:val="nil"/>
            </w:tcBorders>
          </w:tcPr>
          <w:p>
            <w:pPr>
              <w:pStyle w:val="Compact"/>
              <w:jc w:val="right"/>
            </w:pPr>
            <w:r>
              <w:t xml:space="preserve">Measured, single</w:t>
            </w:r>
          </w:p>
        </w:tc>
        <w:tc>
          <w:tcPr>
            <w:tcW w:type="dxa" w:w="1694"/>
            <w:tcBorders>
              <w:top w:val="nil"/>
              <w:left w:val="nil"/>
              <w:bottom w:val="single" w:sz="6" w:space="0" w:color="000000"/>
              <w:right w:val="nil"/>
            </w:tcBorders>
          </w:tcPr>
          <w:p>
            <w:pPr>
              <w:pStyle w:val="Compact"/>
              <w:jc w:val="right"/>
            </w:pPr>
            <w:r>
              <w:t xml:space="preserve">Two loads</w:t>
            </w:r>
          </w:p>
        </w:tc>
        <w:tc>
          <w:tcPr>
            <w:tcW w:type="dxa" w:w="1694"/>
            <w:tcBorders>
              <w:top w:val="nil"/>
              <w:left w:val="nil"/>
              <w:bottom w:val="single" w:sz="6" w:space="0" w:color="000000"/>
              <w:right w:val="nil"/>
            </w:tcBorders>
          </w:tcPr>
          <w:p>
            <w:pPr>
              <w:pStyle w:val="Compact"/>
              <w:jc w:val="right"/>
            </w:pPr>
            <w:r>
              <w:t xml:space="preserve">Three loads</w:t>
            </w:r>
          </w:p>
        </w:tc>
      </w:tr>
      <w:tr>
        <w:trPr>
          <w:cantSplit/>
        </w:trPr>
        <w:tc>
          <w:tcPr>
            <w:tcW w:type="dxa" w:w="1096"/>
          </w:tcPr>
          <w:p>
            <w:pPr>
              <w:pStyle w:val="Compact"/>
              <w:jc w:val="right"/>
            </w:pPr>
            <w:r>
              <w:t xml:space="preserve">0</w:t>
            </w:r>
          </w:p>
        </w:tc>
        <w:tc>
          <w:tcPr>
            <w:tcW w:type="dxa" w:w="2491"/>
          </w:tcPr>
          <w:p>
            <w:pPr>
              <w:pStyle w:val="Compact"/>
              <w:jc w:val="right"/>
            </w:pPr>
            <w:r>
              <w:t xml:space="preserve">0.0000</w:t>
            </w:r>
          </w:p>
        </w:tc>
        <w:tc>
          <w:tcPr>
            <w:tcW w:type="dxa" w:w="2093"/>
          </w:tcPr>
          <w:p>
            <w:pPr>
              <w:pStyle w:val="Compact"/>
              <w:jc w:val="right"/>
            </w:pPr>
            <w:r>
              <w:t xml:space="preserve">0.0000</w:t>
            </w:r>
          </w:p>
        </w:tc>
        <w:tc>
          <w:tcPr>
            <w:tcW w:type="dxa" w:w="1694"/>
          </w:tcPr>
          <w:p>
            <w:pPr>
              <w:pStyle w:val="Compact"/>
              <w:jc w:val="right"/>
            </w:pPr>
            <w:r>
              <w:t xml:space="preserve">0</w:t>
            </w:r>
          </w:p>
        </w:tc>
        <w:tc>
          <w:tcPr>
            <w:tcW w:type="dxa" w:w="1694"/>
          </w:tcPr>
          <w:p>
            <w:pPr>
              <w:pStyle w:val="Compact"/>
              <w:jc w:val="right"/>
            </w:pPr>
            <w:r>
              <w:t xml:space="preserve">0</w:t>
            </w:r>
          </w:p>
        </w:tc>
      </w:tr>
      <w:tr>
        <w:trPr>
          <w:cantSplit/>
        </w:trPr>
        <w:tc>
          <w:tcPr>
            <w:tcW w:type="dxa" w:w="1096"/>
          </w:tcPr>
          <w:p>
            <w:pPr>
              <w:pStyle w:val="Compact"/>
              <w:jc w:val="right"/>
            </w:pPr>
            <w:r>
              <w:t xml:space="preserve">250</w:t>
            </w:r>
          </w:p>
        </w:tc>
        <w:tc>
          <w:tcPr>
            <w:tcW w:type="dxa" w:w="2491"/>
          </w:tcPr>
          <w:p>
            <w:pPr>
              <w:pStyle w:val="Compact"/>
              <w:jc w:val="right"/>
            </w:pPr>
            <w:r>
              <w:t xml:space="preserve">0.8874</w:t>
            </w:r>
          </w:p>
        </w:tc>
        <w:tc>
          <w:tcPr>
            <w:tcW w:type="dxa" w:w="2093"/>
          </w:tcPr>
          <w:p>
            <w:pPr>
              <w:pStyle w:val="Compact"/>
              <w:jc w:val="right"/>
            </w:pPr>
            <w:r>
              <w:t xml:space="preserve">0.8844</w:t>
            </w:r>
          </w:p>
        </w:tc>
        <w:tc>
          <w:tcPr>
            <w:tcW w:type="dxa" w:w="1694"/>
          </w:tcPr>
          <w:p>
            <w:pPr>
              <w:pStyle w:val="Compact"/>
              <w:jc w:val="right"/>
            </w:pPr>
            <w:r>
              <w:t xml:space="preserve">0.4625</w:t>
            </w:r>
          </w:p>
        </w:tc>
        <w:tc>
          <w:tcPr>
            <w:tcW w:type="dxa" w:w="1694"/>
          </w:tcPr>
          <w:p>
            <w:pPr>
              <w:pStyle w:val="Compact"/>
              <w:jc w:val="right"/>
            </w:pPr>
            <w:r>
              <w:t xml:space="preserve">0.5525</w:t>
            </w:r>
          </w:p>
        </w:tc>
      </w:tr>
      <w:tr>
        <w:trPr>
          <w:cantSplit/>
        </w:trPr>
        <w:tc>
          <w:tcPr>
            <w:tcW w:type="dxa" w:w="1096"/>
          </w:tcPr>
          <w:p>
            <w:pPr>
              <w:pStyle w:val="Compact"/>
              <w:jc w:val="right"/>
            </w:pPr>
            <w:r>
              <w:t xml:space="preserve">500</w:t>
            </w:r>
          </w:p>
        </w:tc>
        <w:tc>
          <w:tcPr>
            <w:tcW w:type="dxa" w:w="2491"/>
          </w:tcPr>
          <w:p>
            <w:pPr>
              <w:pStyle w:val="Compact"/>
              <w:jc w:val="right"/>
            </w:pPr>
            <w:r>
              <w:t xml:space="preserve">1.6968</w:t>
            </w:r>
          </w:p>
        </w:tc>
        <w:tc>
          <w:tcPr>
            <w:tcW w:type="dxa" w:w="2093"/>
          </w:tcPr>
          <w:p>
            <w:pPr>
              <w:pStyle w:val="Compact"/>
              <w:jc w:val="right"/>
            </w:pPr>
            <w:r>
              <w:t xml:space="preserve">1.6975</w:t>
            </w:r>
          </w:p>
        </w:tc>
        <w:tc>
          <w:tcPr>
            <w:tcW w:type="dxa" w:w="1694"/>
          </w:tcPr>
          <w:p>
            <w:pPr>
              <w:pStyle w:val="Compact"/>
              <w:jc w:val="right"/>
            </w:pPr>
            <w:r>
              <w:t xml:space="preserve">1.8813</w:t>
            </w:r>
          </w:p>
        </w:tc>
        <w:tc>
          <w:tcPr>
            <w:tcW w:type="dxa" w:w="1694"/>
          </w:tcPr>
          <w:p>
            <w:pPr>
              <w:pStyle w:val="Compact"/>
              <w:jc w:val="right"/>
            </w:pPr>
            <w:r>
              <w:t xml:space="preserve">1.0450</w:t>
            </w:r>
          </w:p>
        </w:tc>
      </w:tr>
      <w:tr>
        <w:trPr>
          <w:cantSplit/>
        </w:trPr>
        <w:tc>
          <w:tcPr>
            <w:tcW w:type="dxa" w:w="1096"/>
          </w:tcPr>
          <w:p>
            <w:pPr>
              <w:pStyle w:val="Compact"/>
              <w:jc w:val="right"/>
            </w:pPr>
            <w:r>
              <w:t xml:space="preserve">750</w:t>
            </w:r>
          </w:p>
        </w:tc>
        <w:tc>
          <w:tcPr>
            <w:tcW w:type="dxa" w:w="2491"/>
          </w:tcPr>
          <w:p>
            <w:pPr>
              <w:pStyle w:val="Compact"/>
              <w:jc w:val="right"/>
            </w:pPr>
            <w:r>
              <w:t xml:space="preserve">2.3501</w:t>
            </w:r>
          </w:p>
        </w:tc>
        <w:tc>
          <w:tcPr>
            <w:tcW w:type="dxa" w:w="2093"/>
          </w:tcPr>
          <w:p>
            <w:pPr>
              <w:pStyle w:val="Compact"/>
              <w:jc w:val="right"/>
            </w:pPr>
            <w:r>
              <w:t xml:space="preserve">2.3525</w:t>
            </w:r>
          </w:p>
        </w:tc>
        <w:tc>
          <w:tcPr>
            <w:tcW w:type="dxa" w:w="1694"/>
          </w:tcPr>
          <w:p>
            <w:pPr>
              <w:pStyle w:val="Compact"/>
              <w:jc w:val="right"/>
            </w:pPr>
            <w:r>
              <w:t xml:space="preserve">3.1413</w:t>
            </w:r>
          </w:p>
        </w:tc>
        <w:tc>
          <w:tcPr>
            <w:tcW w:type="dxa" w:w="1694"/>
          </w:tcPr>
          <w:p>
            <w:pPr>
              <w:pStyle w:val="Compact"/>
              <w:jc w:val="right"/>
            </w:pPr>
            <w:r>
              <w:t xml:space="preserve">2.5413</w:t>
            </w:r>
          </w:p>
        </w:tc>
      </w:tr>
      <w:tr>
        <w:trPr>
          <w:cantSplit/>
        </w:trPr>
        <w:tc>
          <w:tcPr>
            <w:tcW w:type="dxa" w:w="1096"/>
          </w:tcPr>
          <w:p>
            <w:pPr>
              <w:pStyle w:val="Compact"/>
              <w:jc w:val="right"/>
            </w:pPr>
            <w:r>
              <w:t xml:space="preserve">1000</w:t>
            </w:r>
          </w:p>
        </w:tc>
        <w:tc>
          <w:tcPr>
            <w:tcW w:type="dxa" w:w="2491"/>
          </w:tcPr>
          <w:p>
            <w:pPr>
              <w:pStyle w:val="Compact"/>
              <w:jc w:val="right"/>
            </w:pPr>
            <w:r>
              <w:t xml:space="preserve">2.7693</w:t>
            </w:r>
          </w:p>
        </w:tc>
        <w:tc>
          <w:tcPr>
            <w:tcW w:type="dxa" w:w="2093"/>
          </w:tcPr>
          <w:p>
            <w:pPr>
              <w:pStyle w:val="Compact"/>
              <w:jc w:val="right"/>
            </w:pPr>
            <w:r>
              <w:t xml:space="preserve">2.7738</w:t>
            </w:r>
          </w:p>
        </w:tc>
        <w:tc>
          <w:tcPr>
            <w:tcW w:type="dxa" w:w="1694"/>
          </w:tcPr>
          <w:p>
            <w:pPr>
              <w:pStyle w:val="Compact"/>
              <w:jc w:val="right"/>
            </w:pPr>
            <w:r>
              <w:t xml:space="preserve">4.0988</w:t>
            </w:r>
          </w:p>
        </w:tc>
        <w:tc>
          <w:tcPr>
            <w:tcW w:type="dxa" w:w="1694"/>
          </w:tcPr>
          <w:p>
            <w:pPr>
              <w:pStyle w:val="Compact"/>
              <w:jc w:val="right"/>
            </w:pPr>
            <w:r>
              <w:t xml:space="preserve">4.8700</w:t>
            </w:r>
          </w:p>
        </w:tc>
      </w:tr>
      <w:tr>
        <w:trPr>
          <w:cantSplit/>
        </w:trPr>
        <w:tc>
          <w:tcPr>
            <w:tcW w:type="dxa" w:w="1096"/>
          </w:tcPr>
          <w:p>
            <w:pPr>
              <w:pStyle w:val="Compact"/>
              <w:jc w:val="right"/>
            </w:pPr>
            <w:r>
              <w:t xml:space="preserve">1250</w:t>
            </w:r>
          </w:p>
        </w:tc>
        <w:tc>
          <w:tcPr>
            <w:tcW w:type="dxa" w:w="2491"/>
          </w:tcPr>
          <w:p>
            <w:pPr>
              <w:pStyle w:val="Compact"/>
              <w:jc w:val="right"/>
            </w:pPr>
            <w:r>
              <w:t xml:space="preserve">2.8764</w:t>
            </w:r>
          </w:p>
        </w:tc>
        <w:tc>
          <w:tcPr>
            <w:tcW w:type="dxa" w:w="2093"/>
          </w:tcPr>
          <w:p>
            <w:pPr>
              <w:pStyle w:val="Compact"/>
              <w:jc w:val="right"/>
            </w:pPr>
            <w:r>
              <w:t xml:space="preserve">2.8827</w:t>
            </w:r>
          </w:p>
        </w:tc>
        <w:tc>
          <w:tcPr>
            <w:tcW w:type="dxa" w:w="1694"/>
          </w:tcPr>
          <w:p>
            <w:pPr>
              <w:pStyle w:val="Compact"/>
              <w:jc w:val="right"/>
            </w:pPr>
            <w:r>
              <w:t xml:space="preserve">4.6350</w:t>
            </w:r>
          </w:p>
        </w:tc>
        <w:tc>
          <w:tcPr>
            <w:tcW w:type="dxa" w:w="1694"/>
          </w:tcPr>
          <w:p>
            <w:pPr>
              <w:pStyle w:val="Compact"/>
              <w:jc w:val="right"/>
            </w:pPr>
            <w:r>
              <w:t xml:space="preserve">6.7588</w:t>
            </w:r>
          </w:p>
        </w:tc>
      </w:tr>
      <w:tr>
        <w:trPr>
          <w:cantSplit/>
        </w:trPr>
        <w:tc>
          <w:tcPr>
            <w:tcW w:type="dxa" w:w="1096"/>
          </w:tcPr>
          <w:p>
            <w:pPr>
              <w:pStyle w:val="Compact"/>
              <w:jc w:val="right"/>
            </w:pPr>
            <w:r>
              <w:t xml:space="preserve">1500</w:t>
            </w:r>
          </w:p>
        </w:tc>
        <w:tc>
          <w:tcPr>
            <w:tcW w:type="dxa" w:w="2491"/>
          </w:tcPr>
          <w:p>
            <w:pPr>
              <w:pStyle w:val="Compact"/>
              <w:jc w:val="right"/>
            </w:pPr>
            <w:r>
              <w:t xml:space="preserve">2.6253</w:t>
            </w:r>
          </w:p>
        </w:tc>
        <w:tc>
          <w:tcPr>
            <w:tcW w:type="dxa" w:w="2093"/>
          </w:tcPr>
          <w:p>
            <w:pPr>
              <w:pStyle w:val="Compact"/>
              <w:jc w:val="right"/>
            </w:pPr>
            <w:r>
              <w:t xml:space="preserve">2.6363</w:t>
            </w:r>
          </w:p>
        </w:tc>
        <w:tc>
          <w:tcPr>
            <w:tcW w:type="dxa" w:w="1694"/>
          </w:tcPr>
          <w:p>
            <w:pPr>
              <w:pStyle w:val="Compact"/>
              <w:jc w:val="right"/>
            </w:pPr>
            <w:r>
              <w:t xml:space="preserve">4.6238</w:t>
            </w:r>
          </w:p>
        </w:tc>
        <w:tc>
          <w:tcPr>
            <w:tcW w:type="dxa" w:w="1694"/>
          </w:tcPr>
          <w:p>
            <w:pPr>
              <w:pStyle w:val="Compact"/>
              <w:jc w:val="right"/>
            </w:pPr>
            <w:r>
              <w:t xml:space="preserve">7.9350</w:t>
            </w:r>
          </w:p>
        </w:tc>
      </w:tr>
      <w:tr>
        <w:trPr>
          <w:cantSplit/>
        </w:trPr>
        <w:tc>
          <w:tcPr>
            <w:tcW w:type="dxa" w:w="1096"/>
          </w:tcPr>
          <w:p>
            <w:pPr>
              <w:pStyle w:val="Compact"/>
              <w:jc w:val="right"/>
            </w:pPr>
            <w:r>
              <w:t xml:space="preserve">1750</w:t>
            </w:r>
          </w:p>
        </w:tc>
        <w:tc>
          <w:tcPr>
            <w:tcW w:type="dxa" w:w="2491"/>
          </w:tcPr>
          <w:p>
            <w:pPr>
              <w:pStyle w:val="Compact"/>
              <w:jc w:val="right"/>
            </w:pPr>
            <w:r>
              <w:t xml:space="preserve">2.0980</w:t>
            </w:r>
          </w:p>
        </w:tc>
        <w:tc>
          <w:tcPr>
            <w:tcW w:type="dxa" w:w="2093"/>
          </w:tcPr>
          <w:p>
            <w:pPr>
              <w:pStyle w:val="Compact"/>
              <w:jc w:val="right"/>
            </w:pPr>
            <w:r>
              <w:t xml:space="preserve">2.1100</w:t>
            </w:r>
          </w:p>
        </w:tc>
        <w:tc>
          <w:tcPr>
            <w:tcW w:type="dxa" w:w="1694"/>
          </w:tcPr>
          <w:p>
            <w:pPr>
              <w:pStyle w:val="Compact"/>
              <w:jc w:val="right"/>
            </w:pPr>
            <w:r>
              <w:t xml:space="preserve">4.0688</w:t>
            </w:r>
          </w:p>
        </w:tc>
        <w:tc>
          <w:tcPr>
            <w:tcW w:type="dxa" w:w="1694"/>
          </w:tcPr>
          <w:p>
            <w:pPr>
              <w:pStyle w:val="Compact"/>
              <w:jc w:val="right"/>
            </w:pPr>
            <w:r>
              <w:t xml:space="preserve">8.2775</w:t>
            </w:r>
          </w:p>
        </w:tc>
      </w:tr>
      <w:tr>
        <w:trPr>
          <w:cantSplit/>
        </w:trPr>
        <w:tc>
          <w:tcPr>
            <w:tcW w:type="dxa" w:w="1096"/>
          </w:tcPr>
          <w:p>
            <w:pPr>
              <w:pStyle w:val="Compact"/>
              <w:jc w:val="right"/>
            </w:pPr>
            <w:r>
              <w:t xml:space="preserve">2000</w:t>
            </w:r>
          </w:p>
        </w:tc>
        <w:tc>
          <w:tcPr>
            <w:tcW w:type="dxa" w:w="2491"/>
          </w:tcPr>
          <w:p>
            <w:pPr>
              <w:pStyle w:val="Compact"/>
              <w:jc w:val="right"/>
            </w:pPr>
            <w:r>
              <w:t xml:space="preserve">1.4087</w:t>
            </w:r>
          </w:p>
        </w:tc>
        <w:tc>
          <w:tcPr>
            <w:tcW w:type="dxa" w:w="2093"/>
          </w:tcPr>
          <w:p>
            <w:pPr>
              <w:pStyle w:val="Compact"/>
              <w:jc w:val="right"/>
            </w:pPr>
            <w:r>
              <w:t xml:space="preserve">1.4213</w:t>
            </w:r>
          </w:p>
        </w:tc>
        <w:tc>
          <w:tcPr>
            <w:tcW w:type="dxa" w:w="1694"/>
          </w:tcPr>
          <w:p>
            <w:pPr>
              <w:pStyle w:val="Compact"/>
              <w:jc w:val="right"/>
            </w:pPr>
            <w:r>
              <w:t xml:space="preserve">3.1375</w:t>
            </w:r>
          </w:p>
        </w:tc>
        <w:tc>
          <w:tcPr>
            <w:tcW w:type="dxa" w:w="1694"/>
          </w:tcPr>
          <w:p>
            <w:pPr>
              <w:pStyle w:val="Compact"/>
              <w:jc w:val="right"/>
            </w:pPr>
            <w:r>
              <w:t xml:space="preserve">7.6825</w:t>
            </w:r>
          </w:p>
        </w:tc>
      </w:tr>
      <w:tr>
        <w:trPr>
          <w:cantSplit/>
        </w:trPr>
        <w:tc>
          <w:tcPr>
            <w:tcW w:type="dxa" w:w="1096"/>
          </w:tcPr>
          <w:p>
            <w:pPr>
              <w:pStyle w:val="Compact"/>
              <w:jc w:val="right"/>
            </w:pPr>
            <w:r>
              <w:t xml:space="preserve">2250</w:t>
            </w:r>
          </w:p>
        </w:tc>
        <w:tc>
          <w:tcPr>
            <w:tcW w:type="dxa" w:w="2491"/>
          </w:tcPr>
          <w:p>
            <w:pPr>
              <w:pStyle w:val="Compact"/>
              <w:jc w:val="right"/>
            </w:pPr>
            <w:r>
              <w:t xml:space="preserve">0.6713</w:t>
            </w:r>
          </w:p>
        </w:tc>
        <w:tc>
          <w:tcPr>
            <w:tcW w:type="dxa" w:w="2093"/>
          </w:tcPr>
          <w:p>
            <w:pPr>
              <w:pStyle w:val="Compact"/>
              <w:jc w:val="right"/>
            </w:pPr>
            <w:r>
              <w:t xml:space="preserve">0.6838</w:t>
            </w:r>
          </w:p>
        </w:tc>
        <w:tc>
          <w:tcPr>
            <w:tcW w:type="dxa" w:w="1694"/>
          </w:tcPr>
          <w:p>
            <w:pPr>
              <w:pStyle w:val="Compact"/>
              <w:jc w:val="right"/>
            </w:pPr>
            <w:r>
              <w:t xml:space="preserve">1.9600</w:t>
            </w:r>
          </w:p>
        </w:tc>
        <w:tc>
          <w:tcPr>
            <w:tcW w:type="dxa" w:w="1694"/>
          </w:tcPr>
          <w:p>
            <w:pPr>
              <w:pStyle w:val="Compact"/>
              <w:jc w:val="right"/>
            </w:pPr>
            <w:r>
              <w:t xml:space="preserve">6.2800</w:t>
            </w:r>
          </w:p>
        </w:tc>
      </w:tr>
      <w:tr>
        <w:trPr>
          <w:cantSplit/>
        </w:trPr>
        <w:tc>
          <w:tcPr>
            <w:tcW w:type="dxa" w:w="1096"/>
          </w:tcPr>
          <w:p>
            <w:pPr>
              <w:pStyle w:val="Compact"/>
              <w:jc w:val="right"/>
            </w:pPr>
            <w:r>
              <w:t xml:space="preserve">2500</w:t>
            </w:r>
          </w:p>
        </w:tc>
        <w:tc>
          <w:tcPr>
            <w:tcW w:type="dxa" w:w="2491"/>
          </w:tcPr>
          <w:p>
            <w:pPr>
              <w:pStyle w:val="Compact"/>
              <w:jc w:val="right"/>
            </w:pPr>
            <w:r>
              <w:t xml:space="preserve">0.0000</w:t>
            </w:r>
          </w:p>
        </w:tc>
        <w:tc>
          <w:tcPr>
            <w:tcW w:type="dxa" w:w="2093"/>
          </w:tcPr>
          <w:p>
            <w:pPr>
              <w:pStyle w:val="Compact"/>
              <w:jc w:val="right"/>
            </w:pPr>
            <w:r>
              <w:t xml:space="preserve">0.0000</w:t>
            </w:r>
          </w:p>
        </w:tc>
        <w:tc>
          <w:tcPr>
            <w:tcW w:type="dxa" w:w="1694"/>
          </w:tcPr>
          <w:p>
            <w:pPr>
              <w:pStyle w:val="Compact"/>
              <w:jc w:val="right"/>
            </w:pPr>
            <w:r>
              <w:t xml:space="preserve">0.7715</w:t>
            </w:r>
          </w:p>
        </w:tc>
        <w:tc>
          <w:tcPr>
            <w:tcW w:type="dxa" w:w="1694"/>
          </w:tcPr>
          <w:p>
            <w:pPr>
              <w:pStyle w:val="Compact"/>
              <w:jc w:val="right"/>
            </w:pPr>
            <w:r>
              <w:t xml:space="preserve">4.3725</w:t>
            </w:r>
          </w:p>
        </w:tc>
      </w:tr>
      <w:tr>
        <w:trPr>
          <w:cantSplit/>
        </w:trPr>
        <w:tc>
          <w:tcPr>
            <w:tcW w:type="dxa" w:w="1096"/>
          </w:tcPr>
          <w:p>
            <w:pPr>
              <w:pStyle w:val="Compact"/>
              <w:jc w:val="right"/>
            </w:pPr>
            <w:r>
              <w:t xml:space="preserve">2750</w:t>
            </w:r>
          </w:p>
        </w:tc>
        <w:tc>
          <w:tcPr>
            <w:tcW w:type="dxa" w:w="2491"/>
          </w:tcPr>
          <w:p>
            <w:pPr>
              <w:pStyle w:val="Compact"/>
              <w:jc w:val="right"/>
            </w:pPr>
            <w:r>
              <w:t xml:space="preserve">−0.5132</w:t>
            </w:r>
          </w:p>
        </w:tc>
        <w:tc>
          <w:tcPr>
            <w:tcW w:type="dxa" w:w="2093"/>
          </w:tcPr>
          <w:p>
            <w:pPr>
              <w:pStyle w:val="Compact"/>
              <w:jc w:val="right"/>
            </w:pPr>
            <w:r>
              <w:t xml:space="preserve">−0.5069</w:t>
            </w:r>
          </w:p>
        </w:tc>
        <w:tc>
          <w:tcPr>
            <w:tcW w:type="dxa" w:w="1694"/>
          </w:tcPr>
          <w:p>
            <w:pPr>
              <w:pStyle w:val="Compact"/>
              <w:jc w:val="right"/>
            </w:pPr>
            <w:r>
              <w:t xml:space="preserve">−0.2689</w:t>
            </w:r>
          </w:p>
        </w:tc>
        <w:tc>
          <w:tcPr>
            <w:tcW w:type="dxa" w:w="1694"/>
          </w:tcPr>
          <w:p>
            <w:pPr>
              <w:pStyle w:val="Compact"/>
              <w:jc w:val="right"/>
            </w:pPr>
            <w:r>
              <w:t xml:space="preserve">2.2975</w:t>
            </w:r>
          </w:p>
        </w:tc>
      </w:tr>
      <w:tr>
        <w:trPr>
          <w:cantSplit/>
        </w:trPr>
        <w:tc>
          <w:tcPr>
            <w:tcW w:type="dxa" w:w="1096"/>
          </w:tcPr>
          <w:p>
            <w:pPr>
              <w:pStyle w:val="Compact"/>
              <w:jc w:val="right"/>
            </w:pPr>
            <w:r>
              <w:t xml:space="preserve">3000</w:t>
            </w:r>
          </w:p>
        </w:tc>
        <w:tc>
          <w:tcPr>
            <w:tcW w:type="dxa" w:w="2491"/>
          </w:tcPr>
          <w:p>
            <w:pPr>
              <w:pStyle w:val="Compact"/>
              <w:jc w:val="right"/>
            </w:pPr>
            <w:r>
              <w:t xml:space="preserve">−0.8644</w:t>
            </w:r>
          </w:p>
        </w:tc>
        <w:tc>
          <w:tcPr>
            <w:tcW w:type="dxa" w:w="2093"/>
          </w:tcPr>
          <w:p>
            <w:pPr>
              <w:pStyle w:val="Compact"/>
              <w:jc w:val="right"/>
            </w:pPr>
            <w:r>
              <w:t xml:space="preserve">−0.8556</w:t>
            </w:r>
          </w:p>
        </w:tc>
        <w:tc>
          <w:tcPr>
            <w:tcW w:type="dxa" w:w="1694"/>
          </w:tcPr>
          <w:p>
            <w:pPr>
              <w:pStyle w:val="Compact"/>
              <w:jc w:val="right"/>
            </w:pPr>
            <w:r>
              <w:t xml:space="preserve">−1.0063</w:t>
            </w:r>
          </w:p>
        </w:tc>
        <w:tc>
          <w:tcPr>
            <w:tcW w:type="dxa" w:w="1694"/>
          </w:tcPr>
          <w:p>
            <w:pPr>
              <w:pStyle w:val="Compact"/>
              <w:jc w:val="right"/>
            </w:pPr>
            <w:r>
              <w:t xml:space="preserve">0.3021</w:t>
            </w:r>
          </w:p>
        </w:tc>
      </w:tr>
      <w:tr>
        <w:trPr>
          <w:cantSplit/>
        </w:trPr>
        <w:tc>
          <w:tcPr>
            <w:tcW w:type="dxa" w:w="1096"/>
          </w:tcPr>
          <w:p>
            <w:pPr>
              <w:pStyle w:val="Compact"/>
              <w:jc w:val="right"/>
            </w:pPr>
            <w:r>
              <w:t xml:space="preserve">3250</w:t>
            </w:r>
          </w:p>
        </w:tc>
        <w:tc>
          <w:tcPr>
            <w:tcW w:type="dxa" w:w="2491"/>
          </w:tcPr>
          <w:p>
            <w:pPr>
              <w:pStyle w:val="Compact"/>
              <w:jc w:val="right"/>
            </w:pPr>
            <w:r>
              <w:t xml:space="preserve">−1.0715</w:t>
            </w:r>
          </w:p>
        </w:tc>
        <w:tc>
          <w:tcPr>
            <w:tcW w:type="dxa" w:w="2093"/>
          </w:tcPr>
          <w:p>
            <w:pPr>
              <w:pStyle w:val="Compact"/>
              <w:jc w:val="right"/>
            </w:pPr>
            <w:r>
              <w:t xml:space="preserve">−1.0600</w:t>
            </w:r>
          </w:p>
        </w:tc>
        <w:tc>
          <w:tcPr>
            <w:tcW w:type="dxa" w:w="1694"/>
          </w:tcPr>
          <w:p>
            <w:pPr>
              <w:pStyle w:val="Compact"/>
              <w:jc w:val="right"/>
            </w:pPr>
            <w:r>
              <w:t xml:space="preserve">−1.4988</w:t>
            </w:r>
          </w:p>
        </w:tc>
        <w:tc>
          <w:tcPr>
            <w:tcW w:type="dxa" w:w="1694"/>
          </w:tcPr>
          <w:p>
            <w:pPr>
              <w:pStyle w:val="Compact"/>
              <w:jc w:val="right"/>
            </w:pPr>
            <w:r>
              <w:t xml:space="preserve">−1.2588</w:t>
            </w:r>
          </w:p>
        </w:tc>
      </w:tr>
      <w:tr>
        <w:trPr>
          <w:cantSplit/>
        </w:trPr>
        <w:tc>
          <w:tcPr>
            <w:tcW w:type="dxa" w:w="1096"/>
          </w:tcPr>
          <w:p>
            <w:pPr>
              <w:pStyle w:val="Compact"/>
              <w:jc w:val="right"/>
            </w:pPr>
            <w:r>
              <w:t xml:space="preserve">3500</w:t>
            </w:r>
          </w:p>
        </w:tc>
        <w:tc>
          <w:tcPr>
            <w:tcW w:type="dxa" w:w="2491"/>
          </w:tcPr>
          <w:p>
            <w:pPr>
              <w:pStyle w:val="Compact"/>
              <w:jc w:val="right"/>
            </w:pPr>
            <w:r>
              <w:t xml:space="preserve">−1.1526</w:t>
            </w:r>
          </w:p>
        </w:tc>
        <w:tc>
          <w:tcPr>
            <w:tcW w:type="dxa" w:w="2093"/>
          </w:tcPr>
          <w:p>
            <w:pPr>
              <w:pStyle w:val="Compact"/>
              <w:jc w:val="right"/>
            </w:pPr>
            <w:r>
              <w:t xml:space="preserve">−1.1438</w:t>
            </w:r>
          </w:p>
        </w:tc>
        <w:tc>
          <w:tcPr>
            <w:tcW w:type="dxa" w:w="1694"/>
          </w:tcPr>
          <w:p>
            <w:pPr>
              <w:pStyle w:val="Compact"/>
              <w:jc w:val="right"/>
            </w:pPr>
            <w:r>
              <w:t xml:space="preserve">−1.7813</w:t>
            </w:r>
          </w:p>
        </w:tc>
        <w:tc>
          <w:tcPr>
            <w:tcW w:type="dxa" w:w="1694"/>
          </w:tcPr>
          <w:p>
            <w:pPr>
              <w:pStyle w:val="Compact"/>
              <w:jc w:val="right"/>
            </w:pPr>
            <w:r>
              <w:t xml:space="preserve">−2.3650</w:t>
            </w:r>
          </w:p>
        </w:tc>
      </w:tr>
      <w:tr>
        <w:trPr>
          <w:cantSplit/>
        </w:trPr>
        <w:tc>
          <w:tcPr>
            <w:tcW w:type="dxa" w:w="1096"/>
          </w:tcPr>
          <w:p>
            <w:pPr>
              <w:pStyle w:val="Compact"/>
              <w:jc w:val="right"/>
            </w:pPr>
            <w:r>
              <w:t xml:space="preserve">3750</w:t>
            </w:r>
          </w:p>
        </w:tc>
        <w:tc>
          <w:tcPr>
            <w:tcW w:type="dxa" w:w="2491"/>
          </w:tcPr>
          <w:p>
            <w:pPr>
              <w:pStyle w:val="Compact"/>
              <w:jc w:val="right"/>
            </w:pPr>
            <w:r>
              <w:t xml:space="preserve">−1.1255</w:t>
            </w:r>
          </w:p>
        </w:tc>
        <w:tc>
          <w:tcPr>
            <w:tcW w:type="dxa" w:w="2093"/>
          </w:tcPr>
          <w:p>
            <w:pPr>
              <w:pStyle w:val="Compact"/>
              <w:jc w:val="right"/>
            </w:pPr>
            <w:r>
              <w:t xml:space="preserve">−1.1200</w:t>
            </w:r>
          </w:p>
        </w:tc>
        <w:tc>
          <w:tcPr>
            <w:tcW w:type="dxa" w:w="1694"/>
          </w:tcPr>
          <w:p>
            <w:pPr>
              <w:pStyle w:val="Compact"/>
              <w:jc w:val="right"/>
            </w:pPr>
            <w:r>
              <w:t xml:space="preserve">−1.8600</w:t>
            </w:r>
          </w:p>
        </w:tc>
        <w:tc>
          <w:tcPr>
            <w:tcW w:type="dxa" w:w="1694"/>
          </w:tcPr>
          <w:p>
            <w:pPr>
              <w:pStyle w:val="Compact"/>
              <w:jc w:val="right"/>
            </w:pPr>
            <w:r>
              <w:t xml:space="preserve">−3.0363</w:t>
            </w:r>
          </w:p>
        </w:tc>
      </w:tr>
      <w:tr>
        <w:trPr>
          <w:cantSplit/>
        </w:trPr>
        <w:tc>
          <w:tcPr>
            <w:tcW w:type="dxa" w:w="1096"/>
          </w:tcPr>
          <w:p>
            <w:pPr>
              <w:pStyle w:val="Compact"/>
              <w:jc w:val="right"/>
            </w:pPr>
            <w:r>
              <w:t xml:space="preserve">4000</w:t>
            </w:r>
          </w:p>
        </w:tc>
        <w:tc>
          <w:tcPr>
            <w:tcW w:type="dxa" w:w="2491"/>
          </w:tcPr>
          <w:p>
            <w:pPr>
              <w:pStyle w:val="Compact"/>
              <w:jc w:val="right"/>
            </w:pPr>
            <w:r>
              <w:t xml:space="preserve">−1.0085</w:t>
            </w:r>
          </w:p>
        </w:tc>
        <w:tc>
          <w:tcPr>
            <w:tcW w:type="dxa" w:w="2093"/>
          </w:tcPr>
          <w:p>
            <w:pPr>
              <w:pStyle w:val="Compact"/>
              <w:jc w:val="right"/>
            </w:pPr>
            <w:r>
              <w:t xml:space="preserve">−1.0013</w:t>
            </w:r>
          </w:p>
        </w:tc>
        <w:tc>
          <w:tcPr>
            <w:tcW w:type="dxa" w:w="1694"/>
          </w:tcPr>
          <w:p>
            <w:pPr>
              <w:pStyle w:val="Compact"/>
              <w:jc w:val="right"/>
            </w:pPr>
            <w:r>
              <w:t xml:space="preserve">−1.7738</w:t>
            </w:r>
          </w:p>
        </w:tc>
        <w:tc>
          <w:tcPr>
            <w:tcW w:type="dxa" w:w="1694"/>
          </w:tcPr>
          <w:p>
            <w:pPr>
              <w:pStyle w:val="Compact"/>
              <w:jc w:val="right"/>
            </w:pPr>
            <w:r>
              <w:t xml:space="preserve">−3.3300</w:t>
            </w:r>
          </w:p>
        </w:tc>
      </w:tr>
      <w:tr>
        <w:trPr>
          <w:cantSplit/>
        </w:trPr>
        <w:tc>
          <w:tcPr>
            <w:tcW w:type="dxa" w:w="1096"/>
          </w:tcPr>
          <w:p>
            <w:pPr>
              <w:pStyle w:val="Compact"/>
              <w:jc w:val="right"/>
            </w:pPr>
            <w:r>
              <w:t xml:space="preserve">4250</w:t>
            </w:r>
          </w:p>
        </w:tc>
        <w:tc>
          <w:tcPr>
            <w:tcW w:type="dxa" w:w="2491"/>
          </w:tcPr>
          <w:p>
            <w:pPr>
              <w:pStyle w:val="Compact"/>
              <w:jc w:val="right"/>
            </w:pPr>
            <w:r>
              <w:t xml:space="preserve">−0.8194</w:t>
            </w:r>
          </w:p>
        </w:tc>
        <w:tc>
          <w:tcPr>
            <w:tcW w:type="dxa" w:w="2093"/>
          </w:tcPr>
          <w:p>
            <w:pPr>
              <w:pStyle w:val="Compact"/>
              <w:jc w:val="right"/>
            </w:pPr>
            <w:r>
              <w:t xml:space="preserve">−0.8175</w:t>
            </w:r>
          </w:p>
        </w:tc>
        <w:tc>
          <w:tcPr>
            <w:tcW w:type="dxa" w:w="1694"/>
          </w:tcPr>
          <w:p>
            <w:pPr>
              <w:pStyle w:val="Compact"/>
              <w:jc w:val="right"/>
            </w:pPr>
            <w:r>
              <w:t xml:space="preserve">−1.5525</w:t>
            </w:r>
          </w:p>
        </w:tc>
        <w:tc>
          <w:tcPr>
            <w:tcW w:type="dxa" w:w="1694"/>
          </w:tcPr>
          <w:p>
            <w:pPr>
              <w:pStyle w:val="Compact"/>
              <w:jc w:val="right"/>
            </w:pPr>
            <w:r>
              <w:t xml:space="preserve">−3.2663</w:t>
            </w:r>
          </w:p>
        </w:tc>
      </w:tr>
      <w:tr>
        <w:trPr>
          <w:cantSplit/>
        </w:trPr>
        <w:tc>
          <w:tcPr>
            <w:tcW w:type="dxa" w:w="1096"/>
          </w:tcPr>
          <w:p>
            <w:pPr>
              <w:pStyle w:val="Compact"/>
              <w:jc w:val="right"/>
            </w:pPr>
            <w:r>
              <w:t xml:space="preserve">4500</w:t>
            </w:r>
          </w:p>
        </w:tc>
        <w:tc>
          <w:tcPr>
            <w:tcW w:type="dxa" w:w="2491"/>
          </w:tcPr>
          <w:p>
            <w:pPr>
              <w:pStyle w:val="Compact"/>
              <w:jc w:val="right"/>
            </w:pPr>
            <w:r>
              <w:t xml:space="preserve">−0.5763</w:t>
            </w:r>
          </w:p>
        </w:tc>
        <w:tc>
          <w:tcPr>
            <w:tcW w:type="dxa" w:w="2093"/>
          </w:tcPr>
          <w:p>
            <w:pPr>
              <w:pStyle w:val="Compact"/>
              <w:jc w:val="right"/>
            </w:pPr>
            <w:r>
              <w:t xml:space="preserve">−0.5816</w:t>
            </w:r>
          </w:p>
        </w:tc>
        <w:tc>
          <w:tcPr>
            <w:tcW w:type="dxa" w:w="1694"/>
          </w:tcPr>
          <w:p>
            <w:pPr>
              <w:pStyle w:val="Compact"/>
              <w:jc w:val="right"/>
            </w:pPr>
            <w:r>
              <w:t xml:space="preserve">−1.2213</w:t>
            </w:r>
          </w:p>
        </w:tc>
        <w:tc>
          <w:tcPr>
            <w:tcW w:type="dxa" w:w="1694"/>
          </w:tcPr>
          <w:p>
            <w:pPr>
              <w:pStyle w:val="Compact"/>
              <w:jc w:val="right"/>
            </w:pPr>
            <w:r>
              <w:t xml:space="preserve">−2.9450</w:t>
            </w:r>
          </w:p>
        </w:tc>
      </w:tr>
      <w:tr>
        <w:trPr>
          <w:cantSplit/>
        </w:trPr>
        <w:tc>
          <w:tcPr>
            <w:tcW w:type="dxa" w:w="1096"/>
          </w:tcPr>
          <w:p>
            <w:pPr>
              <w:pStyle w:val="Compact"/>
              <w:jc w:val="right"/>
            </w:pPr>
            <w:r>
              <w:t xml:space="preserve">4750</w:t>
            </w:r>
          </w:p>
        </w:tc>
        <w:tc>
          <w:tcPr>
            <w:tcW w:type="dxa" w:w="2491"/>
          </w:tcPr>
          <w:p>
            <w:pPr>
              <w:pStyle w:val="Compact"/>
              <w:jc w:val="right"/>
            </w:pPr>
            <w:r>
              <w:t xml:space="preserve">−0.2971</w:t>
            </w:r>
          </w:p>
        </w:tc>
        <w:tc>
          <w:tcPr>
            <w:tcW w:type="dxa" w:w="2093"/>
          </w:tcPr>
          <w:p>
            <w:pPr>
              <w:pStyle w:val="Compact"/>
              <w:jc w:val="right"/>
            </w:pPr>
            <w:r>
              <w:t xml:space="preserve">−0.3019</w:t>
            </w:r>
          </w:p>
        </w:tc>
        <w:tc>
          <w:tcPr>
            <w:tcW w:type="dxa" w:w="1694"/>
          </w:tcPr>
          <w:p>
            <w:pPr>
              <w:pStyle w:val="Compact"/>
              <w:jc w:val="right"/>
            </w:pPr>
            <w:r>
              <w:t xml:space="preserve">−0.8125</w:t>
            </w:r>
          </w:p>
        </w:tc>
        <w:tc>
          <w:tcPr>
            <w:tcW w:type="dxa" w:w="1694"/>
          </w:tcPr>
          <w:p>
            <w:pPr>
              <w:pStyle w:val="Compact"/>
              <w:jc w:val="right"/>
            </w:pPr>
            <w:r>
              <w:t xml:space="preserve">−2.4125</w:t>
            </w:r>
          </w:p>
        </w:tc>
      </w:tr>
      <w:tr>
        <w:trPr>
          <w:cantSplit/>
        </w:trPr>
        <w:tc>
          <w:tcPr>
            <w:tcW w:type="dxa" w:w="1096"/>
          </w:tcPr>
          <w:p>
            <w:pPr>
              <w:pStyle w:val="Compact"/>
              <w:jc w:val="right"/>
            </w:pPr>
            <w:r>
              <w:t xml:space="preserve">5000</w:t>
            </w:r>
          </w:p>
        </w:tc>
        <w:tc>
          <w:tcPr>
            <w:tcW w:type="dxa" w:w="2491"/>
          </w:tcPr>
          <w:p>
            <w:pPr>
              <w:pStyle w:val="Compact"/>
              <w:jc w:val="right"/>
            </w:pPr>
            <w:r>
              <w:t xml:space="preserve">0.0000</w:t>
            </w:r>
          </w:p>
        </w:tc>
        <w:tc>
          <w:tcPr>
            <w:tcW w:type="dxa" w:w="2093"/>
          </w:tcPr>
          <w:p>
            <w:pPr>
              <w:pStyle w:val="Compact"/>
              <w:jc w:val="right"/>
            </w:pPr>
            <w:r>
              <w:t xml:space="preserve">0.0000</w:t>
            </w:r>
          </w:p>
        </w:tc>
        <w:tc>
          <w:tcPr>
            <w:tcW w:type="dxa" w:w="1694"/>
          </w:tcPr>
          <w:p>
            <w:pPr>
              <w:pStyle w:val="Compact"/>
              <w:jc w:val="right"/>
            </w:pPr>
            <w:r>
              <w:t xml:space="preserve">−0.3325</w:t>
            </w:r>
          </w:p>
        </w:tc>
        <w:tc>
          <w:tcPr>
            <w:tcW w:type="dxa" w:w="1694"/>
          </w:tcPr>
          <w:p>
            <w:pPr>
              <w:pStyle w:val="Compact"/>
              <w:jc w:val="right"/>
            </w:pPr>
            <w:r>
              <w:t xml:space="preserve">−1.7088</w:t>
            </w:r>
          </w:p>
        </w:tc>
      </w:tr>
      <w:tr>
        <w:trPr>
          <w:cantSplit/>
        </w:trPr>
        <w:tc>
          <w:tcPr>
            <w:tcW w:type="dxa" w:w="1096"/>
          </w:tcPr>
          <w:p>
            <w:pPr>
              <w:pStyle w:val="Compact"/>
              <w:jc w:val="right"/>
            </w:pPr>
            <w:r>
              <w:t xml:space="preserve">5250</w:t>
            </w:r>
          </w:p>
        </w:tc>
        <w:tc>
          <w:tcPr>
            <w:tcW w:type="dxa" w:w="2491"/>
          </w:tcPr>
          <w:p>
            <w:pPr>
              <w:pStyle w:val="Compact"/>
              <w:jc w:val="right"/>
            </w:pPr>
          </w:p>
        </w:tc>
        <w:tc>
          <w:tcPr>
            <w:tcW w:type="dxa" w:w="2093"/>
          </w:tcPr>
          <w:p>
            <w:pPr>
              <w:pStyle w:val="Compact"/>
              <w:jc w:val="right"/>
            </w:pPr>
          </w:p>
        </w:tc>
        <w:tc>
          <w:tcPr>
            <w:tcW w:type="dxa" w:w="1694"/>
          </w:tcPr>
          <w:p>
            <w:pPr>
              <w:pStyle w:val="Compact"/>
              <w:jc w:val="right"/>
            </w:pPr>
            <w:r>
              <w:t xml:space="preserve">0</w:t>
            </w:r>
          </w:p>
        </w:tc>
        <w:tc>
          <w:tcPr>
            <w:tcW w:type="dxa" w:w="1694"/>
          </w:tcPr>
          <w:p>
            <w:pPr>
              <w:pStyle w:val="Compact"/>
              <w:jc w:val="right"/>
            </w:pPr>
            <w:r>
              <w:t xml:space="preserve">−1.0713</w:t>
            </w:r>
          </w:p>
        </w:tc>
      </w:tr>
      <w:tr>
        <w:trPr>
          <w:cantSplit/>
        </w:trPr>
        <w:tc>
          <w:tcPr>
            <w:tcW w:type="dxa" w:w="1096"/>
          </w:tcPr>
          <w:p>
            <w:pPr>
              <w:pStyle w:val="Compact"/>
              <w:jc w:val="right"/>
            </w:pPr>
            <w:r>
              <w:t xml:space="preserve">5500</w:t>
            </w:r>
          </w:p>
        </w:tc>
        <w:tc>
          <w:tcPr>
            <w:tcW w:type="dxa" w:w="2491"/>
          </w:tcPr>
          <w:p>
            <w:pPr>
              <w:pStyle w:val="Compact"/>
              <w:jc w:val="right"/>
            </w:pPr>
          </w:p>
        </w:tc>
        <w:tc>
          <w:tcPr>
            <w:tcW w:type="dxa" w:w="2093"/>
          </w:tcPr>
          <w:p>
            <w:pPr>
              <w:pStyle w:val="Compact"/>
              <w:jc w:val="right"/>
            </w:pPr>
          </w:p>
        </w:tc>
        <w:tc>
          <w:tcPr>
            <w:tcW w:type="dxa" w:w="1694"/>
          </w:tcPr>
          <w:p>
            <w:pPr>
              <w:pStyle w:val="Compact"/>
              <w:jc w:val="right"/>
            </w:pPr>
          </w:p>
        </w:tc>
        <w:tc>
          <w:tcPr>
            <w:tcW w:type="dxa" w:w="1694"/>
          </w:tcPr>
          <w:p>
            <w:pPr>
              <w:pStyle w:val="Compact"/>
              <w:jc w:val="right"/>
            </w:pPr>
            <w:r>
              <w:t xml:space="preserve">−0.3650</w:t>
            </w:r>
          </w:p>
        </w:tc>
      </w:tr>
      <w:tr>
        <w:trPr>
          <w:cantSplit/>
        </w:trPr>
        <w:tc>
          <w:tcPr>
            <w:tcW w:type="dxa" w:w="1096"/>
          </w:tcPr>
          <w:p>
            <w:pPr>
              <w:pStyle w:val="Compact"/>
              <w:jc w:val="right"/>
            </w:pPr>
            <w:r>
              <w:t xml:space="preserve">5750</w:t>
            </w:r>
          </w:p>
        </w:tc>
        <w:tc>
          <w:tcPr>
            <w:tcW w:type="dxa" w:w="2491"/>
          </w:tcPr>
          <w:p>
            <w:pPr>
              <w:pStyle w:val="Compact"/>
              <w:jc w:val="right"/>
            </w:pPr>
          </w:p>
        </w:tc>
        <w:tc>
          <w:tcPr>
            <w:tcW w:type="dxa" w:w="2093"/>
          </w:tcPr>
          <w:p>
            <w:pPr>
              <w:pStyle w:val="Compact"/>
              <w:jc w:val="right"/>
            </w:pPr>
          </w:p>
        </w:tc>
        <w:tc>
          <w:tcPr>
            <w:tcW w:type="dxa" w:w="1694"/>
          </w:tcPr>
          <w:p>
            <w:pPr>
              <w:pStyle w:val="Compact"/>
              <w:jc w:val="right"/>
            </w:pPr>
          </w:p>
        </w:tc>
        <w:tc>
          <w:tcPr>
            <w:tcW w:type="dxa" w:w="1694"/>
          </w:tcPr>
          <w:p>
            <w:pPr>
              <w:pStyle w:val="Compact"/>
              <w:jc w:val="right"/>
            </w:pPr>
            <w:r>
              <w:t xml:space="preserve">0</w:t>
            </w:r>
          </w:p>
        </w:tc>
      </w:tr>
    </w:tbl>
    <w:bookmarkEnd w:id="49"/>
    <w:bookmarkStart w:id="65" w:name="s7.-public-field-records"/>
    <w:p>
      <w:pPr>
        <w:pStyle w:val="Heading2"/>
      </w:pPr>
      <w:r>
        <w:t xml:space="preserve">S7. Public field records</w:t>
      </w:r>
    </w:p>
    <w:p>
      <w:pPr>
        <w:pStyle w:val="FirstParagraph"/>
      </w:pPr>
      <w:r>
        <w:t xml:space="preserve">Data. The strain transducers of the Virginia Smart Road Bridge lie 158.5 m from the first abutment, at longitudinal stations about 2 m apart under the wheel path. Day 1 has 12 channels in three groups: four wheel-path gauges with clear axle spikes (ch4, ch5, ch11, ch12), a partner gauge at each of these four stations, and four further gauges without axle spikes (ch1, ch2, ch8, ch9). The bridge depth is about 3.8 m at mid-span and 9.5 m at the piers. Sampling was 100 Hz on day 1 and 200 Hz on day 2. The day-1 driver-reported gross weights were 21.2–22.8 t for the runs used. Errors are given as a percentage of the gross vehicle weight (GVW). Because the weights vary by only a few percent within each day, a predictor that always returns the mean calibration weight already has a mean absolute error (MAE) of 2.0 % on day 2 and 2.2 % on day 1, and the field data test the scatter and invariance of the integral constant rather than the ability to discriminate weights.</w:t>
      </w:r>
    </w:p>
    <w:p>
      <w:pPr>
        <w:pStyle w:val="BodyText"/>
      </w:pPr>
      <w:r>
        <w:t xml:space="preserve">Processing. Speeds were obtained from the axle spikes and the measured wheelbase and agree with the dataset authors’ processing script within 1–2 %. A low-pass fit of the records gives lane-A speeds 1.139 times the spike speeds (median; SD 0.124; 22 runs). Lane-B speeds were taken from the lag between gauges. Records were integrated over the whole time the truck was on the bridge plus 5 s at each end. Three day-1 runs with two trucks on the bridge and four passes without documented weights were excluded. Vehicle-free noise windows were at least 70 s from any detected vehicle.</w:t>
      </w:r>
    </w:p>
    <w:p>
      <w:pPr>
        <w:pStyle w:val="BodyText"/>
      </w:pPr>
      <w:r>
        <w:t xml:space="preserve">Invariance and speed. On day 1, eight of the twelve gauges have a coefficient of variation (CV) of 5.8–13.5 %, consistent with the noise (χ² p = 0.13–0.71; Table S5). The first truck ran at 10.4–12.8 m/s and the second at 19.1–19.8 m/s, so speed and truck are confounded. Day-2 speeds were 13–28 m/s; no speed effect was resolved (+6 % per 10 m/s, 95 % CI −23 to +35 %), but the confidence interval of the slope is too wide to call the constant speed-independent (Fig. S11). Equivalence was tested by two one-sided tests (TOST; Table S6). Day-2 noise amplitudes at the median speed were 13.7–32.8 µε m.</w:t>
      </w:r>
    </w:p>
    <w:p>
      <w:pPr>
        <w:pStyle w:val="Figure"/>
      </w:pPr>
      <w:r>
        <w:drawing>
          <wp:inline>
            <wp:extent cx="5039999" cy="1819999"/>
            <wp:effectExtent b="0" l="0" r="0" t="0"/>
            <wp:docPr descr="" title="" id="51" name="Picture"/>
            <a:graphic>
              <a:graphicData uri="http://schemas.openxmlformats.org/drawingml/2006/picture">
                <pic:pic>
                  <pic:nvPicPr>
                    <pic:cNvPr descr="/home/user/SHM-Paper1-1D/manuscript/ase/figures/supplementary/FigS11_norbwim_speed.png" id="52" name="Picture"/>
                    <pic:cNvPicPr>
                      <a:picLocks noChangeArrowheads="1" noChangeAspect="1"/>
                    </pic:cNvPicPr>
                  </pic:nvPicPr>
                  <pic:blipFill>
                    <a:blip r:embed="rId50"/>
                    <a:stretch>
                      <a:fillRect/>
                    </a:stretch>
                  </pic:blipFill>
                  <pic:spPr bwMode="auto">
                    <a:xfrm>
                      <a:off x="0" y="0"/>
                      <a:ext cx="5039999" cy="1819999"/>
                    </a:xfrm>
                    <a:prstGeom prst="rect">
                      <a:avLst/>
                    </a:prstGeom>
                    <a:noFill/>
                    <a:ln w="9525">
                      <a:noFill/>
                      <a:headEnd/>
                      <a:tailEnd/>
                    </a:ln>
                  </pic:spPr>
                </pic:pic>
              </a:graphicData>
            </a:graphic>
          </wp:inline>
        </w:drawing>
      </w:r>
    </w:p>
    <w:p>
      <w:pPr>
        <w:pStyle w:val="Captionjustified"/>
      </w:pPr>
      <w:r>
        <w:rPr>
          <w:bCs/>
          <w:b/>
        </w:rPr>
        <w:t xml:space="preserve">Figure S11.</w:t>
      </w:r>
      <w:r>
        <w:t xml:space="preserve"> </w:t>
      </w:r>
      <w:r>
        <w:t xml:space="preserve">NOR-BWIM: integral constant against speed for the day-1 gauge average, gauge ch1 and the day-2 gauge average, by truck; the panel titles give the fitted slope per 10 m/s with its 95 % CI.</w:t>
      </w:r>
    </w:p>
    <w:p>
      <w:pPr>
        <w:pStyle w:val="BodyText"/>
      </w:pPr>
      <w:r>
        <w:t xml:space="preserve">Lanes, superposition and gauges. In lane B, the channels that fail the χ² test have CV 31–40 % (χ² p = 0.016–0.027). In lane B, the st36 ratio is 0.64 (95 % CI 0.47–0.81). The two-truck runs gave 0.92 and 0.92 of the summed single-truck predictions (pooled 95 % CI 0.77–1.06); the GLS combination gave 0.82 (95 % CI 0.73–0.91). A one-dimensional beam model predicts ch11/ch8 ratios of 0.978–1.003. The ratio of st36 to st40 constants is 3.24 ± 0.56 in lane A against 1.82 ± 0.10 in lane B (± one standard error), about 2.5 standard errors apart.</w:t>
      </w:r>
    </w:p>
    <w:p>
      <w:pPr>
        <w:pStyle w:val="BodyText"/>
      </w:pPr>
      <w:r>
        <w:t xml:space="preserve">Estimators. Table S8 gives all out-of-sample errors, including leave-one-truck-out (LOTO) and the four wheel-path gauges of day 1; Fig. S10 also shows in-sample results. On day 2, GLS with the measured covariance was significantly worse than the gauge average (paired difference +8.5 percentage points, 95 % CI +2.3 to +15.1); on day 1 the estimators cannot be told apart, and on both days every estimator is worse than the mean-weight predictor. Table S7 and Fig. S9 give the correlations behind this result, and Table S9 shows that the covariance of the crossing residuals, unlike the vehicle-free covariance, predicts the observed order of GLS and gauge average. The day-2 per-crossing SD predicted by the vehicle-free covariance (% of GVW) is 16.2 for the best single gauge, 32.5 for the worst single gauge, 19.8 for the gauge average, 19.4 for GLS with diagonal Σ, 12.7 for GLS with measured Σ, 13.3 for the zero-sum estimator with measured Σ and 16.1 for the zero-sum estimator with Σ = identity. The GLS weights with the measured Σ are st40 +0.16 and st36 −0.35. GLS with Σ estimated from the crossing residuals has a mean absolute error of 8.5 % of GVW in sample and 23.4 % out of sample (root-mean-square errors 10.4 % and 28.4 %), that is, it over-fits with eight runs.</w:t>
      </w:r>
    </w:p>
    <w:p>
      <w:pPr>
        <w:pStyle w:val="Figure"/>
      </w:pPr>
      <w:r>
        <w:drawing>
          <wp:inline>
            <wp:extent cx="5039999" cy="2239999"/>
            <wp:effectExtent b="0" l="0" r="0" t="0"/>
            <wp:docPr descr="" title="" id="54" name="Picture"/>
            <a:graphic>
              <a:graphicData uri="http://schemas.openxmlformats.org/drawingml/2006/picture">
                <pic:pic>
                  <pic:nvPicPr>
                    <pic:cNvPr descr="/home/user/SHM-Paper1-1D/manuscript/ase/figures/supplementary/FigS10_norbwim_estimators.png" id="55" name="Picture"/>
                    <pic:cNvPicPr>
                      <a:picLocks noChangeArrowheads="1" noChangeAspect="1"/>
                    </pic:cNvPicPr>
                  </pic:nvPicPr>
                  <pic:blipFill>
                    <a:blip r:embed="rId53"/>
                    <a:stretch>
                      <a:fillRect/>
                    </a:stretch>
                  </pic:blipFill>
                  <pic:spPr bwMode="auto">
                    <a:xfrm>
                      <a:off x="0" y="0"/>
                      <a:ext cx="5039999" cy="2239999"/>
                    </a:xfrm>
                    <a:prstGeom prst="rect">
                      <a:avLst/>
                    </a:prstGeom>
                    <a:noFill/>
                    <a:ln w="9525">
                      <a:noFill/>
                      <a:headEnd/>
                      <a:tailEnd/>
                    </a:ln>
                  </pic:spPr>
                </pic:pic>
              </a:graphicData>
            </a:graphic>
          </wp:inline>
        </w:drawing>
      </w:r>
    </w:p>
    <w:p>
      <w:pPr>
        <w:pStyle w:val="Captionjustified"/>
      </w:pPr>
      <w:r>
        <w:rPr>
          <w:bCs/>
          <w:b/>
        </w:rPr>
        <w:t xml:space="preserve">Figure S10.</w:t>
      </w:r>
      <w:r>
        <w:t xml:space="preserve"> </w:t>
      </w:r>
      <w:r>
        <w:t xml:space="preserve">NOR-BWIM: mean absolute error of the gross weight for single-gauge, gauge-average, GLS, zero-sum and mean-weight (mean-GVW) predictors, with 95 % bootstrap confidence intervals: in sample (IN), leave-one-run-out (LOO) and leave-one-truck-out (LOTO). (a) Day 2, 4 gauges; (b) day 1, 4 wheel-path gauges; (c) day 1, 12 gauges (multi-gauge estimators use all 12; only the single gauges ch5 and ch11 are shown). GLS-diag: diagonal covariance; zero-sum-eq: zero-sum estimator with equal noise (</w:t>
      </w:r>
      <m:oMath>
        <m:r>
          <m:t>Σ</m:t>
        </m:r>
      </m:oMath>
      <w:r>
        <w:t xml:space="preserve"> </w:t>
      </w:r>
      <w:r>
        <w:t xml:space="preserve">= identity matrix); GLS-resid: covariance from crossing residuals.</w:t>
      </w:r>
    </w:p>
    <w:p>
      <w:pPr>
        <w:pStyle w:val="Figure"/>
      </w:pPr>
      <w:r>
        <w:drawing>
          <wp:inline>
            <wp:extent cx="5039999" cy="2309999"/>
            <wp:effectExtent b="0" l="0" r="0" t="0"/>
            <wp:docPr descr="" title="" id="57" name="Picture"/>
            <a:graphic>
              <a:graphicData uri="http://schemas.openxmlformats.org/drawingml/2006/picture">
                <pic:pic>
                  <pic:nvPicPr>
                    <pic:cNvPr descr="/home/user/SHM-Paper1-1D/manuscript/ase/figures/supplementary/FigS9_norbwim_noise_correlation.png" id="58" name="Picture"/>
                    <pic:cNvPicPr>
                      <a:picLocks noChangeArrowheads="1" noChangeAspect="1"/>
                    </pic:cNvPicPr>
                  </pic:nvPicPr>
                  <pic:blipFill>
                    <a:blip r:embed="rId56"/>
                    <a:stretch>
                      <a:fillRect/>
                    </a:stretch>
                  </pic:blipFill>
                  <pic:spPr bwMode="auto">
                    <a:xfrm>
                      <a:off x="0" y="0"/>
                      <a:ext cx="5039999" cy="2309999"/>
                    </a:xfrm>
                    <a:prstGeom prst="rect">
                      <a:avLst/>
                    </a:prstGeom>
                    <a:noFill/>
                    <a:ln w="9525">
                      <a:noFill/>
                      <a:headEnd/>
                      <a:tailEnd/>
                    </a:ln>
                  </pic:spPr>
                </pic:pic>
              </a:graphicData>
            </a:graphic>
          </wp:inline>
        </w:drawing>
      </w:r>
    </w:p>
    <w:p>
      <w:pPr>
        <w:pStyle w:val="Captionjustified"/>
      </w:pPr>
      <w:r>
        <w:rPr>
          <w:bCs/>
          <w:b/>
        </w:rPr>
        <w:t xml:space="preserve">Figure S9.</w:t>
      </w:r>
      <w:r>
        <w:t xml:space="preserve"> </w:t>
      </w:r>
      <w:r>
        <w:t xml:space="preserve">NOR-BWIM: correlation matrices of the integrated vehicle-free noise between gauges, for windows of crossing length; day 1 (12 gauges) and day 2 (4 gauges).</w:t>
      </w:r>
    </w:p>
    <w:p>
      <w:pPr>
        <w:pStyle w:val="BodyText"/>
      </w:pPr>
      <w:r>
        <w:t xml:space="preserve">Beam model and limits. The beam model of the five-span girder (Euler–Bernoulli, parabolic haunch, second moment proportional to</w:t>
      </w:r>
      <w:r>
        <w:t xml:space="preserve"> </w:t>
      </w:r>
      <m:oMath>
        <m:sSup>
          <m:e>
            <m:r>
              <m:t>h</m:t>
            </m:r>
          </m:e>
          <m:sup>
            <m:r>
              <m:t>2</m:t>
            </m:r>
          </m:sup>
        </m:sSup>
      </m:oMath>
      <w:r>
        <w:t xml:space="preserve">) gives</w:t>
      </w:r>
      <w:r>
        <w:t xml:space="preserve"> </w:t>
      </w:r>
      <m:oMath>
        <m:sSup>
          <m:e>
            <m:r>
              <m:t>r</m:t>
            </m:r>
          </m:e>
          <m:sup>
            <m:r>
              <m:t>2</m:t>
            </m:r>
          </m:sup>
        </m:sSup>
      </m:oMath>
      <w:r>
        <w:t xml:space="preserve"> </w:t>
      </w:r>
      <w:r>
        <w:t xml:space="preserve">= 0.79–0.94 against the strain histories; zeros of the uniform-load moment in span 2 at 121.6 m and 190.8 m; a strain constant of the gauges 0.69 of the largest on the girder (0.56–0.93 across rigidity laws); a cancellation ratio</w:t>
      </w:r>
      <w:r>
        <w:t xml:space="preserve"> </w:t>
      </w:r>
      <m:oMath>
        <m:r>
          <m:t>R</m:t>
        </m:r>
      </m:oMath>
      <w:r>
        <w:t xml:space="preserve"> </w:t>
      </w:r>
      <w:r>
        <w:t xml:space="preserve">= 0.51; and contributions of span 2 of about 170 % of the net integral and of the adjacent spans −26 % and −66 % (Fig. S12). Fig. S13 shows the synthetic records of the dataset authors processed with the same integration. The tests rest on four trucks, two axle counts and seven or eight runs per day. The gauge calibration factors and exact positions are not published, so absolute constants cannot be checked. The dataset authors reported a mean absolute GVW error of 4.6 % for their influence-line system on this bridge (Moghadam et al., 2023a); it was obtained on different runs and is not compared directly with the results of the main text.</w:t>
      </w:r>
    </w:p>
    <w:p>
      <w:pPr>
        <w:pStyle w:val="Figure"/>
      </w:pPr>
      <w:r>
        <w:drawing>
          <wp:inline>
            <wp:extent cx="5039999" cy="5319999"/>
            <wp:effectExtent b="0" l="0" r="0" t="0"/>
            <wp:docPr descr="" title="" id="60" name="Picture"/>
            <a:graphic>
              <a:graphicData uri="http://schemas.openxmlformats.org/drawingml/2006/picture">
                <pic:pic>
                  <pic:nvPicPr>
                    <pic:cNvPr descr="/home/user/SHM-Paper1-1D/manuscript/ase/figures/supplementary/FigS12_norbwim_beam_observability.png" id="61" name="Picture"/>
                    <pic:cNvPicPr>
                      <a:picLocks noChangeArrowheads="1" noChangeAspect="1"/>
                    </pic:cNvPicPr>
                  </pic:nvPicPr>
                  <pic:blipFill>
                    <a:blip r:embed="rId59"/>
                    <a:stretch>
                      <a:fillRect/>
                    </a:stretch>
                  </pic:blipFill>
                  <pic:spPr bwMode="auto">
                    <a:xfrm>
                      <a:off x="0" y="0"/>
                      <a:ext cx="5039999" cy="5319999"/>
                    </a:xfrm>
                    <a:prstGeom prst="rect">
                      <a:avLst/>
                    </a:prstGeom>
                    <a:noFill/>
                    <a:ln w="9525">
                      <a:noFill/>
                      <a:headEnd/>
                      <a:tailEnd/>
                    </a:ln>
                  </pic:spPr>
                </pic:pic>
              </a:graphicData>
            </a:graphic>
          </wp:inline>
        </w:drawing>
      </w:r>
    </w:p>
    <w:p>
      <w:pPr>
        <w:pStyle w:val="Captionjustified"/>
      </w:pPr>
      <w:r>
        <w:rPr>
          <w:bCs/>
          <w:b/>
        </w:rPr>
        <w:t xml:space="preserve">Figure S12.</w:t>
      </w:r>
      <w:r>
        <w:t xml:space="preserve"> </w:t>
      </w:r>
      <w:r>
        <w:t xml:space="preserve">Five-span girder, beam model with uniform rigidity and two haunch laws: uniform-load moment (top) and strain constant (middle) along the girder, normalized at the gauges, and the single-gauge error expected from the measured noise for a 25 t truck (bottom). Red line: gauge position; dotted lines: zero-moment points.</w:t>
      </w:r>
    </w:p>
    <w:p>
      <w:pPr>
        <w:pStyle w:val="Figure"/>
      </w:pPr>
      <w:r>
        <w:drawing>
          <wp:inline>
            <wp:extent cx="5039999" cy="1959999"/>
            <wp:effectExtent b="0" l="0" r="0" t="0"/>
            <wp:docPr descr="" title="" id="63" name="Picture"/>
            <a:graphic>
              <a:graphicData uri="http://schemas.openxmlformats.org/drawingml/2006/picture">
                <pic:pic>
                  <pic:nvPicPr>
                    <pic:cNvPr descr="/home/user/SHM-Paper1-1D/manuscript/ase/figures/supplementary/FigS13_veb_synthetic.png" id="64" name="Picture"/>
                    <pic:cNvPicPr>
                      <a:picLocks noChangeArrowheads="1" noChangeAspect="1"/>
                    </pic:cNvPicPr>
                  </pic:nvPicPr>
                  <pic:blipFill>
                    <a:blip r:embed="rId62"/>
                    <a:stretch>
                      <a:fillRect/>
                    </a:stretch>
                  </pic:blipFill>
                  <pic:spPr bwMode="auto">
                    <a:xfrm>
                      <a:off x="0" y="0"/>
                      <a:ext cx="5039999" cy="1959999"/>
                    </a:xfrm>
                    <a:prstGeom prst="rect">
                      <a:avLst/>
                    </a:prstGeom>
                    <a:noFill/>
                    <a:ln w="9525">
                      <a:noFill/>
                      <a:headEnd/>
                      <a:tailEnd/>
                    </a:ln>
                  </pic:spPr>
                </pic:pic>
              </a:graphicData>
            </a:graphic>
          </wp:inline>
        </w:drawing>
      </w:r>
    </w:p>
    <w:p>
      <w:pPr>
        <w:pStyle w:val="Captionjustified"/>
      </w:pPr>
      <w:r>
        <w:rPr>
          <w:bCs/>
          <w:b/>
        </w:rPr>
        <w:t xml:space="preserve">Figure S13.</w:t>
      </w:r>
      <w:r>
        <w:t xml:space="preserve"> </w:t>
      </w:r>
      <w:r>
        <w:t xml:space="preserve">Synthetic strain records of the dataset authors: integral per unit gross weight by truck and lane, and for a 3-axle truck against speed.</w:t>
      </w:r>
    </w:p>
    <w:p>
      <w:pPr>
        <w:pStyle w:val="BodyText"/>
        <w:keepNext/>
      </w:pPr>
      <w:r>
        <w:rPr>
          <w:bCs/>
          <w:b/>
        </w:rPr>
        <w:t xml:space="preserve">Table S5.</w:t>
      </w:r>
      <w:r>
        <w:t xml:space="preserve"> </w:t>
      </w:r>
      <w:r>
        <w:t xml:space="preserve">Integral constant</w:t>
      </w:r>
      <w:r>
        <w:t xml:space="preserve"> </w:t>
      </w:r>
      <m:oMath>
        <m:r>
          <m:t>C</m:t>
        </m:r>
      </m:oMath>
      <w:r>
        <w:t xml:space="preserve"> </w:t>
      </w:r>
      <w:r>
        <w:t xml:space="preserve">and its scatter over the runs, lane A unless stated. CV expected: coefficient of variation predicted from the measured vehicle-free noise. For ch1, ch2, ch8 and ch9 the residual variance is 2.9–5.1 times the vehicle-free noise variance.</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2633"/>
        <w:gridCol w:w="804"/>
        <w:gridCol w:w="1755"/>
        <w:gridCol w:w="1536"/>
        <w:gridCol w:w="1389"/>
        <w:gridCol w:w="950"/>
      </w:tblGrid>
      <w:tr>
        <w:trPr>
          <w:tblHeader w:val="true"/>
          <w:tblHeader w:val="true"/>
          <w:cantSplit/>
        </w:trPr>
        <w:tc>
          <w:tcPr>
            <w:tcW w:type="dxa" w:w="2633"/>
            <w:tcBorders>
              <w:top w:val="nil"/>
              <w:left w:val="nil"/>
              <w:bottom w:val="single" w:sz="6" w:space="0" w:color="000000"/>
              <w:right w:val="nil"/>
            </w:tcBorders>
          </w:tcPr>
          <w:p>
            <w:pPr>
              <w:pStyle w:val="Compact"/>
              <w:jc w:val="left"/>
            </w:pPr>
            <w:r>
              <w:t xml:space="preserve">Day, channel</w:t>
            </w:r>
          </w:p>
        </w:tc>
        <w:tc>
          <w:tcPr>
            <w:tcW w:type="dxa" w:w="804"/>
            <w:tcBorders>
              <w:top w:val="nil"/>
              <w:left w:val="nil"/>
              <w:bottom w:val="single" w:sz="6" w:space="0" w:color="000000"/>
              <w:right w:val="nil"/>
            </w:tcBorders>
          </w:tcPr>
          <w:p>
            <w:pPr>
              <w:pStyle w:val="Compact"/>
              <w:jc w:val="right"/>
            </w:pPr>
            <w:r>
              <w:t xml:space="preserve">Runs</w:t>
            </w:r>
          </w:p>
        </w:tc>
        <w:tc>
          <w:tcPr>
            <w:tcW w:type="dxa" w:w="1755"/>
            <w:tcBorders>
              <w:top w:val="nil"/>
              <w:left w:val="nil"/>
              <w:bottom w:val="single" w:sz="6" w:space="0" w:color="000000"/>
              <w:right w:val="nil"/>
            </w:tcBorders>
          </w:tcPr>
          <w:p>
            <w:pPr>
              <w:pStyle w:val="Compact"/>
              <w:jc w:val="right"/>
            </w:pPr>
            <m:oMath>
              <m:r>
                <m:t>C</m:t>
              </m:r>
            </m:oMath>
            <w:r>
              <w:t xml:space="preserve"> </w:t>
            </w:r>
            <w:r>
              <w:t xml:space="preserve">(µε m/t), 95 % CI</w:t>
            </w:r>
          </w:p>
        </w:tc>
        <w:tc>
          <w:tcPr>
            <w:tcW w:type="dxa" w:w="1536"/>
            <w:tcBorders>
              <w:top w:val="nil"/>
              <w:left w:val="nil"/>
              <w:bottom w:val="single" w:sz="6" w:space="0" w:color="000000"/>
              <w:right w:val="nil"/>
            </w:tcBorders>
          </w:tcPr>
          <w:p>
            <w:pPr>
              <w:pStyle w:val="Compact"/>
              <w:jc w:val="right"/>
            </w:pPr>
            <w:r>
              <w:t xml:space="preserve">CV observed (%)</w:t>
            </w:r>
          </w:p>
        </w:tc>
        <w:tc>
          <w:tcPr>
            <w:tcW w:type="dxa" w:w="1389"/>
            <w:tcBorders>
              <w:top w:val="nil"/>
              <w:left w:val="nil"/>
              <w:bottom w:val="single" w:sz="6" w:space="0" w:color="000000"/>
              <w:right w:val="nil"/>
            </w:tcBorders>
          </w:tcPr>
          <w:p>
            <w:pPr>
              <w:pStyle w:val="Compact"/>
              <w:jc w:val="right"/>
            </w:pPr>
            <w:r>
              <w:t xml:space="preserve">CV expected (%)</w:t>
            </w:r>
          </w:p>
        </w:tc>
        <w:tc>
          <w:tcPr>
            <w:tcW w:type="dxa" w:w="950"/>
            <w:tcBorders>
              <w:top w:val="nil"/>
              <w:left w:val="nil"/>
              <w:bottom w:val="single" w:sz="6" w:space="0" w:color="000000"/>
              <w:right w:val="nil"/>
            </w:tcBorders>
          </w:tcPr>
          <w:p>
            <w:pPr>
              <w:pStyle w:val="Compact"/>
              <w:jc w:val="right"/>
            </w:pPr>
            <w:r>
              <w:t xml:space="preserve">χ² p</w:t>
            </w:r>
          </w:p>
        </w:tc>
      </w:tr>
      <w:tr>
        <w:trPr>
          <w:cantSplit/>
        </w:trPr>
        <w:tc>
          <w:tcPr>
            <w:tcW w:type="dxa" w:w="2633"/>
          </w:tcPr>
          <w:p>
            <w:pPr>
              <w:pStyle w:val="Compact"/>
              <w:jc w:val="left"/>
            </w:pPr>
            <w:r>
              <w:t xml:space="preserve">1, ch11 (best)</w:t>
            </w:r>
          </w:p>
        </w:tc>
        <w:tc>
          <w:tcPr>
            <w:tcW w:type="dxa" w:w="804"/>
          </w:tcPr>
          <w:p>
            <w:pPr>
              <w:pStyle w:val="Compact"/>
              <w:jc w:val="right"/>
            </w:pPr>
            <w:r>
              <w:t xml:space="preserve">7</w:t>
            </w:r>
          </w:p>
        </w:tc>
        <w:tc>
          <w:tcPr>
            <w:tcW w:type="dxa" w:w="1755"/>
          </w:tcPr>
          <w:p>
            <w:pPr>
              <w:pStyle w:val="Compact"/>
              <w:jc w:val="right"/>
            </w:pPr>
            <w:r>
              <w:t xml:space="preserve">−5.85 (−6.17, −5.53)</w:t>
            </w:r>
          </w:p>
        </w:tc>
        <w:tc>
          <w:tcPr>
            <w:tcW w:type="dxa" w:w="1536"/>
          </w:tcPr>
          <w:p>
            <w:pPr>
              <w:pStyle w:val="Compact"/>
              <w:jc w:val="right"/>
            </w:pPr>
            <w:r>
              <w:t xml:space="preserve">5.8</w:t>
            </w:r>
          </w:p>
        </w:tc>
        <w:tc>
          <w:tcPr>
            <w:tcW w:type="dxa" w:w="1389"/>
          </w:tcPr>
          <w:p>
            <w:pPr>
              <w:pStyle w:val="Compact"/>
              <w:jc w:val="right"/>
            </w:pPr>
            <w:r>
              <w:t xml:space="preserve">6.8</w:t>
            </w:r>
          </w:p>
        </w:tc>
        <w:tc>
          <w:tcPr>
            <w:tcW w:type="dxa" w:w="950"/>
          </w:tcPr>
          <w:p>
            <w:pPr>
              <w:pStyle w:val="Compact"/>
              <w:jc w:val="right"/>
            </w:pPr>
            <w:r>
              <w:t xml:space="preserve">0.60</w:t>
            </w:r>
          </w:p>
        </w:tc>
      </w:tr>
      <w:tr>
        <w:trPr>
          <w:cantSplit/>
        </w:trPr>
        <w:tc>
          <w:tcPr>
            <w:tcW w:type="dxa" w:w="2633"/>
          </w:tcPr>
          <w:p>
            <w:pPr>
              <w:pStyle w:val="Compact"/>
              <w:jc w:val="left"/>
            </w:pPr>
            <w:r>
              <w:t xml:space="preserve">1, gauge average (4 wheel-path gauges)</w:t>
            </w:r>
          </w:p>
        </w:tc>
        <w:tc>
          <w:tcPr>
            <w:tcW w:type="dxa" w:w="804"/>
          </w:tcPr>
          <w:p>
            <w:pPr>
              <w:pStyle w:val="Compact"/>
              <w:jc w:val="right"/>
            </w:pPr>
            <w:r>
              <w:t xml:space="preserve">7</w:t>
            </w:r>
          </w:p>
        </w:tc>
        <w:tc>
          <w:tcPr>
            <w:tcW w:type="dxa" w:w="1755"/>
          </w:tcPr>
          <w:p>
            <w:pPr>
              <w:pStyle w:val="Compact"/>
              <w:jc w:val="right"/>
            </w:pPr>
            <w:r>
              <w:t xml:space="preserve">−4.03 (−4.24, −3.82)</w:t>
            </w:r>
          </w:p>
        </w:tc>
        <w:tc>
          <w:tcPr>
            <w:tcW w:type="dxa" w:w="1536"/>
          </w:tcPr>
          <w:p>
            <w:pPr>
              <w:pStyle w:val="Compact"/>
              <w:jc w:val="right"/>
            </w:pPr>
            <w:r>
              <w:t xml:space="preserve">5.6</w:t>
            </w:r>
          </w:p>
        </w:tc>
        <w:tc>
          <w:tcPr>
            <w:tcW w:type="dxa" w:w="1389"/>
          </w:tcPr>
          <w:p>
            <w:pPr>
              <w:pStyle w:val="Compact"/>
              <w:jc w:val="right"/>
            </w:pPr>
            <w:r>
              <w:t xml:space="preserve">6.1</w:t>
            </w:r>
          </w:p>
        </w:tc>
        <w:tc>
          <w:tcPr>
            <w:tcW w:type="dxa" w:w="950"/>
          </w:tcPr>
          <w:p>
            <w:pPr>
              <w:pStyle w:val="Compact"/>
              <w:jc w:val="right"/>
            </w:pPr>
            <w:r>
              <w:t xml:space="preserve">0.53</w:t>
            </w:r>
          </w:p>
        </w:tc>
      </w:tr>
      <w:tr>
        <w:trPr>
          <w:cantSplit/>
        </w:trPr>
        <w:tc>
          <w:tcPr>
            <w:tcW w:type="dxa" w:w="2633"/>
          </w:tcPr>
          <w:p>
            <w:pPr>
              <w:pStyle w:val="Compact"/>
              <w:jc w:val="left"/>
            </w:pPr>
            <w:r>
              <w:t xml:space="preserve">1, ch1, ch2, ch8, ch9</w:t>
            </w:r>
          </w:p>
        </w:tc>
        <w:tc>
          <w:tcPr>
            <w:tcW w:type="dxa" w:w="804"/>
          </w:tcPr>
          <w:p>
            <w:pPr>
              <w:pStyle w:val="Compact"/>
              <w:jc w:val="right"/>
            </w:pPr>
            <w:r>
              <w:t xml:space="preserve">7</w:t>
            </w:r>
          </w:p>
        </w:tc>
        <w:tc>
          <w:tcPr>
            <w:tcW w:type="dxa" w:w="1755"/>
          </w:tcPr>
          <w:p>
            <w:pPr>
              <w:pStyle w:val="Compact"/>
              <w:jc w:val="right"/>
            </w:pPr>
            <w:r>
              <w:t xml:space="preserve">−1.49 to −2.38</w:t>
            </w:r>
          </w:p>
        </w:tc>
        <w:tc>
          <w:tcPr>
            <w:tcW w:type="dxa" w:w="1536"/>
          </w:tcPr>
          <w:p>
            <w:pPr>
              <w:pStyle w:val="Compact"/>
              <w:jc w:val="right"/>
            </w:pPr>
            <w:r>
              <w:t xml:space="preserve">17.2–19.1</w:t>
            </w:r>
          </w:p>
        </w:tc>
        <w:tc>
          <w:tcPr>
            <w:tcW w:type="dxa" w:w="1389"/>
          </w:tcPr>
          <w:p>
            <w:pPr>
              <w:pStyle w:val="Compact"/>
              <w:jc w:val="right"/>
            </w:pPr>
            <w:r>
              <w:t xml:space="preserve">7.8–11.0</w:t>
            </w:r>
          </w:p>
        </w:tc>
        <w:tc>
          <w:tcPr>
            <w:tcW w:type="dxa" w:w="950"/>
          </w:tcPr>
          <w:p>
            <w:pPr>
              <w:pStyle w:val="Compact"/>
              <w:jc w:val="right"/>
            </w:pPr>
            <w:r>
              <w:t xml:space="preserve">≤ 0.012</w:t>
            </w:r>
          </w:p>
        </w:tc>
      </w:tr>
      <w:tr>
        <w:trPr>
          <w:cantSplit/>
        </w:trPr>
        <w:tc>
          <w:tcPr>
            <w:tcW w:type="dxa" w:w="2633"/>
          </w:tcPr>
          <w:p>
            <w:pPr>
              <w:pStyle w:val="Compact"/>
              <w:jc w:val="left"/>
            </w:pPr>
            <w:r>
              <w:t xml:space="preserve">2, st36</w:t>
            </w:r>
          </w:p>
        </w:tc>
        <w:tc>
          <w:tcPr>
            <w:tcW w:type="dxa" w:w="804"/>
          </w:tcPr>
          <w:p>
            <w:pPr>
              <w:pStyle w:val="Compact"/>
              <w:jc w:val="right"/>
            </w:pPr>
            <w:r>
              <w:t xml:space="preserve">8</w:t>
            </w:r>
          </w:p>
        </w:tc>
        <w:tc>
          <w:tcPr>
            <w:tcW w:type="dxa" w:w="1755"/>
          </w:tcPr>
          <w:p>
            <w:pPr>
              <w:pStyle w:val="Compact"/>
              <w:jc w:val="right"/>
            </w:pPr>
            <w:r>
              <w:t xml:space="preserve">−5.97 (−6.57, −5.38)</w:t>
            </w:r>
          </w:p>
        </w:tc>
        <w:tc>
          <w:tcPr>
            <w:tcW w:type="dxa" w:w="1536"/>
          </w:tcPr>
          <w:p>
            <w:pPr>
              <w:pStyle w:val="Compact"/>
              <w:jc w:val="right"/>
            </w:pPr>
            <w:r>
              <w:t xml:space="preserve">12.0</w:t>
            </w:r>
          </w:p>
        </w:tc>
        <w:tc>
          <w:tcPr>
            <w:tcW w:type="dxa" w:w="1389"/>
          </w:tcPr>
          <w:p>
            <w:pPr>
              <w:pStyle w:val="Compact"/>
              <w:jc w:val="right"/>
            </w:pPr>
            <w:r>
              <w:t xml:space="preserve">16.5</w:t>
            </w:r>
          </w:p>
        </w:tc>
        <w:tc>
          <w:tcPr>
            <w:tcW w:type="dxa" w:w="950"/>
          </w:tcPr>
          <w:p>
            <w:pPr>
              <w:pStyle w:val="Compact"/>
              <w:jc w:val="right"/>
            </w:pPr>
            <w:r>
              <w:t xml:space="preserve">0.73</w:t>
            </w:r>
          </w:p>
        </w:tc>
      </w:tr>
      <w:tr>
        <w:trPr>
          <w:cantSplit/>
        </w:trPr>
        <w:tc>
          <w:tcPr>
            <w:tcW w:type="dxa" w:w="2633"/>
          </w:tcPr>
          <w:p>
            <w:pPr>
              <w:pStyle w:val="Compact"/>
              <w:jc w:val="left"/>
            </w:pPr>
            <w:r>
              <w:t xml:space="preserve">2, gauge average (4 gauges)</w:t>
            </w:r>
          </w:p>
        </w:tc>
        <w:tc>
          <w:tcPr>
            <w:tcW w:type="dxa" w:w="804"/>
          </w:tcPr>
          <w:p>
            <w:pPr>
              <w:pStyle w:val="Compact"/>
              <w:jc w:val="right"/>
            </w:pPr>
            <w:r>
              <w:t xml:space="preserve">8</w:t>
            </w:r>
          </w:p>
        </w:tc>
        <w:tc>
          <w:tcPr>
            <w:tcW w:type="dxa" w:w="1755"/>
          </w:tcPr>
          <w:p>
            <w:pPr>
              <w:pStyle w:val="Compact"/>
              <w:jc w:val="right"/>
            </w:pPr>
            <w:r>
              <w:t xml:space="preserve">−4.12 (−4.62, −3.63)</w:t>
            </w:r>
          </w:p>
        </w:tc>
        <w:tc>
          <w:tcPr>
            <w:tcW w:type="dxa" w:w="1536"/>
          </w:tcPr>
          <w:p>
            <w:pPr>
              <w:pStyle w:val="Compact"/>
              <w:jc w:val="right"/>
            </w:pPr>
            <w:r>
              <w:t xml:space="preserve">14.4</w:t>
            </w:r>
          </w:p>
        </w:tc>
        <w:tc>
          <w:tcPr>
            <w:tcW w:type="dxa" w:w="1389"/>
          </w:tcPr>
          <w:p>
            <w:pPr>
              <w:pStyle w:val="Compact"/>
              <w:jc w:val="right"/>
            </w:pPr>
            <w:r>
              <w:t xml:space="preserve">20.2</w:t>
            </w:r>
          </w:p>
        </w:tc>
        <w:tc>
          <w:tcPr>
            <w:tcW w:type="dxa" w:w="950"/>
          </w:tcPr>
          <w:p>
            <w:pPr>
              <w:pStyle w:val="Compact"/>
              <w:jc w:val="right"/>
            </w:pPr>
            <w:r>
              <w:t xml:space="preserve">0.79</w:t>
            </w:r>
          </w:p>
        </w:tc>
      </w:tr>
      <w:tr>
        <w:trPr>
          <w:cantSplit/>
        </w:trPr>
        <w:tc>
          <w:tcPr>
            <w:tcW w:type="dxa" w:w="2633"/>
          </w:tcPr>
          <w:p>
            <w:pPr>
              <w:pStyle w:val="Compact"/>
              <w:jc w:val="left"/>
            </w:pPr>
            <w:r>
              <w:t xml:space="preserve">2, lane B, average</w:t>
            </w:r>
          </w:p>
        </w:tc>
        <w:tc>
          <w:tcPr>
            <w:tcW w:type="dxa" w:w="804"/>
          </w:tcPr>
          <w:p>
            <w:pPr>
              <w:pStyle w:val="Compact"/>
              <w:jc w:val="right"/>
            </w:pPr>
            <w:r>
              <w:t xml:space="preserve">8</w:t>
            </w:r>
          </w:p>
        </w:tc>
        <w:tc>
          <w:tcPr>
            <w:tcW w:type="dxa" w:w="1755"/>
          </w:tcPr>
          <w:p>
            <w:pPr>
              <w:pStyle w:val="Compact"/>
              <w:jc w:val="right"/>
            </w:pPr>
            <w:r>
              <w:t xml:space="preserve">−3.27 (−4.19, −2.35)</w:t>
            </w:r>
          </w:p>
        </w:tc>
        <w:tc>
          <w:tcPr>
            <w:tcW w:type="dxa" w:w="1536"/>
          </w:tcPr>
          <w:p>
            <w:pPr>
              <w:pStyle w:val="Compact"/>
              <w:jc w:val="right"/>
            </w:pPr>
            <w:r>
              <w:t xml:space="preserve">33.7</w:t>
            </w:r>
          </w:p>
        </w:tc>
        <w:tc>
          <w:tcPr>
            <w:tcW w:type="dxa" w:w="1389"/>
          </w:tcPr>
          <w:p>
            <w:pPr>
              <w:pStyle w:val="Compact"/>
              <w:jc w:val="right"/>
            </w:pPr>
            <w:r>
              <w:t xml:space="preserve">23.2</w:t>
            </w:r>
          </w:p>
        </w:tc>
        <w:tc>
          <w:tcPr>
            <w:tcW w:type="dxa" w:w="950"/>
          </w:tcPr>
          <w:p>
            <w:pPr>
              <w:pStyle w:val="Compact"/>
              <w:jc w:val="right"/>
            </w:pPr>
            <w:r>
              <w:t xml:space="preserve">0.027</w:t>
            </w:r>
          </w:p>
        </w:tc>
      </w:tr>
    </w:tbl>
    <w:p>
      <w:pPr>
        <w:pStyle w:val="BodyText"/>
        <w:keepNext/>
      </w:pPr>
      <w:r>
        <w:rPr>
          <w:bCs/>
          <w:b/>
        </w:rPr>
        <w:t xml:space="preserve">Table S6.</w:t>
      </w:r>
      <w:r>
        <w:t xml:space="preserve"> </w:t>
      </w:r>
      <w:r>
        <w:t xml:space="preserve">Ratio of the integral constants of two trucks, lane A unless stated. Day 1: second to first truck, both 3-axle; day 2: 5-axle to 3-axle truck. Equivalence by two one-sided tests (TOST) at the 5 % level: the 90 % CI of the ratio lies inside the stated margin (for ch11, 0.904–1.098), so a 95 % CI can extend beyond a margin that is shown.</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3232"/>
        <w:gridCol w:w="2604"/>
        <w:gridCol w:w="3232"/>
      </w:tblGrid>
      <w:tr>
        <w:trPr>
          <w:tblHeader w:val="true"/>
          <w:tblHeader w:val="true"/>
          <w:cantSplit/>
        </w:trPr>
        <w:tc>
          <w:tcPr>
            <w:tcW w:type="dxa" w:w="3232"/>
            <w:tcBorders>
              <w:top w:val="nil"/>
              <w:left w:val="nil"/>
              <w:bottom w:val="single" w:sz="6" w:space="0" w:color="000000"/>
              <w:right w:val="nil"/>
            </w:tcBorders>
          </w:tcPr>
          <w:p>
            <w:pPr>
              <w:pStyle w:val="Compact"/>
              <w:jc w:val="left"/>
            </w:pPr>
            <w:r>
              <w:t xml:space="preserve">Day, channel</w:t>
            </w:r>
          </w:p>
        </w:tc>
        <w:tc>
          <w:tcPr>
            <w:tcW w:type="dxa" w:w="2604"/>
            <w:tcBorders>
              <w:top w:val="nil"/>
              <w:left w:val="nil"/>
              <w:bottom w:val="single" w:sz="6" w:space="0" w:color="000000"/>
              <w:right w:val="nil"/>
            </w:tcBorders>
          </w:tcPr>
          <w:p>
            <w:pPr>
              <w:pStyle w:val="Compact"/>
              <w:jc w:val="right"/>
            </w:pPr>
            <w:r>
              <w:t xml:space="preserve">Ratio (95 % CI)</w:t>
            </w:r>
          </w:p>
        </w:tc>
        <w:tc>
          <w:tcPr>
            <w:tcW w:type="dxa" w:w="3232"/>
            <w:tcBorders>
              <w:top w:val="nil"/>
              <w:left w:val="nil"/>
              <w:bottom w:val="single" w:sz="6" w:space="0" w:color="000000"/>
              <w:right w:val="nil"/>
            </w:tcBorders>
          </w:tcPr>
          <w:p>
            <w:pPr>
              <w:pStyle w:val="Compact"/>
              <w:jc w:val="left"/>
            </w:pPr>
            <w:r>
              <w:t xml:space="preserve">Equivalence</w:t>
            </w:r>
          </w:p>
        </w:tc>
      </w:tr>
      <w:tr>
        <w:trPr>
          <w:cantSplit/>
        </w:trPr>
        <w:tc>
          <w:tcPr>
            <w:tcW w:type="dxa" w:w="3232"/>
          </w:tcPr>
          <w:p>
            <w:pPr>
              <w:pStyle w:val="Compact"/>
              <w:jc w:val="left"/>
            </w:pPr>
            <w:r>
              <w:t xml:space="preserve">1, ch11 (best)</w:t>
            </w:r>
          </w:p>
        </w:tc>
        <w:tc>
          <w:tcPr>
            <w:tcW w:type="dxa" w:w="2604"/>
          </w:tcPr>
          <w:p>
            <w:pPr>
              <w:pStyle w:val="Compact"/>
              <w:jc w:val="right"/>
            </w:pPr>
            <w:r>
              <w:t xml:space="preserve">0.996 (0.874–1.136)</w:t>
            </w:r>
          </w:p>
        </w:tc>
        <w:tc>
          <w:tcPr>
            <w:tcW w:type="dxa" w:w="3232"/>
          </w:tcPr>
          <w:p>
            <w:pPr>
              <w:pStyle w:val="Compact"/>
              <w:jc w:val="left"/>
            </w:pPr>
            <w:r>
              <w:t xml:space="preserve">shown within ±10 %</w:t>
            </w:r>
          </w:p>
        </w:tc>
      </w:tr>
      <w:tr>
        <w:trPr>
          <w:cantSplit/>
        </w:trPr>
        <w:tc>
          <w:tcPr>
            <w:tcW w:type="dxa" w:w="3232"/>
          </w:tcPr>
          <w:p>
            <w:pPr>
              <w:pStyle w:val="Compact"/>
              <w:jc w:val="left"/>
            </w:pPr>
            <w:r>
              <w:t xml:space="preserve">1, gauge average (4 wheel-path gauges)</w:t>
            </w:r>
          </w:p>
        </w:tc>
        <w:tc>
          <w:tcPr>
            <w:tcW w:type="dxa" w:w="2604"/>
          </w:tcPr>
          <w:p>
            <w:pPr>
              <w:pStyle w:val="Compact"/>
              <w:jc w:val="right"/>
            </w:pPr>
            <w:r>
              <w:t xml:space="preserve">0.955 (0.863–1.057)</w:t>
            </w:r>
          </w:p>
        </w:tc>
        <w:tc>
          <w:tcPr>
            <w:tcW w:type="dxa" w:w="3232"/>
          </w:tcPr>
          <w:p>
            <w:pPr>
              <w:pStyle w:val="Compact"/>
              <w:jc w:val="left"/>
            </w:pPr>
            <w:r>
              <w:t xml:space="preserve">shown only within ±11.8 %</w:t>
            </w:r>
          </w:p>
        </w:tc>
      </w:tr>
      <w:tr>
        <w:trPr>
          <w:cantSplit/>
        </w:trPr>
        <w:tc>
          <w:tcPr>
            <w:tcW w:type="dxa" w:w="3232"/>
          </w:tcPr>
          <w:p>
            <w:pPr>
              <w:pStyle w:val="Compact"/>
              <w:jc w:val="left"/>
            </w:pPr>
            <w:r>
              <w:t xml:space="preserve">1, ch1, ch2, ch8, ch9</w:t>
            </w:r>
          </w:p>
        </w:tc>
        <w:tc>
          <w:tcPr>
            <w:tcW w:type="dxa" w:w="2604"/>
          </w:tcPr>
          <w:p>
            <w:pPr>
              <w:pStyle w:val="Compact"/>
              <w:jc w:val="right"/>
            </w:pPr>
            <w:r>
              <w:t xml:space="preserve">0.740–0.783</w:t>
            </w:r>
          </w:p>
        </w:tc>
        <w:tc>
          <w:tcPr>
            <w:tcW w:type="dxa" w:w="3232"/>
          </w:tcPr>
          <w:p>
            <w:pPr>
              <w:pStyle w:val="Compact"/>
              <w:jc w:val="left"/>
            </w:pPr>
            <w:r>
              <w:t xml:space="preserve">invariance rejected (CIs exclude 1)</w:t>
            </w:r>
          </w:p>
        </w:tc>
      </w:tr>
      <w:tr>
        <w:trPr>
          <w:cantSplit/>
        </w:trPr>
        <w:tc>
          <w:tcPr>
            <w:tcW w:type="dxa" w:w="3232"/>
          </w:tcPr>
          <w:p>
            <w:pPr>
              <w:pStyle w:val="Compact"/>
              <w:jc w:val="left"/>
            </w:pPr>
            <w:r>
              <w:t xml:space="preserve">2, st36</w:t>
            </w:r>
          </w:p>
        </w:tc>
        <w:tc>
          <w:tcPr>
            <w:tcW w:type="dxa" w:w="2604"/>
          </w:tcPr>
          <w:p>
            <w:pPr>
              <w:pStyle w:val="Compact"/>
              <w:jc w:val="right"/>
            </w:pPr>
            <w:r>
              <w:t xml:space="preserve">1.005 (0.735–1.375)</w:t>
            </w:r>
          </w:p>
        </w:tc>
        <w:tc>
          <w:tcPr>
            <w:tcW w:type="dxa" w:w="3232"/>
          </w:tcPr>
          <w:p>
            <w:pPr>
              <w:pStyle w:val="Compact"/>
              <w:jc w:val="left"/>
            </w:pPr>
            <w:r>
              <w:t xml:space="preserve">not shown</w:t>
            </w:r>
          </w:p>
        </w:tc>
      </w:tr>
      <w:tr>
        <w:trPr>
          <w:cantSplit/>
        </w:trPr>
        <w:tc>
          <w:tcPr>
            <w:tcW w:type="dxa" w:w="3232"/>
          </w:tcPr>
          <w:p>
            <w:pPr>
              <w:pStyle w:val="Compact"/>
              <w:jc w:val="left"/>
            </w:pPr>
            <w:r>
              <w:t xml:space="preserve">2, gauge average (4 gauges)</w:t>
            </w:r>
          </w:p>
        </w:tc>
        <w:tc>
          <w:tcPr>
            <w:tcW w:type="dxa" w:w="2604"/>
          </w:tcPr>
          <w:p>
            <w:pPr>
              <w:pStyle w:val="Compact"/>
              <w:jc w:val="right"/>
            </w:pPr>
            <w:r>
              <w:t xml:space="preserve">0.978 (0.697–1.374)</w:t>
            </w:r>
          </w:p>
        </w:tc>
        <w:tc>
          <w:tcPr>
            <w:tcW w:type="dxa" w:w="3232"/>
          </w:tcPr>
          <w:p>
            <w:pPr>
              <w:pStyle w:val="Compact"/>
              <w:jc w:val="left"/>
            </w:pPr>
            <w:r>
              <w:t xml:space="preserve">shown only within ±26.7 %</w:t>
            </w:r>
          </w:p>
        </w:tc>
      </w:tr>
      <w:tr>
        <w:trPr>
          <w:cantSplit/>
        </w:trPr>
        <w:tc>
          <w:tcPr>
            <w:tcW w:type="dxa" w:w="3232"/>
          </w:tcPr>
          <w:p>
            <w:pPr>
              <w:pStyle w:val="Compact"/>
              <w:jc w:val="left"/>
            </w:pPr>
            <w:r>
              <w:t xml:space="preserve">2, lane B, average</w:t>
            </w:r>
          </w:p>
        </w:tc>
        <w:tc>
          <w:tcPr>
            <w:tcW w:type="dxa" w:w="2604"/>
          </w:tcPr>
          <w:p>
            <w:pPr>
              <w:pStyle w:val="Compact"/>
              <w:jc w:val="right"/>
            </w:pPr>
            <w:r>
              <w:t xml:space="preserve">0.749 (0.440–1.276)</w:t>
            </w:r>
          </w:p>
        </w:tc>
        <w:tc>
          <w:tcPr>
            <w:tcW w:type="dxa" w:w="3232"/>
          </w:tcPr>
          <w:p>
            <w:pPr>
              <w:pStyle w:val="Compact"/>
              <w:jc w:val="left"/>
            </w:pPr>
            <w:r>
              <w:t xml:space="preserve">– (constants fail the χ² test, Table S5)</w:t>
            </w:r>
          </w:p>
        </w:tc>
      </w:tr>
    </w:tbl>
    <w:p>
      <w:pPr>
        <w:pStyle w:val="BodyText"/>
        <w:keepNext/>
      </w:pPr>
      <w:r>
        <w:rPr>
          <w:bCs/>
          <w:b/>
        </w:rPr>
        <w:t xml:space="preserve">Table S7.</w:t>
      </w:r>
      <w:r>
        <w:t xml:space="preserve"> </w:t>
      </w:r>
      <w:r>
        <w:t xml:space="preserve">Correlation between gauges of the integrated strain: means over gauge pairs, with 95 % bootstrap CIs in brackets. Vehicle-free windows: 1227 on day 2 and 3405 on day 1. Crossing residual: deviation of a crossing’s integral from its calibrated value. –: not computed.</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3796"/>
        <w:gridCol w:w="2636"/>
        <w:gridCol w:w="2636"/>
      </w:tblGrid>
      <w:tr>
        <w:trPr>
          <w:tblHeader w:val="true"/>
          <w:tblHeader w:val="true"/>
          <w:cantSplit/>
        </w:trPr>
        <w:tc>
          <w:tcPr>
            <w:tcW w:type="dxa" w:w="3796"/>
            <w:tcBorders>
              <w:top w:val="nil"/>
              <w:left w:val="nil"/>
              <w:bottom w:val="single" w:sz="6" w:space="0" w:color="000000"/>
              <w:right w:val="nil"/>
            </w:tcBorders>
          </w:tcPr>
          <w:p>
            <w:pPr>
              <w:pStyle w:val="Compact"/>
              <w:jc w:val="left"/>
            </w:pPr>
            <w:r>
              <w:t xml:space="preserve">Correlation of</w:t>
            </w:r>
          </w:p>
        </w:tc>
        <w:tc>
          <w:tcPr>
            <w:tcW w:type="dxa" w:w="2636"/>
            <w:tcBorders>
              <w:top w:val="nil"/>
              <w:left w:val="nil"/>
              <w:bottom w:val="single" w:sz="6" w:space="0" w:color="000000"/>
              <w:right w:val="nil"/>
            </w:tcBorders>
          </w:tcPr>
          <w:p>
            <w:pPr>
              <w:pStyle w:val="Compact"/>
              <w:jc w:val="right"/>
            </w:pPr>
            <w:r>
              <w:t xml:space="preserve">Day 2, 4 gauges</w:t>
            </w:r>
          </w:p>
        </w:tc>
        <w:tc>
          <w:tcPr>
            <w:tcW w:type="dxa" w:w="2636"/>
            <w:tcBorders>
              <w:top w:val="nil"/>
              <w:left w:val="nil"/>
              <w:bottom w:val="single" w:sz="6" w:space="0" w:color="000000"/>
              <w:right w:val="nil"/>
            </w:tcBorders>
          </w:tcPr>
          <w:p>
            <w:pPr>
              <w:pStyle w:val="Compact"/>
              <w:jc w:val="right"/>
            </w:pPr>
            <w:r>
              <w:t xml:space="preserve">Day 1, 12 gauges</w:t>
            </w:r>
          </w:p>
        </w:tc>
      </w:tr>
      <w:tr>
        <w:trPr>
          <w:cantSplit/>
        </w:trPr>
        <w:tc>
          <w:tcPr>
            <w:tcW w:type="dxa" w:w="3796"/>
          </w:tcPr>
          <w:p>
            <w:pPr>
              <w:pStyle w:val="Compact"/>
              <w:jc w:val="left"/>
            </w:pPr>
            <w:r>
              <w:t xml:space="preserve">vehicle-free noise, non-overlapping windows</w:t>
            </w:r>
          </w:p>
        </w:tc>
        <w:tc>
          <w:tcPr>
            <w:tcW w:type="dxa" w:w="2636"/>
          </w:tcPr>
          <w:p>
            <w:pPr>
              <w:pStyle w:val="Compact"/>
              <w:jc w:val="right"/>
            </w:pPr>
            <w:r>
              <w:t xml:space="preserve">0.92 (0.83–0.96)</w:t>
            </w:r>
          </w:p>
        </w:tc>
        <w:tc>
          <w:tcPr>
            <w:tcW w:type="dxa" w:w="2636"/>
          </w:tcPr>
          <w:p>
            <w:pPr>
              <w:pStyle w:val="Compact"/>
              <w:jc w:val="right"/>
            </w:pPr>
            <w:r>
              <w:t xml:space="preserve">0.42 (0.26–0.54)</w:t>
            </w:r>
          </w:p>
        </w:tc>
      </w:tr>
      <w:tr>
        <w:trPr>
          <w:cantSplit/>
        </w:trPr>
        <w:tc>
          <w:tcPr>
            <w:tcW w:type="dxa" w:w="3796"/>
          </w:tcPr>
          <w:p>
            <w:pPr>
              <w:pStyle w:val="Compact"/>
              <w:jc w:val="left"/>
            </w:pPr>
            <w:r>
              <w:t xml:space="preserve">vehicle-free noise, window length of each crossing</w:t>
            </w:r>
          </w:p>
        </w:tc>
        <w:tc>
          <w:tcPr>
            <w:tcW w:type="dxa" w:w="2636"/>
          </w:tcPr>
          <w:p>
            <w:pPr>
              <w:pStyle w:val="Compact"/>
              <w:jc w:val="right"/>
            </w:pPr>
            <w:r>
              <w:t xml:space="preserve">0.90</w:t>
            </w:r>
          </w:p>
        </w:tc>
        <w:tc>
          <w:tcPr>
            <w:tcW w:type="dxa" w:w="2636"/>
          </w:tcPr>
          <w:p>
            <w:pPr>
              <w:pStyle w:val="Compact"/>
              <w:jc w:val="right"/>
            </w:pPr>
            <w:r>
              <w:t xml:space="preserve">–</w:t>
            </w:r>
          </w:p>
        </w:tc>
      </w:tr>
      <w:tr>
        <w:trPr>
          <w:cantSplit/>
        </w:trPr>
        <w:tc>
          <w:tcPr>
            <w:tcW w:type="dxa" w:w="3796"/>
          </w:tcPr>
          <w:p>
            <w:pPr>
              <w:pStyle w:val="Compact"/>
              <w:jc w:val="left"/>
            </w:pPr>
            <w:r>
              <w:t xml:space="preserve">crossing residuals</w:t>
            </w:r>
          </w:p>
        </w:tc>
        <w:tc>
          <w:tcPr>
            <w:tcW w:type="dxa" w:w="2636"/>
          </w:tcPr>
          <w:p>
            <w:pPr>
              <w:pStyle w:val="Compact"/>
              <w:jc w:val="right"/>
            </w:pPr>
            <w:r>
              <w:t xml:space="preserve">0.63</w:t>
            </w:r>
          </w:p>
        </w:tc>
        <w:tc>
          <w:tcPr>
            <w:tcW w:type="dxa" w:w="2636"/>
          </w:tcPr>
          <w:p>
            <w:pPr>
              <w:pStyle w:val="Compact"/>
              <w:jc w:val="right"/>
            </w:pPr>
            <w:r>
              <w:t xml:space="preserve">–</w:t>
            </w:r>
          </w:p>
        </w:tc>
      </w:tr>
      <w:tr>
        <w:trPr>
          <w:cantSplit/>
        </w:trPr>
        <w:tc>
          <w:tcPr>
            <w:tcW w:type="dxa" w:w="3796"/>
          </w:tcPr>
          <w:p>
            <w:pPr>
              <w:pStyle w:val="Compact"/>
              <w:jc w:val="left"/>
            </w:pPr>
            <w:r>
              <w:t xml:space="preserve">crossing residuals, st40 with its neighbors</w:t>
            </w:r>
          </w:p>
        </w:tc>
        <w:tc>
          <w:tcPr>
            <w:tcW w:type="dxa" w:w="2636"/>
          </w:tcPr>
          <w:p>
            <w:pPr>
              <w:pStyle w:val="Compact"/>
              <w:jc w:val="right"/>
            </w:pPr>
            <w:r>
              <w:t xml:space="preserve">0.30–0.37</w:t>
            </w:r>
          </w:p>
        </w:tc>
        <w:tc>
          <w:tcPr>
            <w:tcW w:type="dxa" w:w="2636"/>
          </w:tcPr>
          <w:p>
            <w:pPr>
              <w:pStyle w:val="Compact"/>
              <w:jc w:val="right"/>
            </w:pPr>
            <w:r>
              <w:t xml:space="preserve">–</w:t>
            </w:r>
          </w:p>
        </w:tc>
      </w:tr>
    </w:tbl>
    <w:p>
      <w:pPr>
        <w:pStyle w:val="BodyText"/>
        <w:keepNext/>
      </w:pPr>
      <w:r>
        <w:rPr>
          <w:bCs/>
          <w:b/>
        </w:rPr>
        <w:t xml:space="preserve">Table S8.</w:t>
      </w:r>
      <w:r>
        <w:t xml:space="preserve"> </w:t>
      </w:r>
      <w:r>
        <w:t xml:space="preserve">Mean absolute error of the gross weight (% of GVW), out of sample, with 95 % bootstrap CIs over the test runs (n = 8 on day 2, n = 7 on day 1). LOTO: calibrated on one truck, tested on the other. The leave-one-run-out columns contain every row of the estimator table of the main text (Table 2).</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2292"/>
        <w:gridCol w:w="2356"/>
        <w:gridCol w:w="840"/>
        <w:gridCol w:w="1592"/>
        <w:gridCol w:w="1987"/>
      </w:tblGrid>
      <w:tr>
        <w:trPr>
          <w:tblHeader w:val="true"/>
          <w:tblHeader w:val="true"/>
          <w:cantSplit/>
        </w:trPr>
        <w:tc>
          <w:tcPr>
            <w:tcW w:type="dxa" w:w="2292"/>
            <w:tcBorders>
              <w:top w:val="nil"/>
              <w:left w:val="nil"/>
              <w:bottom w:val="single" w:sz="6" w:space="0" w:color="000000"/>
              <w:right w:val="nil"/>
            </w:tcBorders>
          </w:tcPr>
          <w:p>
            <w:pPr>
              <w:pStyle w:val="Compact"/>
              <w:jc w:val="left"/>
            </w:pPr>
            <w:r>
              <w:t xml:space="preserve">Estimator</w:t>
            </w:r>
          </w:p>
        </w:tc>
        <w:tc>
          <w:tcPr>
            <w:tcW w:type="dxa" w:w="2356"/>
            <w:tcBorders>
              <w:top w:val="nil"/>
              <w:left w:val="nil"/>
              <w:bottom w:val="single" w:sz="6" w:space="0" w:color="000000"/>
              <w:right w:val="nil"/>
            </w:tcBorders>
          </w:tcPr>
          <w:p>
            <w:pPr>
              <w:pStyle w:val="Compact"/>
              <w:jc w:val="right"/>
            </w:pPr>
            <w:r>
              <w:t xml:space="preserve">Day 2, leave-one-run-out</w:t>
            </w:r>
          </w:p>
        </w:tc>
        <w:tc>
          <w:tcPr>
            <w:tcW w:type="dxa" w:w="840"/>
            <w:tcBorders>
              <w:top w:val="nil"/>
              <w:left w:val="nil"/>
              <w:bottom w:val="single" w:sz="6" w:space="0" w:color="000000"/>
              <w:right w:val="nil"/>
            </w:tcBorders>
          </w:tcPr>
          <w:p>
            <w:pPr>
              <w:pStyle w:val="Compact"/>
              <w:jc w:val="right"/>
            </w:pPr>
            <w:r>
              <w:t xml:space="preserve">Day 2, LOTO</w:t>
            </w:r>
          </w:p>
        </w:tc>
        <w:tc>
          <w:tcPr>
            <w:tcW w:type="dxa" w:w="1592"/>
            <w:tcBorders>
              <w:top w:val="nil"/>
              <w:left w:val="nil"/>
              <w:bottom w:val="single" w:sz="6" w:space="0" w:color="000000"/>
              <w:right w:val="nil"/>
            </w:tcBorders>
          </w:tcPr>
          <w:p>
            <w:pPr>
              <w:pStyle w:val="Compact"/>
              <w:jc w:val="right"/>
            </w:pPr>
            <w:r>
              <w:t xml:space="preserve">Day 1, 12 gauges</w:t>
            </w:r>
          </w:p>
        </w:tc>
        <w:tc>
          <w:tcPr>
            <w:tcW w:type="dxa" w:w="1987"/>
            <w:tcBorders>
              <w:top w:val="nil"/>
              <w:left w:val="nil"/>
              <w:bottom w:val="single" w:sz="6" w:space="0" w:color="000000"/>
              <w:right w:val="nil"/>
            </w:tcBorders>
          </w:tcPr>
          <w:p>
            <w:pPr>
              <w:pStyle w:val="Compact"/>
              <w:jc w:val="right"/>
            </w:pPr>
            <w:r>
              <w:t xml:space="preserve">Day 1, 4 wheel-path gauges</w:t>
            </w:r>
          </w:p>
        </w:tc>
      </w:tr>
      <w:tr>
        <w:trPr>
          <w:cantSplit/>
        </w:trPr>
        <w:tc>
          <w:tcPr>
            <w:tcW w:type="dxa" w:w="2292"/>
          </w:tcPr>
          <w:p>
            <w:pPr>
              <w:pStyle w:val="Compact"/>
              <w:jc w:val="left"/>
            </w:pPr>
            <w:r>
              <w:t xml:space="preserve">Best single gauge (chosen after the fact)</w:t>
            </w:r>
          </w:p>
        </w:tc>
        <w:tc>
          <w:tcPr>
            <w:tcW w:type="dxa" w:w="2356"/>
          </w:tcPr>
          <w:p>
            <w:pPr>
              <w:pStyle w:val="Compact"/>
              <w:jc w:val="right"/>
            </w:pPr>
            <w:r>
              <w:t xml:space="preserve">8.4 (2.9–15.3)</w:t>
            </w:r>
          </w:p>
        </w:tc>
        <w:tc>
          <w:tcPr>
            <w:tcW w:type="dxa" w:w="840"/>
          </w:tcPr>
          <w:p>
            <w:pPr>
              <w:pStyle w:val="Compact"/>
              <w:jc w:val="right"/>
            </w:pPr>
            <w:r>
              <w:t xml:space="preserve">7.6</w:t>
            </w:r>
          </w:p>
        </w:tc>
        <w:tc>
          <w:tcPr>
            <w:tcW w:type="dxa" w:w="1592"/>
          </w:tcPr>
          <w:p>
            <w:pPr>
              <w:pStyle w:val="Compact"/>
              <w:jc w:val="right"/>
            </w:pPr>
            <w:r>
              <w:t xml:space="preserve">4.8 (1.8–7.9)</w:t>
            </w:r>
          </w:p>
        </w:tc>
        <w:tc>
          <w:tcPr>
            <w:tcW w:type="dxa" w:w="1987"/>
          </w:tcPr>
          <w:p>
            <w:pPr>
              <w:pStyle w:val="Compact"/>
              <w:jc w:val="right"/>
            </w:pPr>
            <w:r>
              <w:t xml:space="preserve">4.8 (1.8–7.9)</w:t>
            </w:r>
          </w:p>
        </w:tc>
      </w:tr>
      <w:tr>
        <w:trPr>
          <w:cantSplit/>
        </w:trPr>
        <w:tc>
          <w:tcPr>
            <w:tcW w:type="dxa" w:w="2292"/>
          </w:tcPr>
          <w:p>
            <w:pPr>
              <w:pStyle w:val="Compact"/>
              <w:jc w:val="left"/>
            </w:pPr>
            <w:r>
              <w:t xml:space="preserve">Worst single gauge</w:t>
            </w:r>
          </w:p>
        </w:tc>
        <w:tc>
          <w:tcPr>
            <w:tcW w:type="dxa" w:w="2356"/>
          </w:tcPr>
          <w:p>
            <w:pPr>
              <w:pStyle w:val="Compact"/>
              <w:jc w:val="right"/>
            </w:pPr>
            <w:r>
              <w:t xml:space="preserve">27.9 (12.9–44.5)</w:t>
            </w:r>
          </w:p>
        </w:tc>
        <w:tc>
          <w:tcPr>
            <w:tcW w:type="dxa" w:w="840"/>
          </w:tcPr>
          <w:p>
            <w:pPr>
              <w:pStyle w:val="Compact"/>
              <w:jc w:val="right"/>
            </w:pPr>
            <w:r>
              <w:t xml:space="preserve">24.3</w:t>
            </w:r>
          </w:p>
        </w:tc>
        <w:tc>
          <w:tcPr>
            <w:tcW w:type="dxa" w:w="1592"/>
          </w:tcPr>
          <w:p>
            <w:pPr>
              <w:pStyle w:val="Compact"/>
              <w:jc w:val="right"/>
            </w:pPr>
            <w:r>
              <w:t xml:space="preserve">17.6 (11.0–23.4)</w:t>
            </w:r>
          </w:p>
        </w:tc>
        <w:tc>
          <w:tcPr>
            <w:tcW w:type="dxa" w:w="1987"/>
          </w:tcPr>
          <w:p>
            <w:pPr>
              <w:pStyle w:val="Compact"/>
              <w:jc w:val="right"/>
            </w:pPr>
            <w:r>
              <w:t xml:space="preserve">12.1</w:t>
            </w:r>
          </w:p>
        </w:tc>
      </w:tr>
      <w:tr>
        <w:trPr>
          <w:cantSplit/>
        </w:trPr>
        <w:tc>
          <w:tcPr>
            <w:tcW w:type="dxa" w:w="2292"/>
          </w:tcPr>
          <w:p>
            <w:pPr>
              <w:pStyle w:val="Compact"/>
              <w:jc w:val="left"/>
            </w:pPr>
            <w:r>
              <w:t xml:space="preserve">Gauge average</w:t>
            </w:r>
          </w:p>
        </w:tc>
        <w:tc>
          <w:tcPr>
            <w:tcW w:type="dxa" w:w="2356"/>
          </w:tcPr>
          <w:p>
            <w:pPr>
              <w:pStyle w:val="Compact"/>
              <w:jc w:val="right"/>
            </w:pPr>
            <w:r>
              <w:t xml:space="preserve">11.9 (6.0–18.6)</w:t>
            </w:r>
          </w:p>
        </w:tc>
        <w:tc>
          <w:tcPr>
            <w:tcW w:type="dxa" w:w="840"/>
          </w:tcPr>
          <w:p>
            <w:pPr>
              <w:pStyle w:val="Compact"/>
              <w:jc w:val="right"/>
            </w:pPr>
            <w:r>
              <w:t xml:space="preserve">11.1</w:t>
            </w:r>
          </w:p>
        </w:tc>
        <w:tc>
          <w:tcPr>
            <w:tcW w:type="dxa" w:w="1592"/>
          </w:tcPr>
          <w:p>
            <w:pPr>
              <w:pStyle w:val="Compact"/>
              <w:jc w:val="right"/>
            </w:pPr>
            <w:r>
              <w:t xml:space="preserve">5.3 (2.5–7.8)</w:t>
            </w:r>
          </w:p>
        </w:tc>
        <w:tc>
          <w:tcPr>
            <w:tcW w:type="dxa" w:w="1987"/>
          </w:tcPr>
          <w:p>
            <w:pPr>
              <w:pStyle w:val="Compact"/>
              <w:jc w:val="right"/>
            </w:pPr>
            <w:r>
              <w:t xml:space="preserve">5.4 (3.3–7.4)</w:t>
            </w:r>
          </w:p>
        </w:tc>
      </w:tr>
      <w:tr>
        <w:trPr>
          <w:cantSplit/>
        </w:trPr>
        <w:tc>
          <w:tcPr>
            <w:tcW w:type="dxa" w:w="2292"/>
          </w:tcPr>
          <w:p>
            <w:pPr>
              <w:pStyle w:val="Compact"/>
              <w:jc w:val="left"/>
            </w:pPr>
            <w:r>
              <w:t xml:space="preserve">GLS, diagonal</w:t>
            </w:r>
            <w:r>
              <w:t xml:space="preserve"> </w:t>
            </w:r>
            <m:oMath>
              <m:r>
                <m:t>Σ</m:t>
              </m:r>
            </m:oMath>
          </w:p>
        </w:tc>
        <w:tc>
          <w:tcPr>
            <w:tcW w:type="dxa" w:w="2356"/>
          </w:tcPr>
          <w:p>
            <w:pPr>
              <w:pStyle w:val="Compact"/>
              <w:jc w:val="right"/>
            </w:pPr>
            <w:r>
              <w:t xml:space="preserve">11.4 (6.0–18.0)</w:t>
            </w:r>
          </w:p>
        </w:tc>
        <w:tc>
          <w:tcPr>
            <w:tcW w:type="dxa" w:w="840"/>
          </w:tcPr>
          <w:p>
            <w:pPr>
              <w:pStyle w:val="Compact"/>
              <w:jc w:val="right"/>
            </w:pPr>
            <w:r>
              <w:t xml:space="preserve">10.8</w:t>
            </w:r>
          </w:p>
        </w:tc>
        <w:tc>
          <w:tcPr>
            <w:tcW w:type="dxa" w:w="1592"/>
          </w:tcPr>
          <w:p>
            <w:pPr>
              <w:pStyle w:val="Compact"/>
              <w:jc w:val="right"/>
            </w:pPr>
            <w:r>
              <w:t xml:space="preserve">5.3 (2.5–8.0)</w:t>
            </w:r>
          </w:p>
        </w:tc>
        <w:tc>
          <w:tcPr>
            <w:tcW w:type="dxa" w:w="1987"/>
          </w:tcPr>
          <w:p>
            <w:pPr>
              <w:pStyle w:val="Compact"/>
              <w:jc w:val="right"/>
            </w:pPr>
            <w:r>
              <w:t xml:space="preserve">5.2 (3.3–7.1)</w:t>
            </w:r>
          </w:p>
        </w:tc>
      </w:tr>
      <w:tr>
        <w:trPr>
          <w:cantSplit/>
        </w:trPr>
        <w:tc>
          <w:tcPr>
            <w:tcW w:type="dxa" w:w="2292"/>
          </w:tcPr>
          <w:p>
            <w:pPr>
              <w:pStyle w:val="Compact"/>
              <w:jc w:val="left"/>
            </w:pPr>
            <w:r>
              <w:t xml:space="preserve">GLS, measured</w:t>
            </w:r>
            <w:r>
              <w:t xml:space="preserve"> </w:t>
            </w:r>
            <m:oMath>
              <m:r>
                <m:t>Σ</m:t>
              </m:r>
            </m:oMath>
          </w:p>
        </w:tc>
        <w:tc>
          <w:tcPr>
            <w:tcW w:type="dxa" w:w="2356"/>
          </w:tcPr>
          <w:p>
            <w:pPr>
              <w:pStyle w:val="Compact"/>
              <w:jc w:val="right"/>
            </w:pPr>
            <w:r>
              <w:t xml:space="preserve">20.4 (12.3–28.8)</w:t>
            </w:r>
          </w:p>
        </w:tc>
        <w:tc>
          <w:tcPr>
            <w:tcW w:type="dxa" w:w="840"/>
          </w:tcPr>
          <w:p>
            <w:pPr>
              <w:pStyle w:val="Compact"/>
              <w:jc w:val="right"/>
            </w:pPr>
            <w:r>
              <w:t xml:space="preserve">17.7</w:t>
            </w:r>
          </w:p>
        </w:tc>
        <w:tc>
          <w:tcPr>
            <w:tcW w:type="dxa" w:w="1592"/>
          </w:tcPr>
          <w:p>
            <w:pPr>
              <w:pStyle w:val="Compact"/>
              <w:jc w:val="right"/>
            </w:pPr>
            <w:r>
              <w:t xml:space="preserve">5.8 (3.5–8.1)</w:t>
            </w:r>
          </w:p>
        </w:tc>
        <w:tc>
          <w:tcPr>
            <w:tcW w:type="dxa" w:w="1987"/>
          </w:tcPr>
          <w:p>
            <w:pPr>
              <w:pStyle w:val="Compact"/>
              <w:jc w:val="right"/>
            </w:pPr>
            <w:r>
              <w:t xml:space="preserve">4.9 (3.0–6.9)</w:t>
            </w:r>
          </w:p>
        </w:tc>
      </w:tr>
      <w:tr>
        <w:trPr>
          <w:cantSplit/>
        </w:trPr>
        <w:tc>
          <w:tcPr>
            <w:tcW w:type="dxa" w:w="2292"/>
          </w:tcPr>
          <w:p>
            <w:pPr>
              <w:pStyle w:val="Compact"/>
              <w:jc w:val="left"/>
            </w:pPr>
            <w:r>
              <w:t xml:space="preserve">Zero-sum, measured</w:t>
            </w:r>
            <w:r>
              <w:t xml:space="preserve"> </w:t>
            </w:r>
            <m:oMath>
              <m:r>
                <m:t>Σ</m:t>
              </m:r>
            </m:oMath>
          </w:p>
        </w:tc>
        <w:tc>
          <w:tcPr>
            <w:tcW w:type="dxa" w:w="2356"/>
          </w:tcPr>
          <w:p>
            <w:pPr>
              <w:pStyle w:val="Compact"/>
              <w:jc w:val="right"/>
            </w:pPr>
            <w:r>
              <w:t xml:space="preserve">20.3 (12.4–28.6)</w:t>
            </w:r>
          </w:p>
        </w:tc>
        <w:tc>
          <w:tcPr>
            <w:tcW w:type="dxa" w:w="840"/>
          </w:tcPr>
          <w:p>
            <w:pPr>
              <w:pStyle w:val="Compact"/>
              <w:jc w:val="right"/>
            </w:pPr>
            <w:r>
              <w:t xml:space="preserve">18.0</w:t>
            </w:r>
          </w:p>
        </w:tc>
        <w:tc>
          <w:tcPr>
            <w:tcW w:type="dxa" w:w="1592"/>
          </w:tcPr>
          <w:p>
            <w:pPr>
              <w:pStyle w:val="Compact"/>
              <w:jc w:val="right"/>
            </w:pPr>
            <w:r>
              <w:t xml:space="preserve">6.0 (2.9–9.3)</w:t>
            </w:r>
          </w:p>
        </w:tc>
        <w:tc>
          <w:tcPr>
            <w:tcW w:type="dxa" w:w="1987"/>
          </w:tcPr>
          <w:p>
            <w:pPr>
              <w:pStyle w:val="Compact"/>
              <w:jc w:val="right"/>
            </w:pPr>
            <w:r>
              <w:t xml:space="preserve">8.3 (3.9–13.4)</w:t>
            </w:r>
          </w:p>
        </w:tc>
      </w:tr>
      <w:tr>
        <w:trPr>
          <w:cantSplit/>
        </w:trPr>
        <w:tc>
          <w:tcPr>
            <w:tcW w:type="dxa" w:w="2292"/>
          </w:tcPr>
          <w:p>
            <w:pPr>
              <w:pStyle w:val="Compact"/>
              <w:jc w:val="left"/>
            </w:pPr>
            <w:r>
              <w:t xml:space="preserve">Zero-sum,</w:t>
            </w:r>
            <w:r>
              <w:t xml:space="preserve"> </w:t>
            </w:r>
            <m:oMath>
              <m:r>
                <m:t>Σ</m:t>
              </m:r>
            </m:oMath>
            <w:r>
              <w:t xml:space="preserve"> </w:t>
            </w:r>
            <w:r>
              <w:t xml:space="preserve">= identity matrix</w:t>
            </w:r>
          </w:p>
        </w:tc>
        <w:tc>
          <w:tcPr>
            <w:tcW w:type="dxa" w:w="2356"/>
          </w:tcPr>
          <w:p>
            <w:pPr>
              <w:pStyle w:val="Compact"/>
              <w:jc w:val="right"/>
            </w:pPr>
            <w:r>
              <w:t xml:space="preserve">12.3 (6.1–20.2)</w:t>
            </w:r>
          </w:p>
        </w:tc>
        <w:tc>
          <w:tcPr>
            <w:tcW w:type="dxa" w:w="840"/>
          </w:tcPr>
          <w:p>
            <w:pPr>
              <w:pStyle w:val="Compact"/>
              <w:jc w:val="right"/>
            </w:pPr>
            <w:r>
              <w:t xml:space="preserve">10.8</w:t>
            </w:r>
          </w:p>
        </w:tc>
        <w:tc>
          <w:tcPr>
            <w:tcW w:type="dxa" w:w="1592"/>
          </w:tcPr>
          <w:p>
            <w:pPr>
              <w:pStyle w:val="Compact"/>
              <w:jc w:val="right"/>
            </w:pPr>
            <w:r>
              <w:t xml:space="preserve">13.0 (7.1–19.0)</w:t>
            </w:r>
          </w:p>
        </w:tc>
        <w:tc>
          <w:tcPr>
            <w:tcW w:type="dxa" w:w="1987"/>
          </w:tcPr>
          <w:p>
            <w:pPr>
              <w:pStyle w:val="Compact"/>
              <w:jc w:val="right"/>
            </w:pPr>
            <w:r>
              <w:t xml:space="preserve">8.4 (4.6–12.9)</w:t>
            </w:r>
          </w:p>
        </w:tc>
      </w:tr>
      <w:tr>
        <w:trPr>
          <w:cantSplit/>
        </w:trPr>
        <w:tc>
          <w:tcPr>
            <w:tcW w:type="dxa" w:w="2292"/>
          </w:tcPr>
          <w:p>
            <w:pPr>
              <w:pStyle w:val="Compact"/>
              <w:jc w:val="left"/>
            </w:pPr>
            <w:r>
              <w:t xml:space="preserve">Mean weight of the calibration runs</w:t>
            </w:r>
          </w:p>
        </w:tc>
        <w:tc>
          <w:tcPr>
            <w:tcW w:type="dxa" w:w="2356"/>
          </w:tcPr>
          <w:p>
            <w:pPr>
              <w:pStyle w:val="Compact"/>
              <w:jc w:val="right"/>
            </w:pPr>
            <w:r>
              <w:t xml:space="preserve">2.0 (1.9–2.0)</w:t>
            </w:r>
          </w:p>
        </w:tc>
        <w:tc>
          <w:tcPr>
            <w:tcW w:type="dxa" w:w="840"/>
          </w:tcPr>
          <w:p>
            <w:pPr>
              <w:pStyle w:val="Compact"/>
              <w:jc w:val="right"/>
            </w:pPr>
            <w:r>
              <w:t xml:space="preserve">3.4</w:t>
            </w:r>
          </w:p>
        </w:tc>
        <w:tc>
          <w:tcPr>
            <w:tcW w:type="dxa" w:w="1592"/>
          </w:tcPr>
          <w:p>
            <w:pPr>
              <w:pStyle w:val="Compact"/>
              <w:jc w:val="right"/>
            </w:pPr>
            <w:r>
              <w:t xml:space="preserve">2.2 (1.1–3.5)</w:t>
            </w:r>
          </w:p>
        </w:tc>
        <w:tc>
          <w:tcPr>
            <w:tcW w:type="dxa" w:w="1987"/>
          </w:tcPr>
          <w:p>
            <w:pPr>
              <w:pStyle w:val="Compact"/>
              <w:jc w:val="right"/>
            </w:pPr>
            <w:r>
              <w:t xml:space="preserve">2.2 (1.1–3.5)</w:t>
            </w:r>
          </w:p>
        </w:tc>
      </w:tr>
    </w:tbl>
    <w:p>
      <w:pPr>
        <w:pStyle w:val="BodyText"/>
        <w:keepNext/>
      </w:pPr>
      <w:r>
        <w:rPr>
          <w:bCs/>
          <w:b/>
        </w:rPr>
        <w:t xml:space="preserve">Table S9.</w:t>
      </w:r>
      <w:r>
        <w:t xml:space="preserve"> </w:t>
      </w:r>
      <w:r>
        <w:t xml:space="preserve">Day 2: per-crossing standard deviation (SD) of the gross weight predicted by two covariance models, and the observed error (% of GVW). SD and MAE are different measures; the table compares the order of the two estimators, not magnitudes.</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4597"/>
        <w:gridCol w:w="2360"/>
        <w:gridCol w:w="2112"/>
      </w:tblGrid>
      <w:tr>
        <w:trPr>
          <w:tblHeader w:val="true"/>
          <w:tblHeader w:val="true"/>
          <w:cantSplit/>
        </w:trPr>
        <w:tc>
          <w:tcPr>
            <w:tcW w:type="dxa" w:w="4597"/>
            <w:tcBorders>
              <w:top w:val="nil"/>
              <w:left w:val="nil"/>
              <w:bottom w:val="single" w:sz="6" w:space="0" w:color="000000"/>
              <w:right w:val="nil"/>
            </w:tcBorders>
          </w:tcPr>
          <w:p>
            <w:pPr>
              <w:pStyle w:val="Compact"/>
              <w:jc w:val="left"/>
            </w:pPr>
            <w:r>
              <w:t xml:space="preserve">Quantity</w:t>
            </w:r>
          </w:p>
        </w:tc>
        <w:tc>
          <w:tcPr>
            <w:tcW w:type="dxa" w:w="2360"/>
            <w:tcBorders>
              <w:top w:val="nil"/>
              <w:left w:val="nil"/>
              <w:bottom w:val="single" w:sz="6" w:space="0" w:color="000000"/>
              <w:right w:val="nil"/>
            </w:tcBorders>
          </w:tcPr>
          <w:p>
            <w:pPr>
              <w:pStyle w:val="Compact"/>
              <w:jc w:val="right"/>
            </w:pPr>
            <w:r>
              <w:t xml:space="preserve">GLS, measured</w:t>
            </w:r>
            <w:r>
              <w:t xml:space="preserve"> </w:t>
            </w:r>
            <m:oMath>
              <m:r>
                <m:t>Σ</m:t>
              </m:r>
            </m:oMath>
          </w:p>
        </w:tc>
        <w:tc>
          <w:tcPr>
            <w:tcW w:type="dxa" w:w="2112"/>
            <w:tcBorders>
              <w:top w:val="nil"/>
              <w:left w:val="nil"/>
              <w:bottom w:val="single" w:sz="6" w:space="0" w:color="000000"/>
              <w:right w:val="nil"/>
            </w:tcBorders>
          </w:tcPr>
          <w:p>
            <w:pPr>
              <w:pStyle w:val="Compact"/>
              <w:jc w:val="right"/>
            </w:pPr>
            <w:r>
              <w:t xml:space="preserve">Gauge average</w:t>
            </w:r>
          </w:p>
        </w:tc>
      </w:tr>
      <w:tr>
        <w:trPr>
          <w:cantSplit/>
        </w:trPr>
        <w:tc>
          <w:tcPr>
            <w:tcW w:type="dxa" w:w="4597"/>
          </w:tcPr>
          <w:p>
            <w:pPr>
              <w:pStyle w:val="Compact"/>
              <w:jc w:val="left"/>
            </w:pPr>
            <w:r>
              <w:t xml:space="preserve">SD predicted from the vehicle-free covariance</w:t>
            </w:r>
          </w:p>
        </w:tc>
        <w:tc>
          <w:tcPr>
            <w:tcW w:type="dxa" w:w="2360"/>
          </w:tcPr>
          <w:p>
            <w:pPr>
              <w:pStyle w:val="Compact"/>
              <w:jc w:val="right"/>
            </w:pPr>
            <w:r>
              <w:t xml:space="preserve">12.7</w:t>
            </w:r>
          </w:p>
        </w:tc>
        <w:tc>
          <w:tcPr>
            <w:tcW w:type="dxa" w:w="2112"/>
          </w:tcPr>
          <w:p>
            <w:pPr>
              <w:pStyle w:val="Compact"/>
              <w:jc w:val="right"/>
            </w:pPr>
            <w:r>
              <w:t xml:space="preserve">19.8</w:t>
            </w:r>
          </w:p>
        </w:tc>
      </w:tr>
      <w:tr>
        <w:trPr>
          <w:cantSplit/>
        </w:trPr>
        <w:tc>
          <w:tcPr>
            <w:tcW w:type="dxa" w:w="4597"/>
          </w:tcPr>
          <w:p>
            <w:pPr>
              <w:pStyle w:val="Compact"/>
              <w:jc w:val="left"/>
            </w:pPr>
            <w:r>
              <w:t xml:space="preserve">SD predicted from the covariance of the crossing residuals</w:t>
            </w:r>
          </w:p>
        </w:tc>
        <w:tc>
          <w:tcPr>
            <w:tcW w:type="dxa" w:w="2360"/>
          </w:tcPr>
          <w:p>
            <w:pPr>
              <w:pStyle w:val="Compact"/>
              <w:jc w:val="right"/>
            </w:pPr>
            <w:r>
              <w:t xml:space="preserve">21.0</w:t>
            </w:r>
          </w:p>
        </w:tc>
        <w:tc>
          <w:tcPr>
            <w:tcW w:type="dxa" w:w="2112"/>
          </w:tcPr>
          <w:p>
            <w:pPr>
              <w:pStyle w:val="Compact"/>
              <w:jc w:val="right"/>
            </w:pPr>
            <w:r>
              <w:t xml:space="preserve">14.6</w:t>
            </w:r>
          </w:p>
        </w:tc>
      </w:tr>
      <w:tr>
        <w:trPr>
          <w:cantSplit/>
        </w:trPr>
        <w:tc>
          <w:tcPr>
            <w:tcW w:type="dxa" w:w="4597"/>
          </w:tcPr>
          <w:p>
            <w:pPr>
              <w:pStyle w:val="Compact"/>
              <w:jc w:val="left"/>
            </w:pPr>
            <w:r>
              <w:t xml:space="preserve">Observed MAE, leave-one-run-out (main text Table 2)</w:t>
            </w:r>
          </w:p>
        </w:tc>
        <w:tc>
          <w:tcPr>
            <w:tcW w:type="dxa" w:w="2360"/>
          </w:tcPr>
          <w:p>
            <w:pPr>
              <w:pStyle w:val="Compact"/>
              <w:jc w:val="right"/>
            </w:pPr>
            <w:r>
              <w:t xml:space="preserve">20.4</w:t>
            </w:r>
          </w:p>
        </w:tc>
        <w:tc>
          <w:tcPr>
            <w:tcW w:type="dxa" w:w="2112"/>
          </w:tcPr>
          <w:p>
            <w:pPr>
              <w:pStyle w:val="Compact"/>
              <w:jc w:val="right"/>
            </w:pPr>
            <w:r>
              <w:t xml:space="preserve">11.9</w:t>
            </w:r>
          </w:p>
        </w:tc>
      </w:tr>
    </w:tbl>
    <w:bookmarkEnd w:id="65"/>
    <w:bookmarkStart w:id="72" w:name="s8.-cầu-mây-bridge"/>
    <w:p>
      <w:pPr>
        <w:pStyle w:val="Heading2"/>
      </w:pPr>
      <w:r>
        <w:t xml:space="preserve">S8. Cầu Mây Bridge</w:t>
      </w:r>
    </w:p>
    <w:p>
      <w:pPr>
        <w:pStyle w:val="FirstParagraph"/>
      </w:pPr>
      <w:r>
        <w:t xml:space="preserve">Bridge and test. The bridge carries provincial road ĐT389. In the June 2020 acceptance test, four trucks stood in the side span (gauge N8) and six in the main span (gauge N7). The trucks were 3-axle, nominally 5 + 10 + 10 t, with a mean weighed gross weight of 25.06 t (Table S12). Mitutoyo dial gauges, mounted on independent frames fixed to the ground, read the peak deflection under central and eccentric transverse positions at three measuring points across each section (Table S11). The longitudinal truck positions are given as drawings in the test report and are not tabulated. The readings across one section differ by up to 2.05 mm in the eccentric N7 case, about 13 % of the mean reading.</w:t>
      </w:r>
    </w:p>
    <w:p>
      <w:pPr>
        <w:pStyle w:val="BodyText"/>
      </w:pPr>
      <w:r>
        <w:t xml:space="preserve">Model. Design sections: depth 2.40 m (mid-span) to 5.40 m (piers), second moments 5.482 m⁴ and 59.61 m⁴,</w:t>
      </w:r>
      <w:r>
        <w:t xml:space="preserve"> </w:t>
      </w:r>
      <m:oMath>
        <m:sSub>
          <m:e>
            <m:r>
              <m:t>E</m:t>
            </m:r>
          </m:e>
          <m:sub>
            <m:r>
              <m:rPr>
                <m:sty m:val="p"/>
              </m:rPr>
              <m:t>c</m:t>
            </m:r>
          </m:sub>
        </m:sSub>
      </m:oMath>
      <w:r>
        <w:t xml:space="preserve"> </w:t>
      </w:r>
      <w:r>
        <w:t xml:space="preserve">= 36 057 MPa. Model-form variants:</w:t>
      </w:r>
      <w:r>
        <w:t xml:space="preserve"> </w:t>
      </w:r>
      <m:oMath>
        <m:sSub>
          <m:e>
            <m:r>
              <m:t>L</m:t>
            </m:r>
          </m:e>
          <m:sub>
            <m:r>
              <m:rPr>
                <m:sty m:val="p"/>
              </m:rPr>
              <m:t>v</m:t>
            </m:r>
          </m:sub>
        </m:sSub>
      </m:oMath>
      <w:r>
        <w:t xml:space="preserve"> </w:t>
      </w:r>
      <w:r>
        <w:t xml:space="preserve">= 40 and 45 m (base 44 m), exponents 2.5 and 3.2 (base 2.943), rigid pier zone ±1.5 m. The misfit ratio</w:t>
      </w:r>
      <w:r>
        <w:t xml:space="preserve"> </w:t>
      </w:r>
      <m:oMath>
        <m:sSub>
          <m:e>
            <m:r>
              <m:t>r</m:t>
            </m:r>
          </m:e>
          <m:sub>
            <m:r>
              <m:t>87</m:t>
            </m:r>
          </m:sub>
        </m:sSub>
      </m:oMath>
      <w:r>
        <w:t xml:space="preserve"> </w:t>
      </w:r>
      <w:r>
        <w:t xml:space="preserve">is 1.126 at</w:t>
      </w:r>
      <w:r>
        <w:t xml:space="preserve"> </w:t>
      </w:r>
      <m:oMath>
        <m:r>
          <m:t>κ</m:t>
        </m:r>
      </m:oMath>
      <w:r>
        <w:t xml:space="preserve"> </w:t>
      </w:r>
      <w:r>
        <w:t xml:space="preserve">= 10⁷ kN m/rad, has its minimum 1.058 at</w:t>
      </w:r>
      <w:r>
        <w:t xml:space="preserve"> </w:t>
      </w:r>
      <m:oMath>
        <m:r>
          <m:t>κ</m:t>
        </m:r>
      </m:oMath>
      <w:r>
        <w:t xml:space="preserve"> </w:t>
      </w:r>
      <w:r>
        <w:t xml:space="preserve">= 1.68 × 10⁸ kN m/rad (calibration B) and is 1.091 for fixed piers.</w:t>
      </w:r>
    </w:p>
    <w:p>
      <w:pPr>
        <w:pStyle w:val="BodyText"/>
      </w:pPr>
      <w:r>
        <w:t xml:space="preserve">Admissible sets (Table S10). The conclusions depend on the tolerance. At</w:t>
      </w:r>
      <w:r>
        <w:t xml:space="preserve"> </w:t>
      </w:r>
      <m:oMath>
        <m:r>
          <m:t>τ</m:t>
        </m:r>
      </m:oMath>
      <w:r>
        <w:t xml:space="preserve"> </w:t>
      </w:r>
      <w:r>
        <w:t xml:space="preserve">= 3 % the admissible set shrinks and excludes the design rigidity,</w:t>
      </w:r>
      <w:r>
        <w:t xml:space="preserve"> </w:t>
      </w:r>
      <m:oMath>
        <m:r>
          <m:t>α</m:t>
        </m:r>
      </m:oMath>
      <w:r>
        <w:t xml:space="preserve"> </w:t>
      </w:r>
      <w:r>
        <w:t xml:space="preserve">= 1.</w:t>
      </w:r>
    </w:p>
    <w:p>
      <w:pPr>
        <w:pStyle w:val="BodyText"/>
      </w:pPr>
      <w:r>
        <w:t xml:space="preserve">Frequencies. The measured vertical frequencies (3.43–3.64 Hz; Table S13) would narrow the admissible set further if they belonged to the third vertical mode. This interpretation is conditional: Fig. S14 shows the predicted vertical frequencies against the scaled pier stiffness</w:t>
      </w:r>
      <w:r>
        <w:t xml:space="preserve"> </w:t>
      </w:r>
      <m:oMath>
        <m:r>
          <m:t>κ</m:t>
        </m:r>
      </m:oMath>
      <w:r>
        <w:t xml:space="preserve">, and Fig. S15 the static misfit over the plane of</w:t>
      </w:r>
      <w:r>
        <w:t xml:space="preserve"> </w:t>
      </w:r>
      <m:oMath>
        <m:r>
          <m:t>α</m:t>
        </m:r>
      </m:oMath>
      <w:r>
        <w:t xml:space="preserve"> </w:t>
      </w:r>
      <w:r>
        <w:t xml:space="preserve">and</w:t>
      </w:r>
      <w:r>
        <w:t xml:space="preserve"> </w:t>
      </w:r>
      <m:oMath>
        <m:r>
          <m:t>k</m:t>
        </m:r>
      </m:oMath>
      <w:r>
        <w:t xml:space="preserve"> </w:t>
      </w:r>
      <w:r>
        <w:t xml:space="preserve">with contours of the third vertical frequency. The acceptance test reports only one frequency per span, so the first frequency is not identified, and the Cramér–Rao bound of 0.24 that the first and third frequencies would give (Section 5.3) assumes a measurement that was not made.</w:t>
      </w:r>
    </w:p>
    <w:p>
      <w:pPr>
        <w:pStyle w:val="Figure"/>
      </w:pPr>
      <w:r>
        <w:drawing>
          <wp:inline>
            <wp:extent cx="5039999" cy="2677499"/>
            <wp:effectExtent b="0" l="0" r="0" t="0"/>
            <wp:docPr descr="" title="" id="67" name="Picture"/>
            <a:graphic>
              <a:graphicData uri="http://schemas.openxmlformats.org/drawingml/2006/picture">
                <pic:pic>
                  <pic:nvPicPr>
                    <pic:cNvPr descr="/home/user/SHM-Paper1-1D/manuscript/ase/figures/supplementary/FigS14_caumay_freq_vs_kappa.png" id="68" name="Picture"/>
                    <pic:cNvPicPr>
                      <a:picLocks noChangeArrowheads="1" noChangeAspect="1"/>
                    </pic:cNvPicPr>
                  </pic:nvPicPr>
                  <pic:blipFill>
                    <a:blip r:embed="rId66"/>
                    <a:stretch>
                      <a:fillRect/>
                    </a:stretch>
                  </pic:blipFill>
                  <pic:spPr bwMode="auto">
                    <a:xfrm>
                      <a:off x="0" y="0"/>
                      <a:ext cx="5039999" cy="2677499"/>
                    </a:xfrm>
                    <a:prstGeom prst="rect">
                      <a:avLst/>
                    </a:prstGeom>
                    <a:noFill/>
                    <a:ln w="9525">
                      <a:noFill/>
                      <a:headEnd/>
                      <a:tailEnd/>
                    </a:ln>
                  </pic:spPr>
                </pic:pic>
              </a:graphicData>
            </a:graphic>
          </wp:inline>
        </w:drawing>
      </w:r>
    </w:p>
    <w:p>
      <w:pPr>
        <w:pStyle w:val="Captionjustified"/>
      </w:pPr>
      <w:r>
        <w:rPr>
          <w:bCs/>
          <w:b/>
        </w:rPr>
        <w:t xml:space="preserve">Figure S14.</w:t>
      </w:r>
      <w:r>
        <w:t xml:space="preserve"> </w:t>
      </w:r>
      <w:r>
        <w:t xml:space="preserve">Cầu Mây: first, second and third vertical frequencies against the scaled pier stiffness</w:t>
      </w:r>
      <w:r>
        <w:t xml:space="preserve"> </w:t>
      </w:r>
      <m:oMath>
        <m:r>
          <m:t>κ</m:t>
        </m:r>
      </m:oMath>
      <w:r>
        <w:t xml:space="preserve">, for low, base and high mass, with the measured band.</w:t>
      </w:r>
    </w:p>
    <w:p>
      <w:pPr>
        <w:pStyle w:val="Figure"/>
      </w:pPr>
      <w:r>
        <w:drawing>
          <wp:inline>
            <wp:extent cx="5039999" cy="3557647"/>
            <wp:effectExtent b="0" l="0" r="0" t="0"/>
            <wp:docPr descr="" title="" id="70" name="Picture"/>
            <a:graphic>
              <a:graphicData uri="http://schemas.openxmlformats.org/drawingml/2006/picture">
                <pic:pic>
                  <pic:nvPicPr>
                    <pic:cNvPr descr="/home/user/SHM-Paper1-1D/manuscript/ase/figures/supplementary/FigS15_caumay_alpha_k_map.png" id="71" name="Picture"/>
                    <pic:cNvPicPr>
                      <a:picLocks noChangeArrowheads="1" noChangeAspect="1"/>
                    </pic:cNvPicPr>
                  </pic:nvPicPr>
                  <pic:blipFill>
                    <a:blip r:embed="rId69"/>
                    <a:stretch>
                      <a:fillRect/>
                    </a:stretch>
                  </pic:blipFill>
                  <pic:spPr bwMode="auto">
                    <a:xfrm>
                      <a:off x="0" y="0"/>
                      <a:ext cx="5039999" cy="3557647"/>
                    </a:xfrm>
                    <a:prstGeom prst="rect">
                      <a:avLst/>
                    </a:prstGeom>
                    <a:noFill/>
                    <a:ln w="9525">
                      <a:noFill/>
                      <a:headEnd/>
                      <a:tailEnd/>
                    </a:ln>
                  </pic:spPr>
                </pic:pic>
              </a:graphicData>
            </a:graphic>
          </wp:inline>
        </w:drawing>
      </w:r>
    </w:p>
    <w:p>
      <w:pPr>
        <w:pStyle w:val="Captionjustified"/>
      </w:pPr>
      <w:r>
        <w:rPr>
          <w:bCs/>
          <w:b/>
        </w:rPr>
        <w:t xml:space="preserve">Figure S15.</w:t>
      </w:r>
      <w:r>
        <w:t xml:space="preserve"> </w:t>
      </w:r>
      <w:r>
        <w:t xml:space="preserve">Cầu Mây: static misfit over the rigidity factor</w:t>
      </w:r>
      <w:r>
        <w:t xml:space="preserve"> </w:t>
      </w:r>
      <m:oMath>
        <m:r>
          <m:t>α</m:t>
        </m:r>
      </m:oMath>
      <w:r>
        <w:t xml:space="preserve"> </w:t>
      </w:r>
      <w:r>
        <w:t xml:space="preserve">and the pier stiffness</w:t>
      </w:r>
      <w:r>
        <w:t xml:space="preserve"> </w:t>
      </w:r>
      <m:oMath>
        <m:r>
          <m:t>k</m:t>
        </m:r>
      </m:oMath>
      <w:r>
        <w:t xml:space="preserve">, with contours of the third vertical frequency equal to the measured values.</w:t>
      </w:r>
    </w:p>
    <w:p>
      <w:pPr>
        <w:pStyle w:val="BodyText"/>
      </w:pPr>
      <w:r>
        <w:t xml:space="preserve">Indicators and channels (Table S14). Going from pinned to fixed piers multiplies the N8 constant by 14.0 but reduces the N7 constant to 0.59 of its pinned value. A strain gauge at mid side span would be practically blind under calibration A (</w:t>
      </w:r>
      <m:oMath>
        <m:sSub>
          <m:e>
            <m:r>
              <m:t>N</m:t>
            </m:r>
          </m:e>
          <m:sub>
            <m:r>
              <m:t>M</m:t>
            </m:r>
          </m:sub>
        </m:sSub>
        <m:r>
          <m:rPr>
            <m:sty m:val="p"/>
          </m:rPr>
          <m:t>=</m:t>
        </m:r>
        <m:r>
          <m:t>0.048</m:t>
        </m:r>
      </m:oMath>
      <w:r>
        <w:t xml:space="preserve">) and would change sign with pinned piers. A rotation reading at the end bearing T8 adds little, because its sensitivity duplicates that of N8. At calibration B the two-reading Fisher matrix is singular, so the deflections alone cannot bound</w:t>
      </w:r>
      <w:r>
        <w:t xml:space="preserve"> </w:t>
      </w:r>
      <m:oMath>
        <m:r>
          <m:rPr>
            <m:sty m:val="p"/>
          </m:rPr>
          <m:t>ln</m:t>
        </m:r>
        <m:sSub>
          <m:e>
            <m:r>
              <m:t>C</m:t>
            </m:r>
          </m:e>
          <m:sub>
            <m:r>
              <m:t>8</m:t>
            </m:r>
          </m:sub>
        </m:sSub>
      </m:oMath>
      <w:r>
        <w:t xml:space="preserve"> </w:t>
      </w:r>
      <w:r>
        <w:t xml:space="preserve">(Section S5).</w:t>
      </w:r>
    </w:p>
    <w:p>
      <w:pPr>
        <w:pStyle w:val="BodyText"/>
        <w:keepNext/>
      </w:pPr>
      <w:r>
        <w:rPr>
          <w:bCs/>
          <w:b/>
        </w:rPr>
        <w:t xml:space="preserve">Table S10.</w:t>
      </w:r>
      <w:r>
        <w:t xml:space="preserve"> </w:t>
      </w:r>
      <w:r>
        <w:t xml:space="preserve">Admissible set of the Cầu Mây model against the tolerance</w:t>
      </w:r>
      <w:r>
        <w:t xml:space="preserve"> </w:t>
      </w:r>
      <m:oMath>
        <m:r>
          <m:t>τ</m:t>
        </m:r>
      </m:oMath>
      <w:r>
        <w:t xml:space="preserve"> </w:t>
      </w:r>
      <w:r>
        <w:t xml:space="preserve">on the misfit of each gauge.</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2038"/>
        <w:gridCol w:w="1290"/>
        <w:gridCol w:w="1188"/>
        <w:gridCol w:w="1358"/>
        <w:gridCol w:w="1766"/>
        <w:gridCol w:w="1426"/>
      </w:tblGrid>
      <w:tr>
        <w:trPr>
          <w:tblHeader w:val="true"/>
          <w:tblHeader w:val="true"/>
          <w:cantSplit/>
        </w:trPr>
        <w:tc>
          <w:tcPr>
            <w:tcW w:type="dxa" w:w="2038"/>
            <w:tcBorders>
              <w:top w:val="nil"/>
              <w:left w:val="nil"/>
              <w:bottom w:val="single" w:sz="6" w:space="0" w:color="000000"/>
              <w:right w:val="nil"/>
            </w:tcBorders>
          </w:tcPr>
          <w:p>
            <w:pPr>
              <w:pStyle w:val="Compact"/>
              <w:jc w:val="left"/>
            </w:pPr>
            <w:r>
              <w:t xml:space="preserve">Tolerance, prior</w:t>
            </w:r>
          </w:p>
        </w:tc>
        <w:tc>
          <w:tcPr>
            <w:tcW w:type="dxa" w:w="1290"/>
            <w:tcBorders>
              <w:top w:val="nil"/>
              <w:left w:val="nil"/>
              <w:bottom w:val="single" w:sz="6" w:space="0" w:color="000000"/>
              <w:right w:val="nil"/>
            </w:tcBorders>
          </w:tcPr>
          <w:p>
            <w:pPr>
              <w:pStyle w:val="Compact"/>
              <w:jc w:val="left"/>
            </w:pPr>
            <m:oMath>
              <m:r>
                <m:t>κ</m:t>
              </m:r>
            </m:oMath>
            <w:r>
              <w:t xml:space="preserve"> </w:t>
            </w:r>
            <w:r>
              <w:t xml:space="preserve">(kN m/rad)</w:t>
            </w:r>
          </w:p>
        </w:tc>
        <w:tc>
          <w:tcPr>
            <w:tcW w:type="dxa" w:w="1188"/>
            <w:tcBorders>
              <w:top w:val="nil"/>
              <w:left w:val="nil"/>
              <w:bottom w:val="single" w:sz="6" w:space="0" w:color="000000"/>
              <w:right w:val="nil"/>
            </w:tcBorders>
          </w:tcPr>
          <w:p>
            <w:pPr>
              <w:pStyle w:val="Compact"/>
              <w:jc w:val="right"/>
            </w:pPr>
            <m:oMath>
              <m:r>
                <m:t>α</m:t>
              </m:r>
            </m:oMath>
          </w:p>
        </w:tc>
        <w:tc>
          <w:tcPr>
            <w:tcW w:type="dxa" w:w="1358"/>
            <w:tcBorders>
              <w:top w:val="nil"/>
              <w:left w:val="nil"/>
              <w:bottom w:val="single" w:sz="6" w:space="0" w:color="000000"/>
              <w:right w:val="nil"/>
            </w:tcBorders>
          </w:tcPr>
          <w:p>
            <w:pPr>
              <w:pStyle w:val="Compact"/>
              <w:jc w:val="right"/>
            </w:pPr>
            <w:r>
              <w:t xml:space="preserve">N8 indicator,</w:t>
            </w:r>
            <w:r>
              <w:t xml:space="preserve"> </w:t>
            </w:r>
            <m:oMath>
              <m:r>
                <m:t>α</m:t>
              </m:r>
              <m:r>
                <m:t>E</m:t>
              </m:r>
              <m:sSub>
                <m:e>
                  <m:r>
                    <m:t>I</m:t>
                  </m:r>
                </m:e>
                <m:sub>
                  <m:r>
                    <m:rPr>
                      <m:sty m:val="p"/>
                    </m:rPr>
                    <m:t>mid</m:t>
                  </m:r>
                </m:sub>
              </m:sSub>
            </m:oMath>
          </w:p>
        </w:tc>
        <w:tc>
          <w:tcPr>
            <w:tcW w:type="dxa" w:w="1766"/>
            <w:tcBorders>
              <w:top w:val="nil"/>
              <w:left w:val="nil"/>
              <w:bottom w:val="single" w:sz="6" w:space="0" w:color="000000"/>
              <w:right w:val="nil"/>
            </w:tcBorders>
          </w:tcPr>
          <w:p>
            <w:pPr>
              <w:pStyle w:val="Compact"/>
              <w:jc w:val="right"/>
            </w:pPr>
            <w:r>
              <w:t xml:space="preserve">N8 indicator, design</w:t>
            </w:r>
            <w:r>
              <w:t xml:space="preserve"> </w:t>
            </w:r>
            <m:oMath>
              <m:r>
                <m:t>E</m:t>
              </m:r>
              <m:sSub>
                <m:e>
                  <m:r>
                    <m:t>I</m:t>
                  </m:r>
                </m:e>
                <m:sub>
                  <m:r>
                    <m:rPr>
                      <m:sty m:val="p"/>
                    </m:rPr>
                    <m:t>mid</m:t>
                  </m:r>
                </m:sub>
              </m:sSub>
            </m:oMath>
          </w:p>
        </w:tc>
        <w:tc>
          <w:tcPr>
            <w:tcW w:type="dxa" w:w="1426"/>
            <w:tcBorders>
              <w:top w:val="nil"/>
              <w:left w:val="nil"/>
              <w:bottom w:val="single" w:sz="6" w:space="0" w:color="000000"/>
              <w:right w:val="nil"/>
            </w:tcBorders>
          </w:tcPr>
          <w:p>
            <w:pPr>
              <w:pStyle w:val="Compact"/>
              <w:jc w:val="right"/>
            </w:pPr>
            <m:oMath>
              <m:sSub>
                <m:e>
                  <m:r>
                    <m:t>C</m:t>
                  </m:r>
                </m:e>
                <m:sub>
                  <m:r>
                    <m:t>8</m:t>
                  </m:r>
                </m:sub>
              </m:sSub>
            </m:oMath>
            <w:r>
              <w:t xml:space="preserve"> </w:t>
            </w:r>
            <w:r>
              <w:t xml:space="preserve">(m²/kN)</w:t>
            </w:r>
          </w:p>
        </w:tc>
      </w:tr>
      <w:tr>
        <w:trPr>
          <w:cantSplit/>
        </w:trPr>
        <w:tc>
          <w:tcPr>
            <w:tcW w:type="dxa" w:w="2038"/>
          </w:tcPr>
          <w:p>
            <w:pPr>
              <w:pStyle w:val="Compact"/>
              <w:jc w:val="left"/>
            </w:pPr>
            <m:oMath>
              <m:r>
                <m:t>τ</m:t>
              </m:r>
            </m:oMath>
            <w:r>
              <w:t xml:space="preserve"> </w:t>
            </w:r>
            <w:r>
              <w:t xml:space="preserve">= 3 %</w:t>
            </w:r>
          </w:p>
        </w:tc>
        <w:tc>
          <w:tcPr>
            <w:tcW w:type="dxa" w:w="1290"/>
          </w:tcPr>
          <w:p>
            <w:pPr>
              <w:pStyle w:val="Compact"/>
              <w:jc w:val="left"/>
            </w:pPr>
            <w:r>
              <w:t xml:space="preserve">1.0–3.0 × 10⁸</w:t>
            </w:r>
          </w:p>
        </w:tc>
        <w:tc>
          <w:tcPr>
            <w:tcW w:type="dxa" w:w="1188"/>
          </w:tcPr>
          <w:p>
            <w:pPr>
              <w:pStyle w:val="Compact"/>
              <w:jc w:val="right"/>
            </w:pPr>
            <w:r>
              <w:t xml:space="preserve">0.64–0.80</w:t>
            </w:r>
          </w:p>
        </w:tc>
        <w:tc>
          <w:tcPr>
            <w:tcW w:type="dxa" w:w="1358"/>
          </w:tcPr>
          <w:p>
            <w:pPr>
              <w:pStyle w:val="Compact"/>
              <w:jc w:val="right"/>
            </w:pPr>
            <w:r>
              <w:t xml:space="preserve">–</w:t>
            </w:r>
          </w:p>
        </w:tc>
        <w:tc>
          <w:tcPr>
            <w:tcW w:type="dxa" w:w="1766"/>
          </w:tcPr>
          <w:p>
            <w:pPr>
              <w:pStyle w:val="Compact"/>
              <w:jc w:val="right"/>
            </w:pPr>
            <w:r>
              <w:t xml:space="preserve">–</w:t>
            </w:r>
          </w:p>
        </w:tc>
        <w:tc>
          <w:tcPr>
            <w:tcW w:type="dxa" w:w="1426"/>
          </w:tcPr>
          <w:p>
            <w:pPr>
              <w:pStyle w:val="Compact"/>
              <w:jc w:val="right"/>
            </w:pPr>
            <w:r>
              <w:t xml:space="preserve">–</w:t>
            </w:r>
          </w:p>
        </w:tc>
      </w:tr>
      <w:tr>
        <w:trPr>
          <w:cantSplit/>
        </w:trPr>
        <w:tc>
          <w:tcPr>
            <w:tcW w:type="dxa" w:w="2038"/>
          </w:tcPr>
          <w:p>
            <w:pPr>
              <w:pStyle w:val="Compact"/>
              <w:jc w:val="left"/>
            </w:pPr>
            <m:oMath>
              <m:r>
                <m:t>τ</m:t>
              </m:r>
            </m:oMath>
            <w:r>
              <w:t xml:space="preserve"> </w:t>
            </w:r>
            <w:r>
              <w:t xml:space="preserve">= 4 %</w:t>
            </w:r>
          </w:p>
        </w:tc>
        <w:tc>
          <w:tcPr>
            <w:tcW w:type="dxa" w:w="1290"/>
          </w:tcPr>
          <w:p>
            <w:pPr>
              <w:pStyle w:val="Compact"/>
              <w:jc w:val="left"/>
            </w:pPr>
            <w:r>
              <w:t xml:space="preserve">4.2 × 10⁷–2.0 × 10⁹</w:t>
            </w:r>
          </w:p>
        </w:tc>
        <w:tc>
          <w:tcPr>
            <w:tcW w:type="dxa" w:w="1188"/>
          </w:tcPr>
          <w:p>
            <w:pPr>
              <w:pStyle w:val="Compact"/>
              <w:jc w:val="right"/>
            </w:pPr>
            <w:r>
              <w:t xml:space="preserve">0.54–0.98</w:t>
            </w:r>
          </w:p>
        </w:tc>
        <w:tc>
          <w:tcPr>
            <w:tcW w:type="dxa" w:w="1358"/>
          </w:tcPr>
          <w:p>
            <w:pPr>
              <w:pStyle w:val="Compact"/>
              <w:jc w:val="right"/>
            </w:pPr>
            <w:r>
              <w:t xml:space="preserve">–</w:t>
            </w:r>
          </w:p>
        </w:tc>
        <w:tc>
          <w:tcPr>
            <w:tcW w:type="dxa" w:w="1766"/>
          </w:tcPr>
          <w:p>
            <w:pPr>
              <w:pStyle w:val="Compact"/>
              <w:jc w:val="right"/>
            </w:pPr>
            <w:r>
              <w:t xml:space="preserve">–</w:t>
            </w:r>
          </w:p>
        </w:tc>
        <w:tc>
          <w:tcPr>
            <w:tcW w:type="dxa" w:w="1426"/>
          </w:tcPr>
          <w:p>
            <w:pPr>
              <w:pStyle w:val="Compact"/>
              <w:jc w:val="right"/>
            </w:pPr>
            <w:r>
              <w:t xml:space="preserve">–</w:t>
            </w:r>
          </w:p>
        </w:tc>
      </w:tr>
      <w:tr>
        <w:trPr>
          <w:cantSplit/>
        </w:trPr>
        <w:tc>
          <w:tcPr>
            <w:tcW w:type="dxa" w:w="2038"/>
          </w:tcPr>
          <w:p>
            <w:pPr>
              <w:pStyle w:val="Compact"/>
              <w:jc w:val="left"/>
            </w:pPr>
            <m:oMath>
              <m:r>
                <m:t>τ</m:t>
              </m:r>
            </m:oMath>
            <w:r>
              <w:t xml:space="preserve"> </w:t>
            </w:r>
            <w:r>
              <w:t xml:space="preserve">= 5.3 %</w:t>
            </w:r>
          </w:p>
        </w:tc>
        <w:tc>
          <w:tcPr>
            <w:tcW w:type="dxa" w:w="1290"/>
          </w:tcPr>
          <w:p>
            <w:pPr>
              <w:pStyle w:val="Compact"/>
              <w:jc w:val="left"/>
            </w:pPr>
            <w:r>
              <w:t xml:space="preserve">≥ 1.8 × 10⁷</w:t>
            </w:r>
          </w:p>
        </w:tc>
        <w:tc>
          <w:tcPr>
            <w:tcW w:type="dxa" w:w="1188"/>
          </w:tcPr>
          <w:p>
            <w:pPr>
              <w:pStyle w:val="Compact"/>
              <w:jc w:val="right"/>
            </w:pPr>
            <w:r>
              <w:t xml:space="preserve">0.51–1.15</w:t>
            </w:r>
          </w:p>
        </w:tc>
        <w:tc>
          <w:tcPr>
            <w:tcW w:type="dxa" w:w="1358"/>
          </w:tcPr>
          <w:p>
            <w:pPr>
              <w:pStyle w:val="Compact"/>
              <w:jc w:val="right"/>
            </w:pPr>
            <w:r>
              <w:t xml:space="preserve">0.14–0.42</w:t>
            </w:r>
          </w:p>
        </w:tc>
        <w:tc>
          <w:tcPr>
            <w:tcW w:type="dxa" w:w="1766"/>
          </w:tcPr>
          <w:p>
            <w:pPr>
              <w:pStyle w:val="Compact"/>
              <w:jc w:val="right"/>
            </w:pPr>
            <w:r>
              <w:t xml:space="preserve">0.12–0.82</w:t>
            </w:r>
          </w:p>
        </w:tc>
        <w:tc>
          <w:tcPr>
            <w:tcW w:type="dxa" w:w="1426"/>
          </w:tcPr>
          <w:p>
            <w:pPr>
              <w:pStyle w:val="Compact"/>
              <w:jc w:val="right"/>
            </w:pPr>
            <w:r>
              <w:t xml:space="preserve">3.0 × 10⁻⁵–2.0 × 10⁻⁴</w:t>
            </w:r>
          </w:p>
        </w:tc>
      </w:tr>
      <w:tr>
        <w:trPr>
          <w:cantSplit/>
        </w:trPr>
        <w:tc>
          <w:tcPr>
            <w:tcW w:type="dxa" w:w="2038"/>
          </w:tcPr>
          <w:p>
            <w:pPr>
              <w:pStyle w:val="Compact"/>
              <w:jc w:val="left"/>
            </w:pPr>
            <m:oMath>
              <m:r>
                <m:t>τ</m:t>
              </m:r>
            </m:oMath>
            <w:r>
              <w:t xml:space="preserve"> </w:t>
            </w:r>
            <w:r>
              <w:t xml:space="preserve">= 5.3 %, prior</w:t>
            </w:r>
            <w:r>
              <w:t xml:space="preserve"> </w:t>
            </w:r>
            <m:oMath>
              <m:r>
                <m:t>α</m:t>
              </m:r>
            </m:oMath>
            <w:r>
              <w:t xml:space="preserve"> </w:t>
            </w:r>
            <w:r>
              <w:t xml:space="preserve">∈ [0.9, 1.3]</w:t>
            </w:r>
          </w:p>
        </w:tc>
        <w:tc>
          <w:tcPr>
            <w:tcW w:type="dxa" w:w="1290"/>
          </w:tcPr>
          <w:p>
            <w:pPr>
              <w:pStyle w:val="Compact"/>
              <w:jc w:val="left"/>
            </w:pPr>
            <w:r>
              <w:t xml:space="preserve">–</w:t>
            </w:r>
          </w:p>
        </w:tc>
        <w:tc>
          <w:tcPr>
            <w:tcW w:type="dxa" w:w="1188"/>
          </w:tcPr>
          <w:p>
            <w:pPr>
              <w:pStyle w:val="Compact"/>
              <w:jc w:val="right"/>
            </w:pPr>
            <w:r>
              <w:t xml:space="preserve">–</w:t>
            </w:r>
          </w:p>
        </w:tc>
        <w:tc>
          <w:tcPr>
            <w:tcW w:type="dxa" w:w="1358"/>
          </w:tcPr>
          <w:p>
            <w:pPr>
              <w:pStyle w:val="Compact"/>
              <w:jc w:val="right"/>
            </w:pPr>
            <w:r>
              <w:t xml:space="preserve">0.14–0.27</w:t>
            </w:r>
          </w:p>
        </w:tc>
        <w:tc>
          <w:tcPr>
            <w:tcW w:type="dxa" w:w="1766"/>
          </w:tcPr>
          <w:p>
            <w:pPr>
              <w:pStyle w:val="Compact"/>
              <w:jc w:val="right"/>
            </w:pPr>
            <w:r>
              <w:t xml:space="preserve">0.12–0.30</w:t>
            </w:r>
          </w:p>
        </w:tc>
        <w:tc>
          <w:tcPr>
            <w:tcW w:type="dxa" w:w="1426"/>
          </w:tcPr>
          <w:p>
            <w:pPr>
              <w:pStyle w:val="Compact"/>
              <w:jc w:val="right"/>
            </w:pPr>
            <w:r>
              <w:t xml:space="preserve">–</w:t>
            </w:r>
          </w:p>
        </w:tc>
      </w:tr>
    </w:tbl>
    <w:p>
      <w:pPr>
        <w:pStyle w:val="BodyText"/>
        <w:keepNext/>
      </w:pPr>
      <w:r>
        <w:rPr>
          <w:bCs/>
          <w:b/>
        </w:rPr>
        <w:t xml:space="preserve">Table S11.</w:t>
      </w:r>
      <w:r>
        <w:t xml:space="preserve"> </w:t>
      </w:r>
      <w:r>
        <w:t xml:space="preserve">Cầu Mây acceptance test (June 2020): measured peak deflection (mm, downward positive) at the two gauge sections, at three measuring points across each section, under central and eccentric truck arrangements.</w:t>
      </w:r>
    </w:p>
    <w:tbl>
      <w:tblPr>
        <w:tblStyle w:val="Table"/>
        <w:tblW w:type="auto" w:w="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3146"/>
        <w:gridCol w:w="2233"/>
        <w:gridCol w:w="1650"/>
        <w:gridCol w:w="2039"/>
      </w:tblGrid>
      <w:tr>
        <w:trPr>
          <w:tblHeader w:val="true"/>
          <w:tblHeader w:val="true"/>
          <w:cantSplit/>
        </w:trPr>
        <w:tc>
          <w:tcPr>
            <w:tcW w:type="dxa" w:w="3146"/>
            <w:tcBorders>
              <w:top w:val="nil"/>
              <w:left w:val="nil"/>
              <w:bottom w:val="single" w:sz="6" w:space="0" w:color="000000"/>
              <w:right w:val="nil"/>
            </w:tcBorders>
          </w:tcPr>
          <w:p>
            <w:pPr>
              <w:pStyle w:val="Compact"/>
              <w:jc w:val="left"/>
            </w:pPr>
            <w:r>
              <w:t xml:space="preserve">Section</w:t>
            </w:r>
          </w:p>
        </w:tc>
        <w:tc>
          <w:tcPr>
            <w:tcW w:type="dxa" w:w="2233"/>
            <w:tcBorders>
              <w:top w:val="nil"/>
              <w:left w:val="nil"/>
              <w:bottom w:val="single" w:sz="6" w:space="0" w:color="000000"/>
              <w:right w:val="nil"/>
            </w:tcBorders>
          </w:tcPr>
          <w:p>
            <w:pPr>
              <w:pStyle w:val="Compact"/>
              <w:jc w:val="left"/>
            </w:pPr>
            <w:r>
              <w:t xml:space="preserve">Measuring point</w:t>
            </w:r>
          </w:p>
        </w:tc>
        <w:tc>
          <w:tcPr>
            <w:tcW w:type="dxa" w:w="1650"/>
            <w:tcBorders>
              <w:top w:val="nil"/>
              <w:left w:val="nil"/>
              <w:bottom w:val="single" w:sz="6" w:space="0" w:color="000000"/>
              <w:right w:val="nil"/>
            </w:tcBorders>
          </w:tcPr>
          <w:p>
            <w:pPr>
              <w:pStyle w:val="Compact"/>
              <w:jc w:val="right"/>
            </w:pPr>
            <w:r>
              <w:t xml:space="preserve">Central</w:t>
            </w:r>
          </w:p>
        </w:tc>
        <w:tc>
          <w:tcPr>
            <w:tcW w:type="dxa" w:w="2039"/>
            <w:tcBorders>
              <w:top w:val="nil"/>
              <w:left w:val="nil"/>
              <w:bottom w:val="single" w:sz="6" w:space="0" w:color="000000"/>
              <w:right w:val="nil"/>
            </w:tcBorders>
          </w:tcPr>
          <w:p>
            <w:pPr>
              <w:pStyle w:val="Compact"/>
              <w:jc w:val="right"/>
            </w:pPr>
            <w:r>
              <w:t xml:space="preserve">Eccentric</w:t>
            </w:r>
          </w:p>
        </w:tc>
      </w:tr>
      <w:tr>
        <w:trPr>
          <w:cantSplit/>
        </w:trPr>
        <w:tc>
          <w:tcPr>
            <w:tcW w:type="dxa" w:w="3146"/>
          </w:tcPr>
          <w:p>
            <w:pPr>
              <w:pStyle w:val="Compact"/>
              <w:jc w:val="left"/>
            </w:pPr>
            <w:r>
              <w:t xml:space="preserve">N8, side span, 0.4L from T8</w:t>
            </w:r>
          </w:p>
        </w:tc>
        <w:tc>
          <w:tcPr>
            <w:tcW w:type="dxa" w:w="2233"/>
          </w:tcPr>
          <w:p>
            <w:pPr>
              <w:pStyle w:val="Compact"/>
              <w:jc w:val="left"/>
            </w:pPr>
            <w:r>
              <w:t xml:space="preserve">right edge</w:t>
            </w:r>
          </w:p>
        </w:tc>
        <w:tc>
          <w:tcPr>
            <w:tcW w:type="dxa" w:w="1650"/>
          </w:tcPr>
          <w:p>
            <w:pPr>
              <w:pStyle w:val="Compact"/>
              <w:jc w:val="right"/>
            </w:pPr>
            <w:r>
              <w:t xml:space="preserve">5.32</w:t>
            </w:r>
          </w:p>
        </w:tc>
        <w:tc>
          <w:tcPr>
            <w:tcW w:type="dxa" w:w="2039"/>
          </w:tcPr>
          <w:p>
            <w:pPr>
              <w:pStyle w:val="Compact"/>
              <w:jc w:val="right"/>
            </w:pPr>
            <w:r>
              <w:t xml:space="preserve">5.91</w:t>
            </w:r>
          </w:p>
        </w:tc>
      </w:tr>
      <w:tr>
        <w:trPr>
          <w:cantSplit/>
        </w:trPr>
        <w:tc>
          <w:tcPr>
            <w:tcW w:type="dxa" w:w="3146"/>
          </w:tcPr>
          <w:p>
            <w:pPr>
              <w:pStyle w:val="Compact"/>
              <w:jc w:val="left"/>
            </w:pPr>
            <w:r>
              <w:t xml:space="preserve">N8, side span, 0.4L from T8</w:t>
            </w:r>
          </w:p>
        </w:tc>
        <w:tc>
          <w:tcPr>
            <w:tcW w:type="dxa" w:w="2233"/>
          </w:tcPr>
          <w:p>
            <w:pPr>
              <w:pStyle w:val="Compact"/>
              <w:jc w:val="left"/>
            </w:pPr>
            <w:r>
              <w:t xml:space="preserve">centerline</w:t>
            </w:r>
          </w:p>
        </w:tc>
        <w:tc>
          <w:tcPr>
            <w:tcW w:type="dxa" w:w="1650"/>
          </w:tcPr>
          <w:p>
            <w:pPr>
              <w:pStyle w:val="Compact"/>
              <w:jc w:val="right"/>
            </w:pPr>
            <w:r>
              <w:t xml:space="preserve">5.56</w:t>
            </w:r>
          </w:p>
        </w:tc>
        <w:tc>
          <w:tcPr>
            <w:tcW w:type="dxa" w:w="2039"/>
          </w:tcPr>
          <w:p>
            <w:pPr>
              <w:pStyle w:val="Compact"/>
              <w:jc w:val="right"/>
            </w:pPr>
            <w:r>
              <w:t xml:space="preserve">5.55</w:t>
            </w:r>
          </w:p>
        </w:tc>
      </w:tr>
      <w:tr>
        <w:trPr>
          <w:cantSplit/>
        </w:trPr>
        <w:tc>
          <w:tcPr>
            <w:tcW w:type="dxa" w:w="3146"/>
          </w:tcPr>
          <w:p>
            <w:pPr>
              <w:pStyle w:val="Compact"/>
              <w:jc w:val="left"/>
            </w:pPr>
            <w:r>
              <w:t xml:space="preserve">N8, side span, 0.4L from T8</w:t>
            </w:r>
          </w:p>
        </w:tc>
        <w:tc>
          <w:tcPr>
            <w:tcW w:type="dxa" w:w="2233"/>
          </w:tcPr>
          <w:p>
            <w:pPr>
              <w:pStyle w:val="Compact"/>
              <w:jc w:val="left"/>
            </w:pPr>
            <w:r>
              <w:t xml:space="preserve">left edge</w:t>
            </w:r>
          </w:p>
        </w:tc>
        <w:tc>
          <w:tcPr>
            <w:tcW w:type="dxa" w:w="1650"/>
          </w:tcPr>
          <w:p>
            <w:pPr>
              <w:pStyle w:val="Compact"/>
              <w:jc w:val="right"/>
            </w:pPr>
            <w:r>
              <w:t xml:space="preserve">5.76</w:t>
            </w:r>
          </w:p>
        </w:tc>
        <w:tc>
          <w:tcPr>
            <w:tcW w:type="dxa" w:w="2039"/>
          </w:tcPr>
          <w:p>
            <w:pPr>
              <w:pStyle w:val="Compact"/>
              <w:jc w:val="right"/>
            </w:pPr>
            <w:r>
              <w:t xml:space="preserve">5.22</w:t>
            </w:r>
          </w:p>
        </w:tc>
      </w:tr>
      <w:tr>
        <w:trPr>
          <w:cantSplit/>
        </w:trPr>
        <w:tc>
          <w:tcPr>
            <w:tcW w:type="dxa" w:w="3146"/>
          </w:tcPr>
          <w:p>
            <w:pPr>
              <w:pStyle w:val="Compact"/>
              <w:jc w:val="left"/>
            </w:pPr>
            <w:r>
              <w:t xml:space="preserve">N7, mid main span</w:t>
            </w:r>
          </w:p>
        </w:tc>
        <w:tc>
          <w:tcPr>
            <w:tcW w:type="dxa" w:w="2233"/>
          </w:tcPr>
          <w:p>
            <w:pPr>
              <w:pStyle w:val="Compact"/>
              <w:jc w:val="left"/>
            </w:pPr>
            <w:r>
              <w:t xml:space="preserve">right edge</w:t>
            </w:r>
          </w:p>
        </w:tc>
        <w:tc>
          <w:tcPr>
            <w:tcW w:type="dxa" w:w="1650"/>
          </w:tcPr>
          <w:p>
            <w:pPr>
              <w:pStyle w:val="Compact"/>
              <w:jc w:val="right"/>
            </w:pPr>
            <w:r>
              <w:t xml:space="preserve">14.68</w:t>
            </w:r>
          </w:p>
        </w:tc>
        <w:tc>
          <w:tcPr>
            <w:tcW w:type="dxa" w:w="2039"/>
          </w:tcPr>
          <w:p>
            <w:pPr>
              <w:pStyle w:val="Compact"/>
              <w:jc w:val="right"/>
            </w:pPr>
            <w:r>
              <w:t xml:space="preserve">14.62</w:t>
            </w:r>
          </w:p>
        </w:tc>
      </w:tr>
      <w:tr>
        <w:trPr>
          <w:cantSplit/>
        </w:trPr>
        <w:tc>
          <w:tcPr>
            <w:tcW w:type="dxa" w:w="3146"/>
          </w:tcPr>
          <w:p>
            <w:pPr>
              <w:pStyle w:val="Compact"/>
              <w:jc w:val="left"/>
            </w:pPr>
            <w:r>
              <w:t xml:space="preserve">N7, mid main span</w:t>
            </w:r>
          </w:p>
        </w:tc>
        <w:tc>
          <w:tcPr>
            <w:tcW w:type="dxa" w:w="2233"/>
          </w:tcPr>
          <w:p>
            <w:pPr>
              <w:pStyle w:val="Compact"/>
              <w:jc w:val="left"/>
            </w:pPr>
            <w:r>
              <w:t xml:space="preserve">centerline</w:t>
            </w:r>
          </w:p>
        </w:tc>
        <w:tc>
          <w:tcPr>
            <w:tcW w:type="dxa" w:w="1650"/>
          </w:tcPr>
          <w:p>
            <w:pPr>
              <w:pStyle w:val="Compact"/>
              <w:jc w:val="right"/>
            </w:pPr>
            <w:r>
              <w:t xml:space="preserve">15.24</w:t>
            </w:r>
          </w:p>
        </w:tc>
        <w:tc>
          <w:tcPr>
            <w:tcW w:type="dxa" w:w="2039"/>
          </w:tcPr>
          <w:p>
            <w:pPr>
              <w:pStyle w:val="Compact"/>
              <w:jc w:val="right"/>
            </w:pPr>
            <w:r>
              <w:t xml:space="preserve">15.51</w:t>
            </w:r>
          </w:p>
        </w:tc>
      </w:tr>
      <w:tr>
        <w:trPr>
          <w:cantSplit/>
        </w:trPr>
        <w:tc>
          <w:tcPr>
            <w:tcW w:type="dxa" w:w="3146"/>
          </w:tcPr>
          <w:p>
            <w:pPr>
              <w:pStyle w:val="Compact"/>
              <w:jc w:val="left"/>
            </w:pPr>
            <w:r>
              <w:t xml:space="preserve">N7, mid main span</w:t>
            </w:r>
          </w:p>
        </w:tc>
        <w:tc>
          <w:tcPr>
            <w:tcW w:type="dxa" w:w="2233"/>
          </w:tcPr>
          <w:p>
            <w:pPr>
              <w:pStyle w:val="Compact"/>
              <w:jc w:val="left"/>
            </w:pPr>
            <w:r>
              <w:t xml:space="preserve">left edge</w:t>
            </w:r>
          </w:p>
        </w:tc>
        <w:tc>
          <w:tcPr>
            <w:tcW w:type="dxa" w:w="1650"/>
          </w:tcPr>
          <w:p>
            <w:pPr>
              <w:pStyle w:val="Compact"/>
              <w:jc w:val="right"/>
            </w:pPr>
            <w:r>
              <w:t xml:space="preserve">15.83</w:t>
            </w:r>
          </w:p>
        </w:tc>
        <w:tc>
          <w:tcPr>
            <w:tcW w:type="dxa" w:w="2039"/>
          </w:tcPr>
          <w:p>
            <w:pPr>
              <w:pStyle w:val="Compact"/>
              <w:jc w:val="right"/>
            </w:pPr>
            <w:r>
              <w:t xml:space="preserve">16.67</w:t>
            </w:r>
          </w:p>
        </w:tc>
      </w:tr>
    </w:tbl>
    <w:p>
      <w:pPr>
        <w:pStyle w:val="BodyText"/>
        <w:keepNext/>
      </w:pPr>
      <w:r>
        <w:rPr>
          <w:bCs/>
          <w:b/>
        </w:rPr>
        <w:t xml:space="preserve">Table S12.</w:t>
      </w:r>
      <w:r>
        <w:t xml:space="preserve"> </w:t>
      </w:r>
      <w:r>
        <w:t xml:space="preserve">Weighed 3-axle test trucks: gross weight and axle spacings (front to middle axle; middle to rear axle) and track width. Mean gross weight 25.06 t.</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1218"/>
        <w:gridCol w:w="1799"/>
        <w:gridCol w:w="2473"/>
        <w:gridCol w:w="2361"/>
        <w:gridCol w:w="1218"/>
      </w:tblGrid>
      <w:tr>
        <w:trPr>
          <w:tblHeader w:val="true"/>
          <w:tblHeader w:val="true"/>
          <w:cantSplit/>
        </w:trPr>
        <w:tc>
          <w:tcPr>
            <w:tcW w:type="dxa" w:w="1218"/>
            <w:tcBorders>
              <w:top w:val="nil"/>
              <w:left w:val="nil"/>
              <w:bottom w:val="single" w:sz="6" w:space="0" w:color="000000"/>
              <w:right w:val="nil"/>
            </w:tcBorders>
          </w:tcPr>
          <w:p>
            <w:pPr>
              <w:pStyle w:val="Compact"/>
              <w:jc w:val="right"/>
            </w:pPr>
            <w:r>
              <w:t xml:space="preserve">Truck</w:t>
            </w:r>
          </w:p>
        </w:tc>
        <w:tc>
          <w:tcPr>
            <w:tcW w:type="dxa" w:w="1799"/>
            <w:tcBorders>
              <w:top w:val="nil"/>
              <w:left w:val="nil"/>
              <w:bottom w:val="single" w:sz="6" w:space="0" w:color="000000"/>
              <w:right w:val="nil"/>
            </w:tcBorders>
          </w:tcPr>
          <w:p>
            <w:pPr>
              <w:pStyle w:val="Compact"/>
              <w:jc w:val="right"/>
            </w:pPr>
            <w:r>
              <w:t xml:space="preserve">Gross weight (t)</w:t>
            </w:r>
          </w:p>
        </w:tc>
        <w:tc>
          <w:tcPr>
            <w:tcW w:type="dxa" w:w="2473"/>
            <w:tcBorders>
              <w:top w:val="nil"/>
              <w:left w:val="nil"/>
              <w:bottom w:val="single" w:sz="6" w:space="0" w:color="000000"/>
              <w:right w:val="nil"/>
            </w:tcBorders>
          </w:tcPr>
          <w:p>
            <w:pPr>
              <w:pStyle w:val="Compact"/>
              <w:jc w:val="right"/>
            </w:pPr>
            <w:r>
              <w:t xml:space="preserve">Front axle spacing (m)</w:t>
            </w:r>
          </w:p>
        </w:tc>
        <w:tc>
          <w:tcPr>
            <w:tcW w:type="dxa" w:w="2361"/>
            <w:tcBorders>
              <w:top w:val="nil"/>
              <w:left w:val="nil"/>
              <w:bottom w:val="single" w:sz="6" w:space="0" w:color="000000"/>
              <w:right w:val="nil"/>
            </w:tcBorders>
          </w:tcPr>
          <w:p>
            <w:pPr>
              <w:pStyle w:val="Compact"/>
              <w:jc w:val="right"/>
            </w:pPr>
            <w:r>
              <w:t xml:space="preserve">Rear axle spacing (m)</w:t>
            </w:r>
          </w:p>
        </w:tc>
        <w:tc>
          <w:tcPr>
            <w:tcW w:type="dxa" w:w="1218"/>
            <w:tcBorders>
              <w:top w:val="nil"/>
              <w:left w:val="nil"/>
              <w:bottom w:val="single" w:sz="6" w:space="0" w:color="000000"/>
              <w:right w:val="nil"/>
            </w:tcBorders>
          </w:tcPr>
          <w:p>
            <w:pPr>
              <w:pStyle w:val="Compact"/>
              <w:jc w:val="right"/>
            </w:pPr>
            <w:r>
              <w:t xml:space="preserve">Track (m)</w:t>
            </w:r>
          </w:p>
        </w:tc>
      </w:tr>
      <w:tr>
        <w:trPr>
          <w:cantSplit/>
        </w:trPr>
        <w:tc>
          <w:tcPr>
            <w:tcW w:type="dxa" w:w="1218"/>
          </w:tcPr>
          <w:p>
            <w:pPr>
              <w:pStyle w:val="Compact"/>
              <w:jc w:val="right"/>
            </w:pPr>
            <w:r>
              <w:t xml:space="preserve">1</w:t>
            </w:r>
          </w:p>
        </w:tc>
        <w:tc>
          <w:tcPr>
            <w:tcW w:type="dxa" w:w="1799"/>
          </w:tcPr>
          <w:p>
            <w:pPr>
              <w:pStyle w:val="Compact"/>
              <w:jc w:val="right"/>
            </w:pPr>
            <w:r>
              <w:t xml:space="preserve">24.7</w:t>
            </w:r>
          </w:p>
        </w:tc>
        <w:tc>
          <w:tcPr>
            <w:tcW w:type="dxa" w:w="2473"/>
          </w:tcPr>
          <w:p>
            <w:pPr>
              <w:pStyle w:val="Compact"/>
              <w:jc w:val="right"/>
            </w:pPr>
            <w:r>
              <w:t xml:space="preserve">3.45</w:t>
            </w:r>
          </w:p>
        </w:tc>
        <w:tc>
          <w:tcPr>
            <w:tcW w:type="dxa" w:w="2361"/>
          </w:tcPr>
          <w:p>
            <w:pPr>
              <w:pStyle w:val="Compact"/>
              <w:jc w:val="right"/>
            </w:pPr>
            <w:r>
              <w:t xml:space="preserve">1.35</w:t>
            </w:r>
          </w:p>
        </w:tc>
        <w:tc>
          <w:tcPr>
            <w:tcW w:type="dxa" w:w="1218"/>
          </w:tcPr>
          <w:p>
            <w:pPr>
              <w:pStyle w:val="Compact"/>
              <w:jc w:val="right"/>
            </w:pPr>
            <w:r>
              <w:t xml:space="preserve">1.9</w:t>
            </w:r>
          </w:p>
        </w:tc>
      </w:tr>
      <w:tr>
        <w:trPr>
          <w:cantSplit/>
        </w:trPr>
        <w:tc>
          <w:tcPr>
            <w:tcW w:type="dxa" w:w="1218"/>
          </w:tcPr>
          <w:p>
            <w:pPr>
              <w:pStyle w:val="Compact"/>
              <w:jc w:val="right"/>
            </w:pPr>
            <w:r>
              <w:t xml:space="preserve">2</w:t>
            </w:r>
          </w:p>
        </w:tc>
        <w:tc>
          <w:tcPr>
            <w:tcW w:type="dxa" w:w="1799"/>
          </w:tcPr>
          <w:p>
            <w:pPr>
              <w:pStyle w:val="Compact"/>
              <w:jc w:val="right"/>
            </w:pPr>
            <w:r>
              <w:t xml:space="preserve">25</w:t>
            </w:r>
          </w:p>
        </w:tc>
        <w:tc>
          <w:tcPr>
            <w:tcW w:type="dxa" w:w="2473"/>
          </w:tcPr>
          <w:p>
            <w:pPr>
              <w:pStyle w:val="Compact"/>
              <w:jc w:val="right"/>
            </w:pPr>
            <w:r>
              <w:t xml:space="preserve">3.65</w:t>
            </w:r>
          </w:p>
        </w:tc>
        <w:tc>
          <w:tcPr>
            <w:tcW w:type="dxa" w:w="2361"/>
          </w:tcPr>
          <w:p>
            <w:pPr>
              <w:pStyle w:val="Compact"/>
              <w:jc w:val="right"/>
            </w:pPr>
            <w:r>
              <w:t xml:space="preserve">1.45</w:t>
            </w:r>
          </w:p>
        </w:tc>
        <w:tc>
          <w:tcPr>
            <w:tcW w:type="dxa" w:w="1218"/>
          </w:tcPr>
          <w:p>
            <w:pPr>
              <w:pStyle w:val="Compact"/>
              <w:jc w:val="right"/>
            </w:pPr>
            <w:r>
              <w:t xml:space="preserve">1.85</w:t>
            </w:r>
          </w:p>
        </w:tc>
      </w:tr>
      <w:tr>
        <w:trPr>
          <w:cantSplit/>
        </w:trPr>
        <w:tc>
          <w:tcPr>
            <w:tcW w:type="dxa" w:w="1218"/>
          </w:tcPr>
          <w:p>
            <w:pPr>
              <w:pStyle w:val="Compact"/>
              <w:jc w:val="right"/>
            </w:pPr>
            <w:r>
              <w:t xml:space="preserve">3</w:t>
            </w:r>
          </w:p>
        </w:tc>
        <w:tc>
          <w:tcPr>
            <w:tcW w:type="dxa" w:w="1799"/>
          </w:tcPr>
          <w:p>
            <w:pPr>
              <w:pStyle w:val="Compact"/>
              <w:jc w:val="right"/>
            </w:pPr>
            <w:r>
              <w:t xml:space="preserve">25.66</w:t>
            </w:r>
          </w:p>
        </w:tc>
        <w:tc>
          <w:tcPr>
            <w:tcW w:type="dxa" w:w="2473"/>
          </w:tcPr>
          <w:p>
            <w:pPr>
              <w:pStyle w:val="Compact"/>
              <w:jc w:val="right"/>
            </w:pPr>
            <w:r>
              <w:t xml:space="preserve">3.45</w:t>
            </w:r>
          </w:p>
        </w:tc>
        <w:tc>
          <w:tcPr>
            <w:tcW w:type="dxa" w:w="2361"/>
          </w:tcPr>
          <w:p>
            <w:pPr>
              <w:pStyle w:val="Compact"/>
              <w:jc w:val="right"/>
            </w:pPr>
            <w:r>
              <w:t xml:space="preserve">1.35</w:t>
            </w:r>
          </w:p>
        </w:tc>
        <w:tc>
          <w:tcPr>
            <w:tcW w:type="dxa" w:w="1218"/>
          </w:tcPr>
          <w:p>
            <w:pPr>
              <w:pStyle w:val="Compact"/>
              <w:jc w:val="right"/>
            </w:pPr>
            <w:r>
              <w:t xml:space="preserve">1.85</w:t>
            </w:r>
          </w:p>
        </w:tc>
      </w:tr>
      <w:tr>
        <w:trPr>
          <w:cantSplit/>
        </w:trPr>
        <w:tc>
          <w:tcPr>
            <w:tcW w:type="dxa" w:w="1218"/>
          </w:tcPr>
          <w:p>
            <w:pPr>
              <w:pStyle w:val="Compact"/>
              <w:jc w:val="right"/>
            </w:pPr>
            <w:r>
              <w:t xml:space="preserve">4</w:t>
            </w:r>
          </w:p>
        </w:tc>
        <w:tc>
          <w:tcPr>
            <w:tcW w:type="dxa" w:w="1799"/>
          </w:tcPr>
          <w:p>
            <w:pPr>
              <w:pStyle w:val="Compact"/>
              <w:jc w:val="right"/>
            </w:pPr>
            <w:r>
              <w:t xml:space="preserve">25.06</w:t>
            </w:r>
          </w:p>
        </w:tc>
        <w:tc>
          <w:tcPr>
            <w:tcW w:type="dxa" w:w="2473"/>
          </w:tcPr>
          <w:p>
            <w:pPr>
              <w:pStyle w:val="Compact"/>
              <w:jc w:val="right"/>
            </w:pPr>
            <w:r>
              <w:t xml:space="preserve">3.85</w:t>
            </w:r>
          </w:p>
        </w:tc>
        <w:tc>
          <w:tcPr>
            <w:tcW w:type="dxa" w:w="2361"/>
          </w:tcPr>
          <w:p>
            <w:pPr>
              <w:pStyle w:val="Compact"/>
              <w:jc w:val="right"/>
            </w:pPr>
            <w:r>
              <w:t xml:space="preserve">1.35</w:t>
            </w:r>
          </w:p>
        </w:tc>
        <w:tc>
          <w:tcPr>
            <w:tcW w:type="dxa" w:w="1218"/>
          </w:tcPr>
          <w:p>
            <w:pPr>
              <w:pStyle w:val="Compact"/>
              <w:jc w:val="right"/>
            </w:pPr>
            <w:r>
              <w:t xml:space="preserve">1.85</w:t>
            </w:r>
          </w:p>
        </w:tc>
      </w:tr>
      <w:tr>
        <w:trPr>
          <w:cantSplit/>
        </w:trPr>
        <w:tc>
          <w:tcPr>
            <w:tcW w:type="dxa" w:w="1218"/>
          </w:tcPr>
          <w:p>
            <w:pPr>
              <w:pStyle w:val="Compact"/>
              <w:jc w:val="right"/>
            </w:pPr>
            <w:r>
              <w:t xml:space="preserve">5</w:t>
            </w:r>
          </w:p>
        </w:tc>
        <w:tc>
          <w:tcPr>
            <w:tcW w:type="dxa" w:w="1799"/>
          </w:tcPr>
          <w:p>
            <w:pPr>
              <w:pStyle w:val="Compact"/>
              <w:jc w:val="right"/>
            </w:pPr>
            <w:r>
              <w:t xml:space="preserve">25.05</w:t>
            </w:r>
          </w:p>
        </w:tc>
        <w:tc>
          <w:tcPr>
            <w:tcW w:type="dxa" w:w="2473"/>
          </w:tcPr>
          <w:p>
            <w:pPr>
              <w:pStyle w:val="Compact"/>
              <w:jc w:val="right"/>
            </w:pPr>
            <w:r>
              <w:t xml:space="preserve">3.45</w:t>
            </w:r>
          </w:p>
        </w:tc>
        <w:tc>
          <w:tcPr>
            <w:tcW w:type="dxa" w:w="2361"/>
          </w:tcPr>
          <w:p>
            <w:pPr>
              <w:pStyle w:val="Compact"/>
              <w:jc w:val="right"/>
            </w:pPr>
            <w:r>
              <w:t xml:space="preserve">1.35</w:t>
            </w:r>
          </w:p>
        </w:tc>
        <w:tc>
          <w:tcPr>
            <w:tcW w:type="dxa" w:w="1218"/>
          </w:tcPr>
          <w:p>
            <w:pPr>
              <w:pStyle w:val="Compact"/>
              <w:jc w:val="right"/>
            </w:pPr>
            <w:r>
              <w:t xml:space="preserve">1.85</w:t>
            </w:r>
          </w:p>
        </w:tc>
      </w:tr>
      <w:tr>
        <w:trPr>
          <w:cantSplit/>
        </w:trPr>
        <w:tc>
          <w:tcPr>
            <w:tcW w:type="dxa" w:w="1218"/>
          </w:tcPr>
          <w:p>
            <w:pPr>
              <w:pStyle w:val="Compact"/>
              <w:jc w:val="right"/>
            </w:pPr>
            <w:r>
              <w:t xml:space="preserve">6</w:t>
            </w:r>
          </w:p>
        </w:tc>
        <w:tc>
          <w:tcPr>
            <w:tcW w:type="dxa" w:w="1799"/>
          </w:tcPr>
          <w:p>
            <w:pPr>
              <w:pStyle w:val="Compact"/>
              <w:jc w:val="right"/>
            </w:pPr>
            <w:r>
              <w:t xml:space="preserve">25.3</w:t>
            </w:r>
          </w:p>
        </w:tc>
        <w:tc>
          <w:tcPr>
            <w:tcW w:type="dxa" w:w="2473"/>
          </w:tcPr>
          <w:p>
            <w:pPr>
              <w:pStyle w:val="Compact"/>
              <w:jc w:val="right"/>
            </w:pPr>
            <w:r>
              <w:t xml:space="preserve">3.65</w:t>
            </w:r>
          </w:p>
        </w:tc>
        <w:tc>
          <w:tcPr>
            <w:tcW w:type="dxa" w:w="2361"/>
          </w:tcPr>
          <w:p>
            <w:pPr>
              <w:pStyle w:val="Compact"/>
              <w:jc w:val="right"/>
            </w:pPr>
            <w:r>
              <w:t xml:space="preserve">1.45</w:t>
            </w:r>
          </w:p>
        </w:tc>
        <w:tc>
          <w:tcPr>
            <w:tcW w:type="dxa" w:w="1218"/>
          </w:tcPr>
          <w:p>
            <w:pPr>
              <w:pStyle w:val="Compact"/>
              <w:jc w:val="right"/>
            </w:pPr>
            <w:r>
              <w:t xml:space="preserve">1.85</w:t>
            </w:r>
          </w:p>
        </w:tc>
      </w:tr>
      <w:tr>
        <w:trPr>
          <w:cantSplit/>
        </w:trPr>
        <w:tc>
          <w:tcPr>
            <w:tcW w:type="dxa" w:w="1218"/>
          </w:tcPr>
          <w:p>
            <w:pPr>
              <w:pStyle w:val="Compact"/>
              <w:jc w:val="right"/>
            </w:pPr>
            <w:r>
              <w:t xml:space="preserve">7</w:t>
            </w:r>
          </w:p>
        </w:tc>
        <w:tc>
          <w:tcPr>
            <w:tcW w:type="dxa" w:w="1799"/>
          </w:tcPr>
          <w:p>
            <w:pPr>
              <w:pStyle w:val="Compact"/>
              <w:jc w:val="right"/>
            </w:pPr>
            <w:r>
              <w:t xml:space="preserve">25.1</w:t>
            </w:r>
          </w:p>
        </w:tc>
        <w:tc>
          <w:tcPr>
            <w:tcW w:type="dxa" w:w="2473"/>
          </w:tcPr>
          <w:p>
            <w:pPr>
              <w:pStyle w:val="Compact"/>
              <w:jc w:val="right"/>
            </w:pPr>
            <w:r>
              <w:t xml:space="preserve">3.7</w:t>
            </w:r>
          </w:p>
        </w:tc>
        <w:tc>
          <w:tcPr>
            <w:tcW w:type="dxa" w:w="2361"/>
          </w:tcPr>
          <w:p>
            <w:pPr>
              <w:pStyle w:val="Compact"/>
              <w:jc w:val="right"/>
            </w:pPr>
            <w:r>
              <w:t xml:space="preserve">1.45</w:t>
            </w:r>
          </w:p>
        </w:tc>
        <w:tc>
          <w:tcPr>
            <w:tcW w:type="dxa" w:w="1218"/>
          </w:tcPr>
          <w:p>
            <w:pPr>
              <w:pStyle w:val="Compact"/>
              <w:jc w:val="right"/>
            </w:pPr>
            <w:r>
              <w:t xml:space="preserve">1.9</w:t>
            </w:r>
          </w:p>
        </w:tc>
      </w:tr>
      <w:tr>
        <w:trPr>
          <w:cantSplit/>
        </w:trPr>
        <w:tc>
          <w:tcPr>
            <w:tcW w:type="dxa" w:w="1218"/>
          </w:tcPr>
          <w:p>
            <w:pPr>
              <w:pStyle w:val="Compact"/>
              <w:jc w:val="right"/>
            </w:pPr>
            <w:r>
              <w:t xml:space="preserve">8</w:t>
            </w:r>
          </w:p>
        </w:tc>
        <w:tc>
          <w:tcPr>
            <w:tcW w:type="dxa" w:w="1799"/>
          </w:tcPr>
          <w:p>
            <w:pPr>
              <w:pStyle w:val="Compact"/>
              <w:jc w:val="right"/>
            </w:pPr>
            <w:r>
              <w:t xml:space="preserve">25.5</w:t>
            </w:r>
          </w:p>
        </w:tc>
        <w:tc>
          <w:tcPr>
            <w:tcW w:type="dxa" w:w="2473"/>
          </w:tcPr>
          <w:p>
            <w:pPr>
              <w:pStyle w:val="Compact"/>
              <w:jc w:val="right"/>
            </w:pPr>
            <w:r>
              <w:t xml:space="preserve">3.65</w:t>
            </w:r>
          </w:p>
        </w:tc>
        <w:tc>
          <w:tcPr>
            <w:tcW w:type="dxa" w:w="2361"/>
          </w:tcPr>
          <w:p>
            <w:pPr>
              <w:pStyle w:val="Compact"/>
              <w:jc w:val="right"/>
            </w:pPr>
            <w:r>
              <w:t xml:space="preserve">1.45</w:t>
            </w:r>
          </w:p>
        </w:tc>
        <w:tc>
          <w:tcPr>
            <w:tcW w:type="dxa" w:w="1218"/>
          </w:tcPr>
          <w:p>
            <w:pPr>
              <w:pStyle w:val="Compact"/>
              <w:jc w:val="right"/>
            </w:pPr>
            <w:r>
              <w:t xml:space="preserve">1.9</w:t>
            </w:r>
          </w:p>
        </w:tc>
      </w:tr>
      <w:tr>
        <w:trPr>
          <w:cantSplit/>
        </w:trPr>
        <w:tc>
          <w:tcPr>
            <w:tcW w:type="dxa" w:w="1218"/>
          </w:tcPr>
          <w:p>
            <w:pPr>
              <w:pStyle w:val="Compact"/>
              <w:jc w:val="right"/>
            </w:pPr>
            <w:r>
              <w:t xml:space="preserve">9</w:t>
            </w:r>
          </w:p>
        </w:tc>
        <w:tc>
          <w:tcPr>
            <w:tcW w:type="dxa" w:w="1799"/>
          </w:tcPr>
          <w:p>
            <w:pPr>
              <w:pStyle w:val="Compact"/>
              <w:jc w:val="right"/>
            </w:pPr>
            <w:r>
              <w:t xml:space="preserve">24.6</w:t>
            </w:r>
          </w:p>
        </w:tc>
        <w:tc>
          <w:tcPr>
            <w:tcW w:type="dxa" w:w="2473"/>
          </w:tcPr>
          <w:p>
            <w:pPr>
              <w:pStyle w:val="Compact"/>
              <w:jc w:val="right"/>
            </w:pPr>
            <w:r>
              <w:t xml:space="preserve">3.65</w:t>
            </w:r>
          </w:p>
        </w:tc>
        <w:tc>
          <w:tcPr>
            <w:tcW w:type="dxa" w:w="2361"/>
          </w:tcPr>
          <w:p>
            <w:pPr>
              <w:pStyle w:val="Compact"/>
              <w:jc w:val="right"/>
            </w:pPr>
            <w:r>
              <w:t xml:space="preserve">1.45</w:t>
            </w:r>
          </w:p>
        </w:tc>
        <w:tc>
          <w:tcPr>
            <w:tcW w:type="dxa" w:w="1218"/>
          </w:tcPr>
          <w:p>
            <w:pPr>
              <w:pStyle w:val="Compact"/>
              <w:jc w:val="right"/>
            </w:pPr>
            <w:r>
              <w:t xml:space="preserve">1.85</w:t>
            </w:r>
          </w:p>
        </w:tc>
      </w:tr>
      <w:tr>
        <w:trPr>
          <w:cantSplit/>
        </w:trPr>
        <w:tc>
          <w:tcPr>
            <w:tcW w:type="dxa" w:w="1218"/>
          </w:tcPr>
          <w:p>
            <w:pPr>
              <w:pStyle w:val="Compact"/>
              <w:jc w:val="right"/>
            </w:pPr>
            <w:r>
              <w:t xml:space="preserve">10</w:t>
            </w:r>
          </w:p>
        </w:tc>
        <w:tc>
          <w:tcPr>
            <w:tcW w:type="dxa" w:w="1799"/>
          </w:tcPr>
          <w:p>
            <w:pPr>
              <w:pStyle w:val="Compact"/>
              <w:jc w:val="right"/>
            </w:pPr>
            <w:r>
              <w:t xml:space="preserve">24.6</w:t>
            </w:r>
          </w:p>
        </w:tc>
        <w:tc>
          <w:tcPr>
            <w:tcW w:type="dxa" w:w="2473"/>
          </w:tcPr>
          <w:p>
            <w:pPr>
              <w:pStyle w:val="Compact"/>
              <w:jc w:val="right"/>
            </w:pPr>
            <w:r>
              <w:t xml:space="preserve">3.6</w:t>
            </w:r>
          </w:p>
        </w:tc>
        <w:tc>
          <w:tcPr>
            <w:tcW w:type="dxa" w:w="2361"/>
          </w:tcPr>
          <w:p>
            <w:pPr>
              <w:pStyle w:val="Compact"/>
              <w:jc w:val="right"/>
            </w:pPr>
            <w:r>
              <w:t xml:space="preserve">1.45</w:t>
            </w:r>
          </w:p>
        </w:tc>
        <w:tc>
          <w:tcPr>
            <w:tcW w:type="dxa" w:w="1218"/>
          </w:tcPr>
          <w:p>
            <w:pPr>
              <w:pStyle w:val="Compact"/>
              <w:jc w:val="right"/>
            </w:pPr>
            <w:r>
              <w:t xml:space="preserve">1.85</w:t>
            </w:r>
          </w:p>
        </w:tc>
      </w:tr>
    </w:tbl>
    <w:p>
      <w:pPr>
        <w:pStyle w:val="BodyText"/>
        <w:keepNext/>
      </w:pPr>
      <w:r>
        <w:rPr>
          <w:bCs/>
          <w:b/>
        </w:rPr>
        <w:t xml:space="preserve">Table S13.</w:t>
      </w:r>
      <w:r>
        <w:t xml:space="preserve"> </w:t>
      </w:r>
      <w:r>
        <w:t xml:space="preserve">Vertical natural frequencies of the main-bridge spans reported in the acceptance test.</w:t>
      </w:r>
    </w:p>
    <w:tbl>
      <w:tblPr>
        <w:tblStyle w:val="Table"/>
        <w:tblW w:type="auto" w:w="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5133"/>
        <w:gridCol w:w="3936"/>
      </w:tblGrid>
      <w:tr>
        <w:trPr>
          <w:tblHeader w:val="true"/>
          <w:tblHeader w:val="true"/>
          <w:cantSplit/>
        </w:trPr>
        <w:tc>
          <w:tcPr>
            <w:tcW w:type="dxa" w:w="5133"/>
            <w:tcBorders>
              <w:top w:val="nil"/>
              <w:left w:val="nil"/>
              <w:bottom w:val="single" w:sz="6" w:space="0" w:color="000000"/>
              <w:right w:val="nil"/>
            </w:tcBorders>
          </w:tcPr>
          <w:p>
            <w:pPr>
              <w:pStyle w:val="Compact"/>
              <w:jc w:val="left"/>
            </w:pPr>
            <w:r>
              <w:t xml:space="preserve">Span</w:t>
            </w:r>
          </w:p>
        </w:tc>
        <w:tc>
          <w:tcPr>
            <w:tcW w:type="dxa" w:w="3936"/>
            <w:tcBorders>
              <w:top w:val="nil"/>
              <w:left w:val="nil"/>
              <w:bottom w:val="single" w:sz="6" w:space="0" w:color="000000"/>
              <w:right w:val="nil"/>
            </w:tcBorders>
          </w:tcPr>
          <w:p>
            <w:pPr>
              <w:pStyle w:val="Compact"/>
              <w:jc w:val="right"/>
            </w:pPr>
            <w:r>
              <w:t xml:space="preserve">Vertical frequency (Hz)</w:t>
            </w:r>
          </w:p>
        </w:tc>
      </w:tr>
      <w:tr>
        <w:trPr>
          <w:cantSplit/>
        </w:trPr>
        <w:tc>
          <w:tcPr>
            <w:tcW w:type="dxa" w:w="5133"/>
          </w:tcPr>
          <w:p>
            <w:pPr>
              <w:pStyle w:val="Compact"/>
              <w:jc w:val="left"/>
            </w:pPr>
            <w:r>
              <w:t xml:space="preserve">Side span T5–T6 (55 m; T6 is the other inner pier)</w:t>
            </w:r>
          </w:p>
        </w:tc>
        <w:tc>
          <w:tcPr>
            <w:tcW w:type="dxa" w:w="3936"/>
          </w:tcPr>
          <w:p>
            <w:pPr>
              <w:pStyle w:val="Compact"/>
              <w:jc w:val="right"/>
            </w:pPr>
            <w:r>
              <w:t xml:space="preserve">3.43</w:t>
            </w:r>
          </w:p>
        </w:tc>
      </w:tr>
      <w:tr>
        <w:trPr>
          <w:cantSplit/>
        </w:trPr>
        <w:tc>
          <w:tcPr>
            <w:tcW w:type="dxa" w:w="5133"/>
          </w:tcPr>
          <w:p>
            <w:pPr>
              <w:pStyle w:val="Compact"/>
              <w:jc w:val="left"/>
            </w:pPr>
            <w:r>
              <w:t xml:space="preserve">Main span T6–T7 (90 m)</w:t>
            </w:r>
          </w:p>
        </w:tc>
        <w:tc>
          <w:tcPr>
            <w:tcW w:type="dxa" w:w="3936"/>
          </w:tcPr>
          <w:p>
            <w:pPr>
              <w:pStyle w:val="Compact"/>
              <w:jc w:val="right"/>
            </w:pPr>
            <w:r>
              <w:t xml:space="preserve">3.64</w:t>
            </w:r>
          </w:p>
        </w:tc>
      </w:tr>
      <w:tr>
        <w:trPr>
          <w:cantSplit/>
        </w:trPr>
        <w:tc>
          <w:tcPr>
            <w:tcW w:type="dxa" w:w="5133"/>
          </w:tcPr>
          <w:p>
            <w:pPr>
              <w:pStyle w:val="Compact"/>
              <w:jc w:val="left"/>
            </w:pPr>
            <w:r>
              <w:t xml:space="preserve">Side span T7–T8 (55 m)</w:t>
            </w:r>
          </w:p>
        </w:tc>
        <w:tc>
          <w:tcPr>
            <w:tcW w:type="dxa" w:w="3936"/>
          </w:tcPr>
          <w:p>
            <w:pPr>
              <w:pStyle w:val="Compact"/>
              <w:jc w:val="right"/>
            </w:pPr>
            <w:r>
              <w:t xml:space="preserve">3.63</w:t>
            </w:r>
          </w:p>
        </w:tc>
      </w:tr>
    </w:tbl>
    <w:p>
      <w:pPr>
        <w:pStyle w:val="BodyText"/>
        <w:keepNext/>
      </w:pPr>
      <w:r>
        <w:rPr>
          <w:bCs/>
          <w:b/>
        </w:rPr>
        <w:t xml:space="preserve">Table S14.</w:t>
      </w:r>
      <w:r>
        <w:t xml:space="preserve"> </w:t>
      </w:r>
      <w:r>
        <w:t xml:space="preserve">Deflection indicator</w:t>
      </w:r>
      <w:r>
        <w:t xml:space="preserve"> </w:t>
      </w:r>
      <m:oMath>
        <m:sSub>
          <m:e>
            <m:r>
              <m:t>N</m:t>
            </m:r>
          </m:e>
          <m:sub>
            <m:r>
              <m:t>w</m:t>
            </m:r>
          </m:sub>
        </m:sSub>
      </m:oMath>
      <w:r>
        <w:t xml:space="preserve"> </w:t>
      </w:r>
      <w:r>
        <w:t xml:space="preserve">(Eq. (10)), cancellation ratio</w:t>
      </w:r>
      <w:r>
        <w:t xml:space="preserve"> </w:t>
      </w:r>
      <m:oMath>
        <m:r>
          <m:t>R</m:t>
        </m:r>
      </m:oMath>
      <w:r>
        <w:t xml:space="preserve"> </w:t>
      </w:r>
      <w:r>
        <w:t xml:space="preserve">(Eq. (11)) and boundary sensitivity</w:t>
      </w:r>
      <w:r>
        <w:t xml:space="preserve"> </w:t>
      </w:r>
      <m:oMath>
        <m:sSub>
          <m:e>
            <m:r>
              <m:t>B</m:t>
            </m:r>
          </m:e>
          <m:sub>
            <m:r>
              <m:t>m</m:t>
            </m:r>
          </m:sub>
        </m:sSub>
      </m:oMath>
      <w:r>
        <w:t xml:space="preserve"> </w:t>
      </w:r>
      <w:r>
        <w:t xml:space="preserve">of the Cầu Mây gauges, including the mid side-span position.</w:t>
      </w:r>
      <w:r>
        <w:t xml:space="preserve"> </w:t>
      </w:r>
      <m:oMath>
        <m:r>
          <m:t>E</m:t>
        </m:r>
        <m:sSub>
          <m:e>
            <m:r>
              <m:t>I</m:t>
            </m:r>
          </m:e>
          <m:sub>
            <m:r>
              <m:rPr>
                <m:sty m:val="p"/>
              </m:rPr>
              <m:t>ref</m:t>
            </m:r>
          </m:sub>
        </m:sSub>
      </m:oMath>
      <w:r>
        <w:t xml:space="preserve"> </w:t>
      </w:r>
      <w:r>
        <w:t xml:space="preserve">= design</w:t>
      </w:r>
      <w:r>
        <w:t xml:space="preserve"> </w:t>
      </w:r>
      <m:oMath>
        <m:r>
          <m:t>E</m:t>
        </m:r>
        <m:sSub>
          <m:e>
            <m:r>
              <m:t>I</m:t>
            </m:r>
          </m:e>
          <m:sub>
            <m:r>
              <m:rPr>
                <m:sty m:val="p"/>
              </m:rPr>
              <m:t>mid</m:t>
            </m:r>
          </m:sub>
        </m:sSub>
      </m:oMath>
      <w:r>
        <w:t xml:space="preserve"> </w:t>
      </w:r>
      <w:r>
        <w:t xml:space="preserve">and</w:t>
      </w:r>
      <w:r>
        <w:t xml:space="preserve"> </w:t>
      </w:r>
      <m:oMath>
        <m:r>
          <m:t>L</m:t>
        </m:r>
      </m:oMath>
      <w:r>
        <w:t xml:space="preserve"> </w:t>
      </w:r>
      <w:r>
        <w:t xml:space="preserve">the span containing the gauge. Calibration A and the pinned-pier and fixed-pier rows have</w:t>
      </w:r>
      <w:r>
        <w:t xml:space="preserve"> </w:t>
      </w:r>
      <m:oMath>
        <m:r>
          <m:t>α</m:t>
        </m:r>
        <m:r>
          <m:rPr>
            <m:sty m:val="p"/>
          </m:rPr>
          <m:t>=</m:t>
        </m:r>
        <m:r>
          <m:t>1</m:t>
        </m:r>
      </m:oMath>
      <w:r>
        <w:t xml:space="preserve">, calibration B has</w:t>
      </w:r>
      <w:r>
        <w:t xml:space="preserve"> </w:t>
      </w:r>
      <m:oMath>
        <m:r>
          <m:t>α</m:t>
        </m:r>
        <m:r>
          <m:rPr>
            <m:sty m:val="p"/>
          </m:rPr>
          <m:t>=</m:t>
        </m:r>
        <m:r>
          <m:t>0.716</m:t>
        </m:r>
      </m:oMath>
      <w:r>
        <w:t xml:space="preserve">, and the admissible set spans</w:t>
      </w:r>
      <w:r>
        <w:t xml:space="preserve"> </w:t>
      </w:r>
      <m:oMath>
        <m:r>
          <m:t>α</m:t>
        </m:r>
      </m:oMath>
      <w:r>
        <w:t xml:space="preserve"> </w:t>
      </w:r>
      <w:r>
        <w:t xml:space="preserve">= 0.51–1.15; the haunched pinned-pier and fixed-pier rows give the extreme values over all model-form variants.</w:t>
      </w:r>
      <w:r>
        <w:t xml:space="preserve"> </w:t>
      </w:r>
      <m:oMath>
        <m:sSub>
          <m:e>
            <m:r>
              <m:t>B</m:t>
            </m:r>
          </m:e>
          <m:sub>
            <m:r>
              <m:t>m</m:t>
            </m:r>
          </m:sub>
        </m:sSub>
      </m:oMath>
      <w:r>
        <w:t xml:space="preserve"> </w:t>
      </w:r>
      <w:r>
        <w:t xml:space="preserve">at the design stiffness, with</w:t>
      </w:r>
      <w:r>
        <w:t xml:space="preserve"> </w:t>
      </w:r>
      <m:oMath>
        <m:sSub>
          <m:e>
            <m:r>
              <m:t>k</m:t>
            </m:r>
          </m:e>
          <m:sub>
            <m:r>
              <m:t>g</m:t>
            </m:r>
          </m:sub>
        </m:sSub>
        <m:r>
          <m:rPr>
            <m:sty m:val="p"/>
          </m:rPr>
          <m:t>=</m:t>
        </m:r>
        <m:r>
          <m:t>4.36</m:t>
        </m:r>
        <m:r>
          <m:rPr>
            <m:sty m:val="p"/>
          </m:rPr>
          <m:t>×</m:t>
        </m:r>
        <m:sSup>
          <m:e>
            <m:r>
              <m:t>10</m:t>
            </m:r>
          </m:e>
          <m:sup>
            <m:r>
              <m:t>7</m:t>
            </m:r>
          </m:sup>
        </m:sSup>
      </m:oMath>
      <w:r>
        <w:t xml:space="preserve"> </w:t>
      </w:r>
      <w:r>
        <w:t xml:space="preserve">kN m/rad. –: not computed.</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1734"/>
        <w:gridCol w:w="1503"/>
        <w:gridCol w:w="1330"/>
        <w:gridCol w:w="1204"/>
        <w:gridCol w:w="1012"/>
        <w:gridCol w:w="1272"/>
        <w:gridCol w:w="1012"/>
      </w:tblGrid>
      <w:tr>
        <w:trPr>
          <w:tblHeader w:val="true"/>
          <w:tblHeader w:val="true"/>
          <w:cantSplit/>
        </w:trPr>
        <w:tc>
          <w:tcPr>
            <w:tcW w:type="dxa" w:w="1734"/>
            <w:tcBorders>
              <w:top w:val="nil"/>
              <w:left w:val="nil"/>
              <w:bottom w:val="single" w:sz="6" w:space="0" w:color="000000"/>
              <w:right w:val="nil"/>
            </w:tcBorders>
          </w:tcPr>
          <w:p>
            <w:pPr>
              <w:pStyle w:val="Compact"/>
              <w:jc w:val="left"/>
            </w:pPr>
            <w:r>
              <w:t xml:space="preserve">Model</w:t>
            </w:r>
          </w:p>
        </w:tc>
        <w:tc>
          <w:tcPr>
            <w:tcW w:type="dxa" w:w="1503"/>
            <w:tcBorders>
              <w:top w:val="nil"/>
              <w:left w:val="nil"/>
              <w:bottom w:val="single" w:sz="6" w:space="0" w:color="000000"/>
              <w:right w:val="nil"/>
            </w:tcBorders>
          </w:tcPr>
          <w:p>
            <w:pPr>
              <w:pStyle w:val="Compact"/>
              <w:jc w:val="right"/>
            </w:pPr>
            <m:oMath>
              <m:sSub>
                <m:e>
                  <m:r>
                    <m:t>N</m:t>
                  </m:r>
                </m:e>
                <m:sub>
                  <m:r>
                    <m:t>w</m:t>
                  </m:r>
                </m:sub>
              </m:sSub>
            </m:oMath>
            <w:r>
              <w:t xml:space="preserve">, N8 at 0.4L (installed)</w:t>
            </w:r>
          </w:p>
        </w:tc>
        <w:tc>
          <w:tcPr>
            <w:tcW w:type="dxa" w:w="1330"/>
            <w:tcBorders>
              <w:top w:val="nil"/>
              <w:left w:val="nil"/>
              <w:bottom w:val="single" w:sz="6" w:space="0" w:color="000000"/>
              <w:right w:val="nil"/>
            </w:tcBorders>
          </w:tcPr>
          <w:p>
            <w:pPr>
              <w:pStyle w:val="Compact"/>
              <w:jc w:val="right"/>
            </w:pPr>
            <m:oMath>
              <m:sSub>
                <m:e>
                  <m:r>
                    <m:t>N</m:t>
                  </m:r>
                </m:e>
                <m:sub>
                  <m:r>
                    <m:t>w</m:t>
                  </m:r>
                </m:sub>
              </m:sSub>
            </m:oMath>
            <w:r>
              <w:t xml:space="preserve">, N8 at mid side span</w:t>
            </w:r>
          </w:p>
        </w:tc>
        <w:tc>
          <w:tcPr>
            <w:tcW w:type="dxa" w:w="1204"/>
            <w:tcBorders>
              <w:top w:val="nil"/>
              <w:left w:val="nil"/>
              <w:bottom w:val="single" w:sz="6" w:space="0" w:color="000000"/>
              <w:right w:val="nil"/>
            </w:tcBorders>
          </w:tcPr>
          <w:p>
            <w:pPr>
              <w:pStyle w:val="Compact"/>
              <w:jc w:val="right"/>
            </w:pPr>
            <m:oMath>
              <m:sSub>
                <m:e>
                  <m:r>
                    <m:t>N</m:t>
                  </m:r>
                </m:e>
                <m:sub>
                  <m:r>
                    <m:t>w</m:t>
                  </m:r>
                </m:sub>
              </m:sSub>
            </m:oMath>
            <w:r>
              <w:t xml:space="preserve">, N7 (installed)</w:t>
            </w:r>
          </w:p>
        </w:tc>
        <w:tc>
          <w:tcPr>
            <w:tcW w:type="dxa" w:w="1012"/>
            <w:tcBorders>
              <w:top w:val="nil"/>
              <w:left w:val="nil"/>
              <w:bottom w:val="single" w:sz="6" w:space="0" w:color="000000"/>
              <w:right w:val="nil"/>
            </w:tcBorders>
          </w:tcPr>
          <w:p>
            <w:pPr>
              <w:pStyle w:val="Compact"/>
              <w:jc w:val="right"/>
            </w:pPr>
            <m:oMath>
              <m:r>
                <m:t>R</m:t>
              </m:r>
            </m:oMath>
            <w:r>
              <w:t xml:space="preserve">, N8 at 0.4L</w:t>
            </w:r>
          </w:p>
        </w:tc>
        <w:tc>
          <w:tcPr>
            <w:tcW w:type="dxa" w:w="1272"/>
            <w:tcBorders>
              <w:top w:val="nil"/>
              <w:left w:val="nil"/>
              <w:bottom w:val="single" w:sz="6" w:space="0" w:color="000000"/>
              <w:right w:val="nil"/>
            </w:tcBorders>
          </w:tcPr>
          <w:p>
            <w:pPr>
              <w:pStyle w:val="Compact"/>
              <w:jc w:val="right"/>
            </w:pPr>
            <m:oMath>
              <m:r>
                <m:t>R</m:t>
              </m:r>
            </m:oMath>
            <w:r>
              <w:t xml:space="preserve">, N8 at mid side span</w:t>
            </w:r>
          </w:p>
        </w:tc>
        <w:tc>
          <w:tcPr>
            <w:tcW w:type="dxa" w:w="1012"/>
            <w:tcBorders>
              <w:top w:val="nil"/>
              <w:left w:val="nil"/>
              <w:bottom w:val="single" w:sz="6" w:space="0" w:color="000000"/>
              <w:right w:val="nil"/>
            </w:tcBorders>
          </w:tcPr>
          <w:p>
            <w:pPr>
              <w:pStyle w:val="Compact"/>
              <w:jc w:val="right"/>
            </w:pPr>
            <m:oMath>
              <m:r>
                <m:t>R</m:t>
              </m:r>
            </m:oMath>
            <w:r>
              <w:t xml:space="preserve">, N7</w:t>
            </w:r>
          </w:p>
        </w:tc>
      </w:tr>
      <w:tr>
        <w:trPr>
          <w:cantSplit/>
        </w:trPr>
        <w:tc>
          <w:tcPr>
            <w:tcW w:type="dxa" w:w="1734"/>
          </w:tcPr>
          <w:p>
            <w:pPr>
              <w:pStyle w:val="Compact"/>
              <w:jc w:val="left"/>
            </w:pPr>
            <w:r>
              <w:t xml:space="preserve">Prismatic beam, pinned piers</w:t>
            </w:r>
          </w:p>
        </w:tc>
        <w:tc>
          <w:tcPr>
            <w:tcW w:type="dxa" w:w="1503"/>
          </w:tcPr>
          <w:p>
            <w:pPr>
              <w:pStyle w:val="Compact"/>
              <w:jc w:val="right"/>
            </w:pPr>
            <w:r>
              <w:t xml:space="preserve">0.287</w:t>
            </w:r>
          </w:p>
        </w:tc>
        <w:tc>
          <w:tcPr>
            <w:tcW w:type="dxa" w:w="1330"/>
          </w:tcPr>
          <w:p>
            <w:pPr>
              <w:pStyle w:val="Compact"/>
              <w:jc w:val="right"/>
            </w:pPr>
            <w:r>
              <w:t xml:space="preserve">0.163</w:t>
            </w:r>
          </w:p>
        </w:tc>
        <w:tc>
          <w:tcPr>
            <w:tcW w:type="dxa" w:w="1204"/>
          </w:tcPr>
          <w:p>
            <w:pPr>
              <w:pStyle w:val="Compact"/>
              <w:jc w:val="right"/>
            </w:pPr>
            <w:r>
              <w:t xml:space="preserve">0.755</w:t>
            </w:r>
          </w:p>
        </w:tc>
        <w:tc>
          <w:tcPr>
            <w:tcW w:type="dxa" w:w="1012"/>
          </w:tcPr>
          <w:p>
            <w:pPr>
              <w:pStyle w:val="Compact"/>
              <w:jc w:val="right"/>
            </w:pPr>
            <w:r>
              <w:t xml:space="preserve">0.14</w:t>
            </w:r>
          </w:p>
        </w:tc>
        <w:tc>
          <w:tcPr>
            <w:tcW w:type="dxa" w:w="1272"/>
          </w:tcPr>
          <w:p>
            <w:pPr>
              <w:pStyle w:val="Compact"/>
              <w:jc w:val="right"/>
            </w:pPr>
            <w:r>
              <w:t xml:space="preserve">0.08</w:t>
            </w:r>
          </w:p>
        </w:tc>
        <w:tc>
          <w:tcPr>
            <w:tcW w:type="dxa" w:w="1012"/>
          </w:tcPr>
          <w:p>
            <w:pPr>
              <w:pStyle w:val="Compact"/>
              <w:jc w:val="right"/>
            </w:pPr>
            <w:r>
              <w:t xml:space="preserve">0.70</w:t>
            </w:r>
          </w:p>
        </w:tc>
      </w:tr>
      <w:tr>
        <w:trPr>
          <w:cantSplit/>
        </w:trPr>
        <w:tc>
          <w:tcPr>
            <w:tcW w:type="dxa" w:w="1734"/>
          </w:tcPr>
          <w:p>
            <w:pPr>
              <w:pStyle w:val="Compact"/>
              <w:jc w:val="left"/>
            </w:pPr>
            <w:r>
              <w:t xml:space="preserve">Haunched, calibration A</w:t>
            </w:r>
          </w:p>
        </w:tc>
        <w:tc>
          <w:tcPr>
            <w:tcW w:type="dxa" w:w="1503"/>
          </w:tcPr>
          <w:p>
            <w:pPr>
              <w:pStyle w:val="Compact"/>
              <w:jc w:val="right"/>
            </w:pPr>
            <w:r>
              <w:t xml:space="preserve">0.181</w:t>
            </w:r>
          </w:p>
        </w:tc>
        <w:tc>
          <w:tcPr>
            <w:tcW w:type="dxa" w:w="1330"/>
          </w:tcPr>
          <w:p>
            <w:pPr>
              <w:pStyle w:val="Compact"/>
              <w:jc w:val="right"/>
            </w:pPr>
            <w:r>
              <w:t xml:space="preserve">0.105</w:t>
            </w:r>
          </w:p>
        </w:tc>
        <w:tc>
          <w:tcPr>
            <w:tcW w:type="dxa" w:w="1204"/>
          </w:tcPr>
          <w:p>
            <w:pPr>
              <w:pStyle w:val="Compact"/>
              <w:jc w:val="right"/>
            </w:pPr>
            <w:r>
              <w:t xml:space="preserve">0.209</w:t>
            </w:r>
          </w:p>
        </w:tc>
        <w:tc>
          <w:tcPr>
            <w:tcW w:type="dxa" w:w="1012"/>
          </w:tcPr>
          <w:p>
            <w:pPr>
              <w:pStyle w:val="Compact"/>
              <w:jc w:val="right"/>
            </w:pPr>
            <w:r>
              <w:t xml:space="preserve">0.18</w:t>
            </w:r>
          </w:p>
        </w:tc>
        <w:tc>
          <w:tcPr>
            <w:tcW w:type="dxa" w:w="1272"/>
          </w:tcPr>
          <w:p>
            <w:pPr>
              <w:pStyle w:val="Compact"/>
              <w:jc w:val="right"/>
            </w:pPr>
            <w:r>
              <w:t xml:space="preserve">0.11</w:t>
            </w:r>
          </w:p>
        </w:tc>
        <w:tc>
          <w:tcPr>
            <w:tcW w:type="dxa" w:w="1012"/>
          </w:tcPr>
          <w:p>
            <w:pPr>
              <w:pStyle w:val="Compact"/>
              <w:jc w:val="right"/>
            </w:pPr>
            <w:r>
              <w:t xml:space="preserve">0.59</w:t>
            </w:r>
          </w:p>
        </w:tc>
      </w:tr>
      <w:tr>
        <w:trPr>
          <w:cantSplit/>
        </w:trPr>
        <w:tc>
          <w:tcPr>
            <w:tcW w:type="dxa" w:w="1734"/>
          </w:tcPr>
          <w:p>
            <w:pPr>
              <w:pStyle w:val="Compact"/>
              <w:jc w:val="left"/>
            </w:pPr>
            <w:r>
              <w:t xml:space="preserve">Haunched, calibration B</w:t>
            </w:r>
          </w:p>
        </w:tc>
        <w:tc>
          <w:tcPr>
            <w:tcW w:type="dxa" w:w="1503"/>
          </w:tcPr>
          <w:p>
            <w:pPr>
              <w:pStyle w:val="Compact"/>
              <w:jc w:val="right"/>
            </w:pPr>
            <w:r>
              <w:t xml:space="preserve">0.476ᵃ</w:t>
            </w:r>
          </w:p>
        </w:tc>
        <w:tc>
          <w:tcPr>
            <w:tcW w:type="dxa" w:w="1330"/>
          </w:tcPr>
          <w:p>
            <w:pPr>
              <w:pStyle w:val="Compact"/>
              <w:jc w:val="right"/>
            </w:pPr>
            <w:r>
              <w:t xml:space="preserve">0.377</w:t>
            </w:r>
          </w:p>
        </w:tc>
        <w:tc>
          <w:tcPr>
            <w:tcW w:type="dxa" w:w="1204"/>
          </w:tcPr>
          <w:p>
            <w:pPr>
              <w:pStyle w:val="Compact"/>
              <w:jc w:val="right"/>
            </w:pPr>
            <w:r>
              <w:t xml:space="preserve">0.234</w:t>
            </w:r>
          </w:p>
        </w:tc>
        <w:tc>
          <w:tcPr>
            <w:tcW w:type="dxa" w:w="1012"/>
          </w:tcPr>
          <w:p>
            <w:pPr>
              <w:pStyle w:val="Compact"/>
              <w:jc w:val="right"/>
            </w:pPr>
            <w:r>
              <w:t xml:space="preserve">0.56</w:t>
            </w:r>
          </w:p>
        </w:tc>
        <w:tc>
          <w:tcPr>
            <w:tcW w:type="dxa" w:w="1272"/>
          </w:tcPr>
          <w:p>
            <w:pPr>
              <w:pStyle w:val="Compact"/>
              <w:jc w:val="right"/>
            </w:pPr>
            <w:r>
              <w:t xml:space="preserve">0.49</w:t>
            </w:r>
          </w:p>
        </w:tc>
        <w:tc>
          <w:tcPr>
            <w:tcW w:type="dxa" w:w="1012"/>
          </w:tcPr>
          <w:p>
            <w:pPr>
              <w:pStyle w:val="Compact"/>
              <w:jc w:val="right"/>
            </w:pPr>
            <w:r>
              <w:t xml:space="preserve">0.77</w:t>
            </w:r>
          </w:p>
        </w:tc>
      </w:tr>
      <w:tr>
        <w:trPr>
          <w:cantSplit/>
        </w:trPr>
        <w:tc>
          <w:tcPr>
            <w:tcW w:type="dxa" w:w="1734"/>
          </w:tcPr>
          <w:p>
            <w:pPr>
              <w:pStyle w:val="Compact"/>
              <w:jc w:val="left"/>
            </w:pPr>
            <w:r>
              <w:t xml:space="preserve">Haunched, admissible set (</w:t>
            </w:r>
            <m:oMath>
              <m:r>
                <m:t>τ</m:t>
              </m:r>
            </m:oMath>
            <w:r>
              <w:t xml:space="preserve"> </w:t>
            </w:r>
            <w:r>
              <w:t xml:space="preserve">= 5.3 %)</w:t>
            </w:r>
          </w:p>
        </w:tc>
        <w:tc>
          <w:tcPr>
            <w:tcW w:type="dxa" w:w="1503"/>
          </w:tcPr>
          <w:p>
            <w:pPr>
              <w:pStyle w:val="Compact"/>
              <w:jc w:val="right"/>
            </w:pPr>
            <w:r>
              <w:t xml:space="preserve">0.124–0.822ᵇ</w:t>
            </w:r>
          </w:p>
        </w:tc>
        <w:tc>
          <w:tcPr>
            <w:tcW w:type="dxa" w:w="1330"/>
          </w:tcPr>
          <w:p>
            <w:pPr>
              <w:pStyle w:val="Compact"/>
              <w:jc w:val="right"/>
            </w:pPr>
            <w:r>
              <w:t xml:space="preserve">–</w:t>
            </w:r>
          </w:p>
        </w:tc>
        <w:tc>
          <w:tcPr>
            <w:tcW w:type="dxa" w:w="1204"/>
          </w:tcPr>
          <w:p>
            <w:pPr>
              <w:pStyle w:val="Compact"/>
              <w:jc w:val="right"/>
            </w:pPr>
            <w:r>
              <w:t xml:space="preserve">0.190–0.286</w:t>
            </w:r>
          </w:p>
        </w:tc>
        <w:tc>
          <w:tcPr>
            <w:tcW w:type="dxa" w:w="1012"/>
          </w:tcPr>
          <w:p>
            <w:pPr>
              <w:pStyle w:val="Compact"/>
              <w:jc w:val="right"/>
            </w:pPr>
            <w:r>
              <w:t xml:space="preserve">0.13–1.00</w:t>
            </w:r>
          </w:p>
        </w:tc>
        <w:tc>
          <w:tcPr>
            <w:tcW w:type="dxa" w:w="1272"/>
          </w:tcPr>
          <w:p>
            <w:pPr>
              <w:pStyle w:val="Compact"/>
              <w:jc w:val="right"/>
            </w:pPr>
            <w:r>
              <w:t xml:space="preserve">–</w:t>
            </w:r>
          </w:p>
        </w:tc>
        <w:tc>
          <w:tcPr>
            <w:tcW w:type="dxa" w:w="1012"/>
          </w:tcPr>
          <w:p>
            <w:pPr>
              <w:pStyle w:val="Compact"/>
              <w:jc w:val="right"/>
            </w:pPr>
            <w:r>
              <w:t xml:space="preserve">0.56–1.00</w:t>
            </w:r>
          </w:p>
        </w:tc>
      </w:tr>
      <w:tr>
        <w:trPr>
          <w:cantSplit/>
        </w:trPr>
        <w:tc>
          <w:tcPr>
            <w:tcW w:type="dxa" w:w="1734"/>
          </w:tcPr>
          <w:p>
            <w:pPr>
              <w:pStyle w:val="Compact"/>
              <w:jc w:val="left"/>
            </w:pPr>
            <w:r>
              <w:t xml:space="preserve">Haunched, pinned piers</w:t>
            </w:r>
          </w:p>
        </w:tc>
        <w:tc>
          <w:tcPr>
            <w:tcW w:type="dxa" w:w="1503"/>
          </w:tcPr>
          <w:p>
            <w:pPr>
              <w:pStyle w:val="Compact"/>
              <w:jc w:val="right"/>
            </w:pPr>
            <w:r>
              <w:t xml:space="preserve">0.023</w:t>
            </w:r>
          </w:p>
        </w:tc>
        <w:tc>
          <w:tcPr>
            <w:tcW w:type="dxa" w:w="1330"/>
          </w:tcPr>
          <w:p>
            <w:pPr>
              <w:pStyle w:val="Compact"/>
              <w:jc w:val="right"/>
            </w:pPr>
            <w:r>
              <w:t xml:space="preserve">−0.066</w:t>
            </w:r>
          </w:p>
        </w:tc>
        <w:tc>
          <w:tcPr>
            <w:tcW w:type="dxa" w:w="1204"/>
          </w:tcPr>
          <w:p>
            <w:pPr>
              <w:pStyle w:val="Compact"/>
              <w:jc w:val="right"/>
            </w:pPr>
            <w:r>
              <w:t xml:space="preserve">0.263</w:t>
            </w:r>
          </w:p>
        </w:tc>
        <w:tc>
          <w:tcPr>
            <w:tcW w:type="dxa" w:w="1012"/>
          </w:tcPr>
          <w:p>
            <w:pPr>
              <w:pStyle w:val="Compact"/>
              <w:jc w:val="right"/>
            </w:pPr>
            <w:r>
              <w:t xml:space="preserve">–</w:t>
            </w:r>
          </w:p>
        </w:tc>
        <w:tc>
          <w:tcPr>
            <w:tcW w:type="dxa" w:w="1272"/>
          </w:tcPr>
          <w:p>
            <w:pPr>
              <w:pStyle w:val="Compact"/>
              <w:jc w:val="right"/>
            </w:pPr>
            <w:r>
              <w:t xml:space="preserve">–</w:t>
            </w:r>
          </w:p>
        </w:tc>
        <w:tc>
          <w:tcPr>
            <w:tcW w:type="dxa" w:w="1012"/>
          </w:tcPr>
          <w:p>
            <w:pPr>
              <w:pStyle w:val="Compact"/>
              <w:jc w:val="right"/>
            </w:pPr>
            <w:r>
              <w:t xml:space="preserve">–</w:t>
            </w:r>
          </w:p>
        </w:tc>
      </w:tr>
      <w:tr>
        <w:trPr>
          <w:cantSplit/>
        </w:trPr>
        <w:tc>
          <w:tcPr>
            <w:tcW w:type="dxa" w:w="1734"/>
          </w:tcPr>
          <w:p>
            <w:pPr>
              <w:pStyle w:val="Compact"/>
              <w:jc w:val="left"/>
            </w:pPr>
            <w:r>
              <w:t xml:space="preserve">Haunched, fixed piers</w:t>
            </w:r>
          </w:p>
        </w:tc>
        <w:tc>
          <w:tcPr>
            <w:tcW w:type="dxa" w:w="1503"/>
          </w:tcPr>
          <w:p>
            <w:pPr>
              <w:pStyle w:val="Compact"/>
              <w:jc w:val="right"/>
            </w:pPr>
            <w:r>
              <w:t xml:space="preserve">0.446</w:t>
            </w:r>
          </w:p>
        </w:tc>
        <w:tc>
          <w:tcPr>
            <w:tcW w:type="dxa" w:w="1330"/>
          </w:tcPr>
          <w:p>
            <w:pPr>
              <w:pStyle w:val="Compact"/>
              <w:jc w:val="right"/>
            </w:pPr>
            <w:r>
              <w:t xml:space="preserve">0.375</w:t>
            </w:r>
          </w:p>
        </w:tc>
        <w:tc>
          <w:tcPr>
            <w:tcW w:type="dxa" w:w="1204"/>
          </w:tcPr>
          <w:p>
            <w:pPr>
              <w:pStyle w:val="Compact"/>
              <w:jc w:val="right"/>
            </w:pPr>
            <w:r>
              <w:t xml:space="preserve">0.145</w:t>
            </w:r>
          </w:p>
        </w:tc>
        <w:tc>
          <w:tcPr>
            <w:tcW w:type="dxa" w:w="1012"/>
          </w:tcPr>
          <w:p>
            <w:pPr>
              <w:pStyle w:val="Compact"/>
              <w:jc w:val="right"/>
            </w:pPr>
            <w:r>
              <w:t xml:space="preserve">–</w:t>
            </w:r>
          </w:p>
        </w:tc>
        <w:tc>
          <w:tcPr>
            <w:tcW w:type="dxa" w:w="1272"/>
          </w:tcPr>
          <w:p>
            <w:pPr>
              <w:pStyle w:val="Compact"/>
              <w:jc w:val="right"/>
            </w:pPr>
            <w:r>
              <w:t xml:space="preserve">–</w:t>
            </w:r>
          </w:p>
        </w:tc>
        <w:tc>
          <w:tcPr>
            <w:tcW w:type="dxa" w:w="1012"/>
          </w:tcPr>
          <w:p>
            <w:pPr>
              <w:pStyle w:val="Compact"/>
              <w:jc w:val="right"/>
            </w:pPr>
            <w:r>
              <w:t xml:space="preserve">–</w:t>
            </w:r>
          </w:p>
        </w:tc>
      </w:tr>
      <w:tr>
        <w:trPr>
          <w:cantSplit/>
        </w:trPr>
        <w:tc>
          <w:tcPr>
            <w:tcW w:type="dxa" w:w="1734"/>
          </w:tcPr>
          <w:p>
            <w:pPr>
              <w:pStyle w:val="Compact"/>
              <w:jc w:val="left"/>
            </w:pPr>
            <m:oMath>
              <m:sSub>
                <m:e>
                  <m:r>
                    <m:t>B</m:t>
                  </m:r>
                </m:e>
                <m:sub>
                  <m:r>
                    <m:t>m</m:t>
                  </m:r>
                </m:sub>
              </m:sSub>
            </m:oMath>
            <w:r>
              <w:t xml:space="preserve"> </w:t>
            </w:r>
            <w:r>
              <w:t xml:space="preserve">at the design stiffness</w:t>
            </w:r>
          </w:p>
        </w:tc>
        <w:tc>
          <w:tcPr>
            <w:tcW w:type="dxa" w:w="1503"/>
          </w:tcPr>
          <w:p>
            <w:pPr>
              <w:pStyle w:val="Compact"/>
              <w:jc w:val="right"/>
            </w:pPr>
            <w:r>
              <w:t xml:space="preserve">0.51</w:t>
            </w:r>
          </w:p>
        </w:tc>
        <w:tc>
          <w:tcPr>
            <w:tcW w:type="dxa" w:w="1330"/>
          </w:tcPr>
          <w:p>
            <w:pPr>
              <w:pStyle w:val="Compact"/>
              <w:jc w:val="right"/>
            </w:pPr>
            <w:r>
              <w:t xml:space="preserve">–</w:t>
            </w:r>
          </w:p>
        </w:tc>
        <w:tc>
          <w:tcPr>
            <w:tcW w:type="dxa" w:w="1204"/>
          </w:tcPr>
          <w:p>
            <w:pPr>
              <w:pStyle w:val="Compact"/>
              <w:jc w:val="right"/>
            </w:pPr>
            <w:r>
              <w:t xml:space="preserve">0.12</w:t>
            </w:r>
          </w:p>
        </w:tc>
        <w:tc>
          <w:tcPr>
            <w:tcW w:type="dxa" w:w="1012"/>
          </w:tcPr>
          <w:p>
            <w:pPr>
              <w:pStyle w:val="Compact"/>
              <w:jc w:val="right"/>
            </w:pPr>
            <w:r>
              <w:t xml:space="preserve">–</w:t>
            </w:r>
          </w:p>
        </w:tc>
        <w:tc>
          <w:tcPr>
            <w:tcW w:type="dxa" w:w="1272"/>
          </w:tcPr>
          <w:p>
            <w:pPr>
              <w:pStyle w:val="Compact"/>
              <w:jc w:val="right"/>
            </w:pPr>
            <w:r>
              <w:t xml:space="preserve">–</w:t>
            </w:r>
          </w:p>
        </w:tc>
        <w:tc>
          <w:tcPr>
            <w:tcW w:type="dxa" w:w="1012"/>
          </w:tcPr>
          <w:p>
            <w:pPr>
              <w:pStyle w:val="Compact"/>
              <w:jc w:val="right"/>
            </w:pPr>
            <w:r>
              <w:t xml:space="preserve">–</w:t>
            </w:r>
          </w:p>
        </w:tc>
      </w:tr>
    </w:tbl>
    <w:p>
      <w:pPr>
        <w:pStyle w:val="BodyText"/>
      </w:pPr>
      <w:r>
        <w:t xml:space="preserve">ᵃ Above the fixed-pier value because calibration B has</w:t>
      </w:r>
      <w:r>
        <w:t xml:space="preserve"> </w:t>
      </w:r>
      <m:oMath>
        <m:r>
          <m:t>α</m:t>
        </m:r>
      </m:oMath>
      <w:r>
        <w:t xml:space="preserve"> </w:t>
      </w:r>
      <w:r>
        <w:t xml:space="preserve">= 0.716; normalized by the effective rigidity</w:t>
      </w:r>
      <w:r>
        <w:t xml:space="preserve"> </w:t>
      </w:r>
      <m:oMath>
        <m:r>
          <m:t>α</m:t>
        </m:r>
        <m:r>
          <m:t>E</m:t>
        </m:r>
        <m:sSub>
          <m:e>
            <m:r>
              <m:t>I</m:t>
            </m:r>
          </m:e>
          <m:sub>
            <m:r>
              <m:rPr>
                <m:sty m:val="p"/>
              </m:rPr>
              <m:t>mid</m:t>
            </m:r>
          </m:sub>
        </m:sSub>
      </m:oMath>
      <w:r>
        <w:t xml:space="preserve"> </w:t>
      </w:r>
      <w:r>
        <w:t xml:space="preserve">it is 0.341. ᵇ The upper part of this range requires</w:t>
      </w:r>
      <w:r>
        <w:t xml:space="preserve"> </w:t>
      </w:r>
      <m:oMath>
        <m:r>
          <m:t>α</m:t>
        </m:r>
        <m:r>
          <m:rPr>
            <m:sty m:val="p"/>
          </m:rPr>
          <m:t>≈</m:t>
        </m:r>
        <m:r>
          <m:t>0.5</m:t>
        </m:r>
      </m:oMath>
      <w:r>
        <w:t xml:space="preserve">; normalized by the effective rigidity, the range is 0.144–0.422.</w:t>
      </w:r>
    </w:p>
    <w:bookmarkEnd w:id="72"/>
    <w:bookmarkStart w:id="79" w:name="s9.-dynamics-and-baseline-handling"/>
    <w:p>
      <w:pPr>
        <w:pStyle w:val="Heading2"/>
      </w:pPr>
      <w:r>
        <w:t xml:space="preserve">S9. Dynamics and baseline handling</w:t>
      </w:r>
    </w:p>
    <w:p>
      <w:pPr>
        <w:pStyle w:val="FirstParagraph"/>
      </w:pPr>
      <w:r>
        <w:t xml:space="preserve">For a constant force moving across the laboratory beam, the quasi-static error is at most about 1 % when the ratio of the crossing time to the fundamental period,</w:t>
      </w:r>
      <w:r>
        <w:t xml:space="preserve"> </w:t>
      </w:r>
      <m:oMath>
        <m:sSub>
          <m:e>
            <m:r>
              <m:t>t</m:t>
            </m:r>
          </m:e>
          <m:sub>
            <m:r>
              <m:rPr>
                <m:sty m:val="p"/>
              </m:rPr>
              <m:t>cr</m:t>
            </m:r>
          </m:sub>
        </m:sSub>
        <m:r>
          <m:rPr>
            <m:sty m:val="p"/>
          </m:rPr>
          <m:t>/</m:t>
        </m:r>
        <m:sSub>
          <m:e>
            <m:r>
              <m:t>T</m:t>
            </m:r>
          </m:e>
          <m:sub>
            <m:r>
              <m:t>1</m:t>
            </m:r>
          </m:sub>
        </m:sSub>
      </m:oMath>
      <w:r>
        <w:t xml:space="preserve">, is at least 8, and it exceeds 15 % below 2.5 (Frýba, 1999). This bound omits vehicle–bridge interaction and road roughness. The moving-force analysis is reproduced by</w:t>
      </w:r>
      <w:r>
        <w:t xml:space="preserve"> </w:t>
      </w:r>
      <w:r>
        <w:rPr>
          <w:rStyle w:val="VerbatimChar"/>
        </w:rPr>
        <w:t xml:space="preserve">s05_moving_force.py</w:t>
      </w:r>
      <w:r>
        <w:t xml:space="preserve">; its console output (</w:t>
      </w:r>
      <w:r>
        <w:rPr>
          <w:rStyle w:val="VerbatimChar"/>
        </w:rPr>
        <w:t xml:space="preserve">s05_moving_force.log</w:t>
      </w:r>
      <w:r>
        <w:t xml:space="preserve">) lists the quasi-static error against</w:t>
      </w:r>
      <w:r>
        <w:t xml:space="preserve"> </w:t>
      </w:r>
      <m:oMath>
        <m:sSub>
          <m:e>
            <m:r>
              <m:t>t</m:t>
            </m:r>
          </m:e>
          <m:sub>
            <m:r>
              <m:rPr>
                <m:sty m:val="p"/>
              </m:rPr>
              <m:t>cr</m:t>
            </m:r>
          </m:sub>
        </m:sSub>
        <m:r>
          <m:rPr>
            <m:sty m:val="p"/>
          </m:rPr>
          <m:t>/</m:t>
        </m:r>
        <m:sSub>
          <m:e>
            <m:r>
              <m:t>T</m:t>
            </m:r>
          </m:e>
          <m:sub>
            <m:r>
              <m:t>1</m:t>
            </m:r>
          </m:sub>
        </m:sSub>
      </m:oMath>
      <w:r>
        <w:t xml:space="preserve">, the effect of damping and the axle-configuration spread under dynamics.</w:t>
      </w:r>
    </w:p>
    <w:p>
      <w:pPr>
        <w:pStyle w:val="BodyText"/>
      </w:pPr>
      <w:r>
        <w:t xml:space="preserve">The authors’ deflection records from two simply supported bridges showed post-minus-pre level differences of up to 0.23 mm. Linear re-zeroing removes such differences, so this value bounds the drift before re-zeroing, not</w:t>
      </w:r>
      <w:r>
        <w:t xml:space="preserve"> </w:t>
      </w:r>
      <m:oMath>
        <m:sSub>
          <m:e>
            <m:r>
              <m:t>δ</m:t>
            </m:r>
          </m:e>
          <m:sub>
            <m:r>
              <m:t>0</m:t>
            </m:r>
          </m:sub>
        </m:sSub>
      </m:oMath>
      <w:r>
        <w:t xml:space="preserve">. Figs. S16 and S17 show these records, which illustrate the baseline handling and the low-pass filtering recommended in Section S10.</w:t>
      </w:r>
    </w:p>
    <w:p>
      <w:pPr>
        <w:pStyle w:val="Figure"/>
      </w:pPr>
      <w:r>
        <w:drawing>
          <wp:inline>
            <wp:extent cx="5039999" cy="1851502"/>
            <wp:effectExtent b="0" l="0" r="0" t="0"/>
            <wp:docPr descr="" title="" id="74" name="Picture"/>
            <a:graphic>
              <a:graphicData uri="http://schemas.openxmlformats.org/drawingml/2006/picture">
                <pic:pic>
                  <pic:nvPicPr>
                    <pic:cNvPr descr="/home/user/SHM-Paper1-1D/manuscript/ase/figures/supplementary/FigS16_giecuc_phuongdo_baseline.png" id="75" name="Picture"/>
                    <pic:cNvPicPr>
                      <a:picLocks noChangeArrowheads="1" noChangeAspect="1"/>
                    </pic:cNvPicPr>
                  </pic:nvPicPr>
                  <pic:blipFill>
                    <a:blip r:embed="rId73"/>
                    <a:stretch>
                      <a:fillRect/>
                    </a:stretch>
                  </pic:blipFill>
                  <pic:spPr bwMode="auto">
                    <a:xfrm>
                      <a:off x="0" y="0"/>
                      <a:ext cx="5039999" cy="1851502"/>
                    </a:xfrm>
                    <a:prstGeom prst="rect">
                      <a:avLst/>
                    </a:prstGeom>
                    <a:noFill/>
                    <a:ln w="9525">
                      <a:noFill/>
                      <a:headEnd/>
                      <a:tailEnd/>
                    </a:ln>
                  </pic:spPr>
                </pic:pic>
              </a:graphicData>
            </a:graphic>
          </wp:inline>
        </w:drawing>
      </w:r>
    </w:p>
    <w:p>
      <w:pPr>
        <w:pStyle w:val="Captionjustified"/>
      </w:pPr>
      <w:r>
        <w:rPr>
          <w:bCs/>
          <w:b/>
        </w:rPr>
        <w:t xml:space="preserve">Figure S16.</w:t>
      </w:r>
      <w:r>
        <w:t xml:space="preserve"> </w:t>
      </w:r>
      <w:r>
        <w:t xml:space="preserve">Deflection records of two simply supported bridges (Gie Cục I and Phương Độ): deviation of the event integral from a linear pre/post baseline for several baseline treatments and high-pass filters.</w:t>
      </w:r>
    </w:p>
    <w:p>
      <w:pPr>
        <w:pStyle w:val="Figure"/>
      </w:pPr>
      <w:r>
        <w:drawing>
          <wp:inline>
            <wp:extent cx="5039999" cy="4786369"/>
            <wp:effectExtent b="0" l="0" r="0" t="0"/>
            <wp:docPr descr="" title="" id="77" name="Picture"/>
            <a:graphic>
              <a:graphicData uri="http://schemas.openxmlformats.org/drawingml/2006/picture">
                <pic:pic>
                  <pic:nvPicPr>
                    <pic:cNvPr descr="/home/user/SHM-Paper1-1D/manuscript/ase/figures/supplementary/FigS17_giecuc_phuongdo_lowpass.png" id="78" name="Picture"/>
                    <pic:cNvPicPr>
                      <a:picLocks noChangeArrowheads="1" noChangeAspect="1"/>
                    </pic:cNvPicPr>
                  </pic:nvPicPr>
                  <pic:blipFill>
                    <a:blip r:embed="rId76"/>
                    <a:stretch>
                      <a:fillRect/>
                    </a:stretch>
                  </pic:blipFill>
                  <pic:spPr bwMode="auto">
                    <a:xfrm>
                      <a:off x="0" y="0"/>
                      <a:ext cx="5039999" cy="4786369"/>
                    </a:xfrm>
                    <a:prstGeom prst="rect">
                      <a:avLst/>
                    </a:prstGeom>
                    <a:noFill/>
                    <a:ln w="9525">
                      <a:noFill/>
                      <a:headEnd/>
                      <a:tailEnd/>
                    </a:ln>
                  </pic:spPr>
                </pic:pic>
              </a:graphicData>
            </a:graphic>
          </wp:inline>
        </w:drawing>
      </w:r>
    </w:p>
    <w:p>
      <w:pPr>
        <w:pStyle w:val="Captionjustified"/>
      </w:pPr>
      <w:r>
        <w:rPr>
          <w:bCs/>
          <w:b/>
        </w:rPr>
        <w:t xml:space="preserve">Figure S17.</w:t>
      </w:r>
      <w:r>
        <w:t xml:space="preserve"> </w:t>
      </w:r>
      <w:r>
        <w:t xml:space="preserve">The same records: (a) deflection relative to the linear baseline, unfiltered and low-pass filtered at 2 Hz; (b) dynamic residual removed by the low-pass filter.</w:t>
      </w:r>
    </w:p>
    <w:bookmarkEnd w:id="79"/>
    <w:bookmarkStart w:id="80" w:name="s10.-error-budget-and-design-checklist"/>
    <w:p>
      <w:pPr>
        <w:pStyle w:val="Heading2"/>
      </w:pPr>
      <w:r>
        <w:t xml:space="preserve">S10. Error budget and design checklist</w:t>
      </w:r>
    </w:p>
    <w:p>
      <w:pPr>
        <w:pStyle w:val="FirstParagraph"/>
      </w:pPr>
      <w:r>
        <w:t xml:space="preserve">The budget below is indicative, not an evaluation according to the Guide to the Expression of Uncertainty in Measurement (GUM): several entries are scenario ranges and the correlations between terms are not quantified. To first order, the relative error of BPM is the sum of the relative errors of the rigidity, the gain, the speed and the offset term of Eq. (12), plus four times the relative error of the span length. SLM removes the structural terms, because they belong to</w:t>
      </w:r>
      <w:r>
        <w:t xml:space="preserve"> </w:t>
      </w:r>
      <m:oMath>
        <m:r>
          <m:t>C</m:t>
        </m:r>
      </m:oMath>
      <w:r>
        <w:t xml:space="preserve">. Every other term survives as the difference between the target and the reference crossings.</w:t>
      </w:r>
    </w:p>
    <w:p>
      <w:pPr>
        <w:pStyle w:val="BodyText"/>
      </w:pPr>
      <w:r>
        <w:t xml:space="preserve">Speed enters twice. It affects the response itself, and it enters again through its measurement, because the space integral is the time integral times the speed measured at the gauges; a speed error therefore passes one-to-one into the weight. Speed variation over a 605 m crossing was not measured. On lane A, speeds from a low-pass fit of the records were 1.139 times those from the axle spikes (SD 0.124, 22 runs), so the choice of speed estimator alone can shift the weight by more than 10 %.</w:t>
      </w:r>
    </w:p>
    <w:p>
      <w:pPr>
        <w:pStyle w:val="BodyText"/>
      </w:pPr>
      <w:r>
        <w:t xml:space="preserve">Table S15 evaluates Eq. (12) for the Cầu Mây gauges over the admissible set, with</w:t>
      </w:r>
      <w:r>
        <w:t xml:space="preserve"> </w:t>
      </w:r>
      <m:oMath>
        <m:sSub>
          <m:e>
            <m:r>
              <m:t>L</m:t>
            </m:r>
          </m:e>
          <m:sub>
            <m:r>
              <m:rPr>
                <m:sty m:val="p"/>
              </m:rPr>
              <m:t>tot</m:t>
            </m:r>
          </m:sub>
        </m:sSub>
        <m:r>
          <m:rPr>
            <m:sty m:val="p"/>
          </m:rPr>
          <m:t>=</m:t>
        </m:r>
        <m:r>
          <m:t>200</m:t>
        </m:r>
      </m:oMath>
      <w:r>
        <w:t xml:space="preserve"> </w:t>
      </w:r>
      <w:r>
        <w:t xml:space="preserve">m and a truck of the mean weighed gross weight, 25.06 t. The smaller offsets in Table S15 are typical of displacement transducers. Absolute deflection on a 90 m span over water would usually come from a non-contact technique, whose residual offset after re-zeroing has to be established on site, since environmental effects act over the same window (Sohn, 2007; Cross et al., 2013). At</w:t>
      </w:r>
      <w:r>
        <w:t xml:space="preserve"> </w:t>
      </w:r>
      <m:oMath>
        <m:sSub>
          <m:e>
            <m:r>
              <m:t>δ</m:t>
            </m:r>
          </m:e>
          <m:sub>
            <m:r>
              <m:t>0</m:t>
            </m:r>
          </m:sub>
        </m:sSub>
        <m:r>
          <m:rPr>
            <m:sty m:val="p"/>
          </m:rPr>
          <m:t>=</m:t>
        </m:r>
        <m:r>
          <m:t>0.1</m:t>
        </m:r>
      </m:oMath>
      <w:r>
        <w:t xml:space="preserve"> </w:t>
      </w:r>
      <w:r>
        <w:t xml:space="preserve">mm a single main-span gauge biases a 25 t truck by 16–25 %, and a single side-span gauge by 41–271 %. The zero-sum pair addresses this term only to the extent that the offset is common-mode during crossings.</w:t>
      </w:r>
    </w:p>
    <w:p>
      <w:pPr>
        <w:pStyle w:val="BodyText"/>
      </w:pPr>
      <w:r>
        <w:t xml:space="preserve">Transverse position and multiple presence add further terms; Table S16 collects all terms. On the five-span girder the far-lane constant was 0.79 of the near-lane value. At Cầu Mây the readings across one section differ by up to 2.05 mm in the eccentric N7 case, about 13 % of the mean reading. Several vehicles on the structure return their combined weight; on the five-span girder the two-truck events gave 0.92 of the prediction. A crossing of the 200 m Cầu Mây unit takes 12.4 s at 60 km/h, and every crossing that overlaps another vehicle in that window must be discarded or treated as a group. The fraction of usable isolated crossings was not quantified. In the laboratory, the reference record and the load-dependent growth of the integral ratio cause the SLM deviations of 0.6–0.7 %. In the field, the noise, the lane and the gauge position dominate, and the weight errors of single crossings, 5–12 % on these records, exceed the spread of the reference weights.</w:t>
      </w:r>
    </w:p>
    <w:p>
      <w:pPr>
        <w:pStyle w:val="BodyText"/>
        <w:keepNext/>
      </w:pPr>
      <w:r>
        <w:rPr>
          <w:bCs/>
          <w:b/>
        </w:rPr>
        <w:t xml:space="preserve">Table S15.</w:t>
      </w:r>
      <w:r>
        <w:t xml:space="preserve"> </w:t>
      </w:r>
      <w:r>
        <w:t xml:space="preserve">Bias of a single-channel estimate caused by a residual offset</w:t>
      </w:r>
      <w:r>
        <w:t xml:space="preserve"> </w:t>
      </w:r>
      <m:oMath>
        <m:sSub>
          <m:e>
            <m:r>
              <m:t>δ</m:t>
            </m:r>
          </m:e>
          <m:sub>
            <m:r>
              <m:t>0</m:t>
            </m:r>
          </m:sub>
        </m:sSub>
      </m:oMath>
      <w:r>
        <w:t xml:space="preserve">, Eq. (12), for a 25.06 t truck;</w:t>
      </w:r>
      <w:r>
        <w:t xml:space="preserve"> </w:t>
      </w:r>
      <m:oMath>
        <m:sSub>
          <m:e>
            <m:r>
              <m:t>L</m:t>
            </m:r>
          </m:e>
          <m:sub>
            <m:r>
              <m:rPr>
                <m:sty m:val="p"/>
              </m:rPr>
              <m:t>tot</m:t>
            </m:r>
          </m:sub>
        </m:sSub>
      </m:oMath>
      <w:r>
        <w:t xml:space="preserve"> </w:t>
      </w:r>
      <w:r>
        <w:t xml:space="preserve">= 200 m. Ranges over the admissible set (</w:t>
      </w:r>
      <m:oMath>
        <m:r>
          <m:t>τ</m:t>
        </m:r>
      </m:oMath>
      <w:r>
        <w:t xml:space="preserve"> </w:t>
      </w:r>
      <w:r>
        <w:t xml:space="preserve">= 5.3 %).</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1461"/>
        <w:gridCol w:w="1805"/>
        <w:gridCol w:w="1217"/>
        <w:gridCol w:w="1074"/>
        <w:gridCol w:w="1074"/>
        <w:gridCol w:w="1074"/>
        <w:gridCol w:w="1361"/>
      </w:tblGrid>
      <w:tr>
        <w:trPr>
          <w:tblHeader w:val="true"/>
          <w:tblHeader w:val="true"/>
          <w:cantSplit/>
        </w:trPr>
        <w:tc>
          <w:tcPr>
            <w:tcW w:type="dxa" w:w="1461"/>
            <w:tcBorders>
              <w:top w:val="nil"/>
              <w:left w:val="nil"/>
              <w:bottom w:val="single" w:sz="6" w:space="0" w:color="000000"/>
              <w:right w:val="nil"/>
            </w:tcBorders>
          </w:tcPr>
          <w:p>
            <w:pPr>
              <w:pStyle w:val="Compact"/>
              <w:jc w:val="left"/>
            </w:pPr>
            <w:r>
              <w:t xml:space="preserve">Gauge</w:t>
            </w:r>
          </w:p>
        </w:tc>
        <w:tc>
          <w:tcPr>
            <w:tcW w:type="dxa" w:w="1805"/>
            <w:tcBorders>
              <w:top w:val="nil"/>
              <w:left w:val="nil"/>
              <w:bottom w:val="single" w:sz="6" w:space="0" w:color="000000"/>
              <w:right w:val="nil"/>
            </w:tcBorders>
          </w:tcPr>
          <w:p>
            <w:pPr>
              <w:pStyle w:val="Compact"/>
              <w:jc w:val="right"/>
            </w:pPr>
            <m:oMath>
              <m:r>
                <m:t>C</m:t>
              </m:r>
            </m:oMath>
            <w:r>
              <w:t xml:space="preserve"> </w:t>
            </w:r>
            <w:r>
              <w:t xml:space="preserve">(m²/kN)</w:t>
            </w:r>
          </w:p>
        </w:tc>
        <w:tc>
          <w:tcPr>
            <w:tcW w:type="dxa" w:w="1217"/>
            <w:tcBorders>
              <w:top w:val="nil"/>
              <w:left w:val="nil"/>
              <w:bottom w:val="single" w:sz="6" w:space="0" w:color="000000"/>
              <w:right w:val="nil"/>
            </w:tcBorders>
          </w:tcPr>
          <w:p>
            <w:pPr>
              <w:pStyle w:val="Compact"/>
              <w:jc w:val="right"/>
            </w:pPr>
            <w:r>
              <w:t xml:space="preserve">0.02 mm</w:t>
            </w:r>
          </w:p>
        </w:tc>
        <w:tc>
          <w:tcPr>
            <w:tcW w:type="dxa" w:w="1074"/>
            <w:tcBorders>
              <w:top w:val="nil"/>
              <w:left w:val="nil"/>
              <w:bottom w:val="single" w:sz="6" w:space="0" w:color="000000"/>
              <w:right w:val="nil"/>
            </w:tcBorders>
          </w:tcPr>
          <w:p>
            <w:pPr>
              <w:pStyle w:val="Compact"/>
              <w:jc w:val="right"/>
            </w:pPr>
            <w:r>
              <w:t xml:space="preserve">0.05 mm</w:t>
            </w:r>
          </w:p>
        </w:tc>
        <w:tc>
          <w:tcPr>
            <w:tcW w:type="dxa" w:w="1074"/>
            <w:tcBorders>
              <w:top w:val="nil"/>
              <w:left w:val="nil"/>
              <w:bottom w:val="single" w:sz="6" w:space="0" w:color="000000"/>
              <w:right w:val="nil"/>
            </w:tcBorders>
          </w:tcPr>
          <w:p>
            <w:pPr>
              <w:pStyle w:val="Compact"/>
              <w:jc w:val="right"/>
            </w:pPr>
            <w:r>
              <w:t xml:space="preserve">0.1 mm</w:t>
            </w:r>
          </w:p>
        </w:tc>
        <w:tc>
          <w:tcPr>
            <w:tcW w:type="dxa" w:w="1074"/>
            <w:tcBorders>
              <w:top w:val="nil"/>
              <w:left w:val="nil"/>
              <w:bottom w:val="single" w:sz="6" w:space="0" w:color="000000"/>
              <w:right w:val="nil"/>
            </w:tcBorders>
          </w:tcPr>
          <w:p>
            <w:pPr>
              <w:pStyle w:val="Compact"/>
              <w:jc w:val="right"/>
            </w:pPr>
            <w:r>
              <w:t xml:space="preserve">0.2 mm</w:t>
            </w:r>
          </w:p>
        </w:tc>
        <w:tc>
          <w:tcPr>
            <w:tcW w:type="dxa" w:w="1361"/>
            <w:tcBorders>
              <w:top w:val="nil"/>
              <w:left w:val="nil"/>
              <w:bottom w:val="single" w:sz="6" w:space="0" w:color="000000"/>
              <w:right w:val="nil"/>
            </w:tcBorders>
          </w:tcPr>
          <w:p>
            <w:pPr>
              <w:pStyle w:val="Compact"/>
              <w:jc w:val="right"/>
            </w:pPr>
            <w:r>
              <w:t xml:space="preserve">0.5 mm</w:t>
            </w:r>
          </w:p>
        </w:tc>
      </w:tr>
      <w:tr>
        <w:trPr>
          <w:cantSplit/>
        </w:trPr>
        <w:tc>
          <w:tcPr>
            <w:tcW w:type="dxa" w:w="1461"/>
          </w:tcPr>
          <w:p>
            <w:pPr>
              <w:pStyle w:val="Compact"/>
              <w:jc w:val="left"/>
            </w:pPr>
            <w:r>
              <w:t xml:space="preserve">N7, mid main span</w:t>
            </w:r>
          </w:p>
        </w:tc>
        <w:tc>
          <w:tcPr>
            <w:tcW w:type="dxa" w:w="1805"/>
          </w:tcPr>
          <w:p>
            <w:pPr>
              <w:pStyle w:val="Compact"/>
              <w:jc w:val="right"/>
            </w:pPr>
            <w:r>
              <w:t xml:space="preserve">3.3–5.0 × 10⁻⁴</w:t>
            </w:r>
          </w:p>
        </w:tc>
        <w:tc>
          <w:tcPr>
            <w:tcW w:type="dxa" w:w="1217"/>
          </w:tcPr>
          <w:p>
            <w:pPr>
              <w:pStyle w:val="Compact"/>
              <w:jc w:val="right"/>
            </w:pPr>
            <w:r>
              <w:t xml:space="preserve">3.3–5.0 %</w:t>
            </w:r>
          </w:p>
        </w:tc>
        <w:tc>
          <w:tcPr>
            <w:tcW w:type="dxa" w:w="1074"/>
          </w:tcPr>
          <w:p>
            <w:pPr>
              <w:pStyle w:val="Compact"/>
              <w:jc w:val="right"/>
            </w:pPr>
            <w:r>
              <w:t xml:space="preserve">8–12 %</w:t>
            </w:r>
          </w:p>
        </w:tc>
        <w:tc>
          <w:tcPr>
            <w:tcW w:type="dxa" w:w="1074"/>
          </w:tcPr>
          <w:p>
            <w:pPr>
              <w:pStyle w:val="Compact"/>
              <w:jc w:val="right"/>
            </w:pPr>
            <w:r>
              <w:t xml:space="preserve">16–25 %</w:t>
            </w:r>
          </w:p>
        </w:tc>
        <w:tc>
          <w:tcPr>
            <w:tcW w:type="dxa" w:w="1074"/>
          </w:tcPr>
          <w:p>
            <w:pPr>
              <w:pStyle w:val="Compact"/>
              <w:jc w:val="right"/>
            </w:pPr>
            <w:r>
              <w:t xml:space="preserve">33–50 %</w:t>
            </w:r>
          </w:p>
        </w:tc>
        <w:tc>
          <w:tcPr>
            <w:tcW w:type="dxa" w:w="1361"/>
          </w:tcPr>
          <w:p>
            <w:pPr>
              <w:pStyle w:val="Compact"/>
              <w:jc w:val="right"/>
            </w:pPr>
            <w:r>
              <w:t xml:space="preserve">82–124 %</w:t>
            </w:r>
          </w:p>
        </w:tc>
      </w:tr>
      <w:tr>
        <w:trPr>
          <w:cantSplit/>
        </w:trPr>
        <w:tc>
          <w:tcPr>
            <w:tcW w:type="dxa" w:w="1461"/>
          </w:tcPr>
          <w:p>
            <w:pPr>
              <w:pStyle w:val="Compact"/>
              <w:jc w:val="left"/>
            </w:pPr>
            <w:r>
              <w:t xml:space="preserve">N8, 0.4L</w:t>
            </w:r>
          </w:p>
        </w:tc>
        <w:tc>
          <w:tcPr>
            <w:tcW w:type="dxa" w:w="1805"/>
          </w:tcPr>
          <w:p>
            <w:pPr>
              <w:pStyle w:val="Compact"/>
              <w:jc w:val="right"/>
            </w:pPr>
            <w:r>
              <w:t xml:space="preserve">3.0 × 10⁻⁵–2.0 × 10⁻⁴</w:t>
            </w:r>
          </w:p>
        </w:tc>
        <w:tc>
          <w:tcPr>
            <w:tcW w:type="dxa" w:w="1217"/>
          </w:tcPr>
          <w:p>
            <w:pPr>
              <w:pStyle w:val="Compact"/>
              <w:jc w:val="right"/>
            </w:pPr>
            <w:r>
              <w:t xml:space="preserve">8–54 %</w:t>
            </w:r>
          </w:p>
        </w:tc>
        <w:tc>
          <w:tcPr>
            <w:tcW w:type="dxa" w:w="1074"/>
          </w:tcPr>
          <w:p>
            <w:pPr>
              <w:pStyle w:val="Compact"/>
              <w:jc w:val="right"/>
            </w:pPr>
            <w:r>
              <w:t xml:space="preserve">21–136 %</w:t>
            </w:r>
          </w:p>
        </w:tc>
        <w:tc>
          <w:tcPr>
            <w:tcW w:type="dxa" w:w="1074"/>
          </w:tcPr>
          <w:p>
            <w:pPr>
              <w:pStyle w:val="Compact"/>
              <w:jc w:val="right"/>
            </w:pPr>
            <w:r>
              <w:t xml:space="preserve">41–271 %</w:t>
            </w:r>
          </w:p>
        </w:tc>
        <w:tc>
          <w:tcPr>
            <w:tcW w:type="dxa" w:w="1074"/>
          </w:tcPr>
          <w:p>
            <w:pPr>
              <w:pStyle w:val="Compact"/>
              <w:jc w:val="right"/>
            </w:pPr>
            <w:r>
              <w:t xml:space="preserve">82–543 %</w:t>
            </w:r>
          </w:p>
        </w:tc>
        <w:tc>
          <w:tcPr>
            <w:tcW w:type="dxa" w:w="1361"/>
          </w:tcPr>
          <w:p>
            <w:pPr>
              <w:pStyle w:val="Compact"/>
              <w:jc w:val="right"/>
            </w:pPr>
            <w:r>
              <w:t xml:space="preserve">206–1356 %</w:t>
            </w:r>
          </w:p>
        </w:tc>
      </w:tr>
    </w:tbl>
    <w:p>
      <w:pPr>
        <w:pStyle w:val="BodyText"/>
        <w:keepNext/>
      </w:pPr>
      <w:r>
        <w:rPr>
          <w:bCs/>
          <w:b/>
        </w:rPr>
        <w:t xml:space="preserve">Table S16.</w:t>
      </w:r>
      <w:r>
        <w:t xml:space="preserve"> </w:t>
      </w:r>
      <w:r>
        <w:t xml:space="preserve">Indicative sensitivity budget of influence-area weighing. Values are those measured or assumed in this study; they are not combined.</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2045"/>
        <w:gridCol w:w="2114"/>
        <w:gridCol w:w="2455"/>
        <w:gridCol w:w="2455"/>
      </w:tblGrid>
      <w:tr>
        <w:trPr>
          <w:tblHeader w:val="true"/>
          <w:tblHeader w:val="true"/>
          <w:cantSplit/>
        </w:trPr>
        <w:tc>
          <w:tcPr>
            <w:tcW w:type="dxa" w:w="2045"/>
            <w:tcBorders>
              <w:top w:val="nil"/>
              <w:left w:val="nil"/>
              <w:bottom w:val="single" w:sz="6" w:space="0" w:color="000000"/>
              <w:right w:val="nil"/>
            </w:tcBorders>
          </w:tcPr>
          <w:p>
            <w:pPr>
              <w:pStyle w:val="Compact"/>
              <w:jc w:val="left"/>
            </w:pPr>
            <w:r>
              <w:t xml:space="preserve">Term</w:t>
            </w:r>
          </w:p>
        </w:tc>
        <w:tc>
          <w:tcPr>
            <w:tcW w:type="dxa" w:w="2114"/>
            <w:tcBorders>
              <w:top w:val="nil"/>
              <w:left w:val="nil"/>
              <w:bottom w:val="single" w:sz="6" w:space="0" w:color="000000"/>
              <w:right w:val="nil"/>
            </w:tcBorders>
          </w:tcPr>
          <w:p>
            <w:pPr>
              <w:pStyle w:val="Compact"/>
              <w:jc w:val="right"/>
            </w:pPr>
            <w:r>
              <w:t xml:space="preserve">Sensitivity</w:t>
            </w:r>
          </w:p>
        </w:tc>
        <w:tc>
          <w:tcPr>
            <w:tcW w:type="dxa" w:w="2455"/>
            <w:tcBorders>
              <w:top w:val="nil"/>
              <w:left w:val="nil"/>
              <w:bottom w:val="single" w:sz="6" w:space="0" w:color="000000"/>
              <w:right w:val="nil"/>
            </w:tcBorders>
          </w:tcPr>
          <w:p>
            <w:pPr>
              <w:pStyle w:val="Compact"/>
              <w:jc w:val="left"/>
            </w:pPr>
            <w:r>
              <w:t xml:space="preserve">Cancels in SLM?</w:t>
            </w:r>
          </w:p>
        </w:tc>
        <w:tc>
          <w:tcPr>
            <w:tcW w:type="dxa" w:w="2455"/>
            <w:tcBorders>
              <w:top w:val="nil"/>
              <w:left w:val="nil"/>
              <w:bottom w:val="single" w:sz="6" w:space="0" w:color="000000"/>
              <w:right w:val="nil"/>
            </w:tcBorders>
          </w:tcPr>
          <w:p>
            <w:pPr>
              <w:pStyle w:val="Compact"/>
              <w:jc w:val="left"/>
            </w:pPr>
            <w:r>
              <w:t xml:space="preserve">Value in this study</w:t>
            </w:r>
          </w:p>
        </w:tc>
      </w:tr>
      <w:tr>
        <w:trPr>
          <w:cantSplit/>
        </w:trPr>
        <w:tc>
          <w:tcPr>
            <w:tcW w:type="dxa" w:w="2045"/>
          </w:tcPr>
          <w:p>
            <w:pPr>
              <w:pStyle w:val="Compact"/>
              <w:jc w:val="left"/>
            </w:pPr>
            <w:r>
              <w:t xml:space="preserve">Flexural rigidity</w:t>
            </w:r>
            <w:r>
              <w:t xml:space="preserve"> </w:t>
            </w:r>
            <m:oMath>
              <m:r>
                <m:t>E</m:t>
              </m:r>
              <m:r>
                <m:t>I</m:t>
              </m:r>
            </m:oMath>
          </w:p>
        </w:tc>
        <w:tc>
          <w:tcPr>
            <w:tcW w:type="dxa" w:w="2114"/>
          </w:tcPr>
          <w:p>
            <w:pPr>
              <w:pStyle w:val="Compact"/>
              <w:jc w:val="right"/>
            </w:pPr>
            <w:r>
              <w:t xml:space="preserve">1</w:t>
            </w:r>
          </w:p>
        </w:tc>
        <w:tc>
          <w:tcPr>
            <w:tcW w:type="dxa" w:w="2455"/>
          </w:tcPr>
          <w:p>
            <w:pPr>
              <w:pStyle w:val="Compact"/>
              <w:jc w:val="left"/>
            </w:pPr>
            <w:r>
              <w:t xml:space="preserve">yes</w:t>
            </w:r>
          </w:p>
        </w:tc>
        <w:tc>
          <w:tcPr>
            <w:tcW w:type="dxa" w:w="2455"/>
          </w:tcPr>
          <w:p>
            <w:pPr>
              <w:pStyle w:val="Compact"/>
              <w:jc w:val="left"/>
            </w:pPr>
            <w:r>
              <w:t xml:space="preserve">BPM only; Cầu Mây N8 constant varies 6.6-fold over the admissible set</w:t>
            </w:r>
          </w:p>
        </w:tc>
      </w:tr>
      <w:tr>
        <w:trPr>
          <w:cantSplit/>
        </w:trPr>
        <w:tc>
          <w:tcPr>
            <w:tcW w:type="dxa" w:w="2045"/>
          </w:tcPr>
          <w:p>
            <w:pPr>
              <w:pStyle w:val="Compact"/>
              <w:jc w:val="left"/>
            </w:pPr>
            <w:r>
              <w:t xml:space="preserve">Span length</w:t>
            </w:r>
          </w:p>
        </w:tc>
        <w:tc>
          <w:tcPr>
            <w:tcW w:type="dxa" w:w="2114"/>
          </w:tcPr>
          <w:p>
            <w:pPr>
              <w:pStyle w:val="Compact"/>
              <w:jc w:val="right"/>
            </w:pPr>
            <w:r>
              <w:t xml:space="preserve">4</w:t>
            </w:r>
          </w:p>
        </w:tc>
        <w:tc>
          <w:tcPr>
            <w:tcW w:type="dxa" w:w="2455"/>
          </w:tcPr>
          <w:p>
            <w:pPr>
              <w:pStyle w:val="Compact"/>
              <w:jc w:val="left"/>
            </w:pPr>
            <w:r>
              <w:t xml:space="preserve">yes</w:t>
            </w:r>
          </w:p>
        </w:tc>
        <w:tc>
          <w:tcPr>
            <w:tcW w:type="dxa" w:w="2455"/>
          </w:tcPr>
          <w:p>
            <w:pPr>
              <w:pStyle w:val="Compact"/>
              <w:jc w:val="left"/>
            </w:pPr>
            <w:r>
              <w:t xml:space="preserve">BPM only</w:t>
            </w:r>
          </w:p>
        </w:tc>
      </w:tr>
      <w:tr>
        <w:trPr>
          <w:cantSplit/>
        </w:trPr>
        <w:tc>
          <w:tcPr>
            <w:tcW w:type="dxa" w:w="2045"/>
          </w:tcPr>
          <w:p>
            <w:pPr>
              <w:pStyle w:val="Compact"/>
              <w:jc w:val="left"/>
            </w:pPr>
            <w:r>
              <w:t xml:space="preserve">Gain</w:t>
            </w:r>
          </w:p>
        </w:tc>
        <w:tc>
          <w:tcPr>
            <w:tcW w:type="dxa" w:w="2114"/>
          </w:tcPr>
          <w:p>
            <w:pPr>
              <w:pStyle w:val="Compact"/>
              <w:jc w:val="right"/>
            </w:pPr>
            <w:r>
              <w:t xml:space="preserve">1</w:t>
            </w:r>
          </w:p>
        </w:tc>
        <w:tc>
          <w:tcPr>
            <w:tcW w:type="dxa" w:w="2455"/>
          </w:tcPr>
          <w:p>
            <w:pPr>
              <w:pStyle w:val="Compact"/>
              <w:jc w:val="left"/>
            </w:pPr>
            <w:r>
              <w:t xml:space="preserve">if not recalibrated between crossings</w:t>
            </w:r>
          </w:p>
        </w:tc>
        <w:tc>
          <w:tcPr>
            <w:tcW w:type="dxa" w:w="2455"/>
          </w:tcPr>
          <w:p>
            <w:pPr>
              <w:pStyle w:val="Compact"/>
              <w:jc w:val="left"/>
            </w:pPr>
            <w:r>
              <w:t xml:space="preserve">not evaluated</w:t>
            </w:r>
          </w:p>
        </w:tc>
      </w:tr>
      <w:tr>
        <w:trPr>
          <w:cantSplit/>
        </w:trPr>
        <w:tc>
          <w:tcPr>
            <w:tcW w:type="dxa" w:w="2045"/>
          </w:tcPr>
          <w:p>
            <w:pPr>
              <w:pStyle w:val="Compact"/>
              <w:jc w:val="left"/>
            </w:pPr>
            <w:r>
              <w:t xml:space="preserve">Reference weighing</w:t>
            </w:r>
            <w:r>
              <w:t xml:space="preserve"> </w:t>
            </w:r>
            <m:oMath>
              <m:sSub>
                <m:e>
                  <m:r>
                    <m:t>P</m:t>
                  </m:r>
                </m:e>
                <m:sub>
                  <m:r>
                    <m:t>0</m:t>
                  </m:r>
                </m:sub>
              </m:sSub>
            </m:oMath>
          </w:p>
        </w:tc>
        <w:tc>
          <w:tcPr>
            <w:tcW w:type="dxa" w:w="2114"/>
          </w:tcPr>
          <w:p>
            <w:pPr>
              <w:pStyle w:val="Compact"/>
              <w:jc w:val="right"/>
            </w:pPr>
            <w:r>
              <w:t xml:space="preserve">1</w:t>
            </w:r>
          </w:p>
        </w:tc>
        <w:tc>
          <w:tcPr>
            <w:tcW w:type="dxa" w:w="2455"/>
          </w:tcPr>
          <w:p>
            <w:pPr>
              <w:pStyle w:val="Compact"/>
              <w:jc w:val="left"/>
            </w:pPr>
            <w:r>
              <w:t xml:space="preserve">no</w:t>
            </w:r>
          </w:p>
        </w:tc>
        <w:tc>
          <w:tcPr>
            <w:tcW w:type="dxa" w:w="2455"/>
          </w:tcPr>
          <w:p>
            <w:pPr>
              <w:pStyle w:val="Compact"/>
              <w:jc w:val="left"/>
            </w:pPr>
            <w:r>
              <w:t xml:space="preserve">laboratory: OIML class M1 weights; field: day-1 weights driver-reported</w:t>
            </w:r>
          </w:p>
        </w:tc>
      </w:tr>
      <w:tr>
        <w:trPr>
          <w:cantSplit/>
        </w:trPr>
        <w:tc>
          <w:tcPr>
            <w:tcW w:type="dxa" w:w="2045"/>
          </w:tcPr>
          <w:p>
            <w:pPr>
              <w:pStyle w:val="Compact"/>
              <w:jc w:val="left"/>
            </w:pPr>
            <w:r>
              <w:t xml:space="preserve">Residual offset, drift</w:t>
            </w:r>
            <w:r>
              <w:t xml:space="preserve"> </w:t>
            </w:r>
            <m:oMath>
              <m:sSub>
                <m:e>
                  <m:r>
                    <m:t>δ</m:t>
                  </m:r>
                </m:e>
                <m:sub>
                  <m:r>
                    <m:t>0</m:t>
                  </m:r>
                </m:sub>
              </m:sSub>
            </m:oMath>
          </w:p>
        </w:tc>
        <w:tc>
          <w:tcPr>
            <w:tcW w:type="dxa" w:w="2114"/>
          </w:tcPr>
          <w:p>
            <w:pPr>
              <w:pStyle w:val="Compact"/>
              <w:jc w:val="right"/>
            </w:pPr>
            <m:oMath>
              <m:sSub>
                <m:e>
                  <m:r>
                    <m:t>L</m:t>
                  </m:r>
                </m:e>
                <m:sub>
                  <m:r>
                    <m:rPr>
                      <m:sty m:val="p"/>
                    </m:rPr>
                    <m:t>tot</m:t>
                  </m:r>
                </m:sub>
              </m:sSub>
              <m:r>
                <m:rPr>
                  <m:sty m:val="p"/>
                </m:rPr>
                <m:t>/</m:t>
              </m:r>
              <m:r>
                <m:t>J</m:t>
              </m:r>
            </m:oMath>
            <w:r>
              <w:t xml:space="preserve"> </w:t>
            </w:r>
            <w:r>
              <w:t xml:space="preserve">per unit offset</w:t>
            </w:r>
          </w:p>
        </w:tc>
        <w:tc>
          <w:tcPr>
            <w:tcW w:type="dxa" w:w="2455"/>
          </w:tcPr>
          <w:p>
            <w:pPr>
              <w:pStyle w:val="Compact"/>
              <w:jc w:val="left"/>
            </w:pPr>
            <w:r>
              <w:t xml:space="preserve">only if common-mode during crossings</w:t>
            </w:r>
          </w:p>
        </w:tc>
        <w:tc>
          <w:tcPr>
            <w:tcW w:type="dxa" w:w="2455"/>
          </w:tcPr>
          <w:p>
            <w:pPr>
              <w:pStyle w:val="Compact"/>
              <w:jc w:val="left"/>
            </w:pPr>
            <w:r>
              <w:t xml:space="preserve">Table S15; field per-crossing SD of the gauge average predicted 19.8 % (day 2), 5.3 % (day 1)</w:t>
            </w:r>
          </w:p>
        </w:tc>
      </w:tr>
      <w:tr>
        <w:trPr>
          <w:cantSplit/>
        </w:trPr>
        <w:tc>
          <w:tcPr>
            <w:tcW w:type="dxa" w:w="2045"/>
          </w:tcPr>
          <w:p>
            <w:pPr>
              <w:pStyle w:val="Compact"/>
              <w:jc w:val="left"/>
            </w:pPr>
            <w:r>
              <w:t xml:space="preserve">Speed effect</w:t>
            </w:r>
          </w:p>
        </w:tc>
        <w:tc>
          <w:tcPr>
            <w:tcW w:type="dxa" w:w="2114"/>
          </w:tcPr>
          <w:p>
            <w:pPr>
              <w:pStyle w:val="Compact"/>
              <w:jc w:val="right"/>
            </w:pPr>
            <w:r>
              <w:t xml:space="preserve">1</w:t>
            </w:r>
          </w:p>
        </w:tc>
        <w:tc>
          <w:tcPr>
            <w:tcW w:type="dxa" w:w="2455"/>
          </w:tcPr>
          <w:p>
            <w:pPr>
              <w:pStyle w:val="Compact"/>
              <w:jc w:val="left"/>
            </w:pPr>
            <w:r>
              <w:t xml:space="preserve">no</w:t>
            </w:r>
          </w:p>
        </w:tc>
        <w:tc>
          <w:tcPr>
            <w:tcW w:type="dxa" w:w="2455"/>
          </w:tcPr>
          <w:p>
            <w:pPr>
              <w:pStyle w:val="Compact"/>
              <w:jc w:val="left"/>
            </w:pPr>
            <w:r>
              <w:t xml:space="preserve">day 2: +6 % per 10 m/s (95 % CI −23 to +35 %), not resolved</w:t>
            </w:r>
          </w:p>
        </w:tc>
      </w:tr>
      <w:tr>
        <w:trPr>
          <w:cantSplit/>
        </w:trPr>
        <w:tc>
          <w:tcPr>
            <w:tcW w:type="dxa" w:w="2045"/>
          </w:tcPr>
          <w:p>
            <w:pPr>
              <w:pStyle w:val="Compact"/>
              <w:jc w:val="left"/>
            </w:pPr>
            <w:r>
              <w:t xml:space="preserve">Speed measurement</w:t>
            </w:r>
          </w:p>
        </w:tc>
        <w:tc>
          <w:tcPr>
            <w:tcW w:type="dxa" w:w="2114"/>
          </w:tcPr>
          <w:p>
            <w:pPr>
              <w:pStyle w:val="Compact"/>
              <w:jc w:val="right"/>
            </w:pPr>
            <w:r>
              <w:t xml:space="preserve">1</w:t>
            </w:r>
          </w:p>
        </w:tc>
        <w:tc>
          <w:tcPr>
            <w:tcW w:type="dxa" w:w="2455"/>
          </w:tcPr>
          <w:p>
            <w:pPr>
              <w:pStyle w:val="Compact"/>
              <w:jc w:val="left"/>
            </w:pPr>
            <w:r>
              <w:t xml:space="preserve">no</w:t>
            </w:r>
          </w:p>
        </w:tc>
        <w:tc>
          <w:tcPr>
            <w:tcW w:type="dxa" w:w="2455"/>
          </w:tcPr>
          <w:p>
            <w:pPr>
              <w:pStyle w:val="Compact"/>
              <w:jc w:val="left"/>
            </w:pPr>
            <w:r>
              <w:t xml:space="preserve">1–2 % against the dataset speeds; a second estimator differs by a factor of 1.139 (SD 0.124)</w:t>
            </w:r>
          </w:p>
        </w:tc>
      </w:tr>
      <w:tr>
        <w:trPr>
          <w:cantSplit/>
        </w:trPr>
        <w:tc>
          <w:tcPr>
            <w:tcW w:type="dxa" w:w="2045"/>
          </w:tcPr>
          <w:p>
            <w:pPr>
              <w:pStyle w:val="Compact"/>
              <w:jc w:val="left"/>
            </w:pPr>
            <w:r>
              <w:t xml:space="preserve">Dynamics</w:t>
            </w:r>
          </w:p>
        </w:tc>
        <w:tc>
          <w:tcPr>
            <w:tcW w:type="dxa" w:w="2114"/>
          </w:tcPr>
          <w:p>
            <w:pPr>
              <w:pStyle w:val="Compact"/>
              <w:jc w:val="right"/>
            </w:pPr>
            <w:r>
              <w:t xml:space="preserve">1</w:t>
            </w:r>
          </w:p>
        </w:tc>
        <w:tc>
          <w:tcPr>
            <w:tcW w:type="dxa" w:w="2455"/>
          </w:tcPr>
          <w:p>
            <w:pPr>
              <w:pStyle w:val="Compact"/>
              <w:jc w:val="left"/>
            </w:pPr>
            <w:r>
              <w:t xml:space="preserve">partly</w:t>
            </w:r>
          </w:p>
        </w:tc>
        <w:tc>
          <w:tcPr>
            <w:tcW w:type="dxa" w:w="2455"/>
          </w:tcPr>
          <w:p>
            <w:pPr>
              <w:pStyle w:val="Compact"/>
              <w:jc w:val="left"/>
            </w:pPr>
            <w:r>
              <w:t xml:space="preserve">≤ 1 % for</w:t>
            </w:r>
            <w:r>
              <w:t xml:space="preserve"> </w:t>
            </w:r>
            <m:oMath>
              <m:sSub>
                <m:e>
                  <m:r>
                    <m:t>t</m:t>
                  </m:r>
                </m:e>
                <m:sub>
                  <m:r>
                    <m:rPr>
                      <m:sty m:val="p"/>
                    </m:rPr>
                    <m:t>cr</m:t>
                  </m:r>
                </m:sub>
              </m:sSub>
              <m:r>
                <m:rPr>
                  <m:sty m:val="p"/>
                </m:rPr>
                <m:t>/</m:t>
              </m:r>
              <m:sSub>
                <m:e>
                  <m:r>
                    <m:t>T</m:t>
                  </m:r>
                </m:e>
                <m:sub>
                  <m:r>
                    <m:t>1</m:t>
                  </m:r>
                </m:sub>
              </m:sSub>
              <m:r>
                <m:rPr>
                  <m:sty m:val="p"/>
                </m:rPr>
                <m:t>≥</m:t>
              </m:r>
              <m:r>
                <m:t>8</m:t>
              </m:r>
            </m:oMath>
            <w:r>
              <w:t xml:space="preserve"> </w:t>
            </w:r>
            <w:r>
              <w:t xml:space="preserve">(constant force)</w:t>
            </w:r>
          </w:p>
        </w:tc>
      </w:tr>
      <w:tr>
        <w:trPr>
          <w:cantSplit/>
        </w:trPr>
        <w:tc>
          <w:tcPr>
            <w:tcW w:type="dxa" w:w="2045"/>
          </w:tcPr>
          <w:p>
            <w:pPr>
              <w:pStyle w:val="Compact"/>
              <w:jc w:val="left"/>
            </w:pPr>
            <w:r>
              <w:t xml:space="preserve">Transverse position</w:t>
            </w:r>
          </w:p>
        </w:tc>
        <w:tc>
          <w:tcPr>
            <w:tcW w:type="dxa" w:w="2114"/>
          </w:tcPr>
          <w:p>
            <w:pPr>
              <w:pStyle w:val="Compact"/>
              <w:jc w:val="right"/>
            </w:pPr>
            <w:r>
              <w:t xml:space="preserve">lane-dependent</w:t>
            </w:r>
            <w:r>
              <w:t xml:space="preserve"> </w:t>
            </w:r>
            <m:oMath>
              <m:r>
                <m:t>C</m:t>
              </m:r>
            </m:oMath>
          </w:p>
        </w:tc>
        <w:tc>
          <w:tcPr>
            <w:tcW w:type="dxa" w:w="2455"/>
          </w:tcPr>
          <w:p>
            <w:pPr>
              <w:pStyle w:val="Compact"/>
              <w:jc w:val="left"/>
            </w:pPr>
            <w:r>
              <w:t xml:space="preserve">no, unless lane-specific</w:t>
            </w:r>
          </w:p>
        </w:tc>
        <w:tc>
          <w:tcPr>
            <w:tcW w:type="dxa" w:w="2455"/>
          </w:tcPr>
          <w:p>
            <w:pPr>
              <w:pStyle w:val="Compact"/>
              <w:jc w:val="left"/>
            </w:pPr>
            <w:r>
              <w:t xml:space="preserve">field lane ratio 0.79; Cầu Mây range 2.05 mm across a section</w:t>
            </w:r>
          </w:p>
        </w:tc>
      </w:tr>
      <w:tr>
        <w:trPr>
          <w:cantSplit/>
        </w:trPr>
        <w:tc>
          <w:tcPr>
            <w:tcW w:type="dxa" w:w="2045"/>
          </w:tcPr>
          <w:p>
            <w:pPr>
              <w:pStyle w:val="Compact"/>
              <w:jc w:val="left"/>
            </w:pPr>
            <w:r>
              <w:t xml:space="preserve">Multiple presence</w:t>
            </w:r>
          </w:p>
        </w:tc>
        <w:tc>
          <w:tcPr>
            <w:tcW w:type="dxa" w:w="2114"/>
          </w:tcPr>
          <w:p>
            <w:pPr>
              <w:pStyle w:val="Compact"/>
              <w:jc w:val="right"/>
            </w:pPr>
            <w:r>
              <w:t xml:space="preserve">group weight</w:t>
            </w:r>
          </w:p>
        </w:tc>
        <w:tc>
          <w:tcPr>
            <w:tcW w:type="dxa" w:w="2455"/>
          </w:tcPr>
          <w:p>
            <w:pPr>
              <w:pStyle w:val="Compact"/>
              <w:jc w:val="left"/>
            </w:pPr>
            <w:r>
              <w:t xml:space="preserve">–</w:t>
            </w:r>
          </w:p>
        </w:tc>
        <w:tc>
          <w:tcPr>
            <w:tcW w:type="dxa" w:w="2455"/>
          </w:tcPr>
          <w:p>
            <w:pPr>
              <w:pStyle w:val="Compact"/>
              <w:jc w:val="left"/>
            </w:pPr>
            <w:r>
              <w:t xml:space="preserve">two-truck events 0.92 of prediction</w:t>
            </w:r>
          </w:p>
        </w:tc>
      </w:tr>
      <w:tr>
        <w:trPr>
          <w:cantSplit/>
        </w:trPr>
        <w:tc>
          <w:tcPr>
            <w:tcW w:type="dxa" w:w="2045"/>
          </w:tcPr>
          <w:p>
            <w:pPr>
              <w:pStyle w:val="Compact"/>
              <w:jc w:val="left"/>
            </w:pPr>
            <w:r>
              <w:t xml:space="preserve">Linearity, seating</w:t>
            </w:r>
          </w:p>
        </w:tc>
        <w:tc>
          <w:tcPr>
            <w:tcW w:type="dxa" w:w="2114"/>
          </w:tcPr>
          <w:p>
            <w:pPr>
              <w:pStyle w:val="Compact"/>
              <w:jc w:val="right"/>
            </w:pPr>
            <w:r>
              <w:t xml:space="preserve">1</w:t>
            </w:r>
          </w:p>
        </w:tc>
        <w:tc>
          <w:tcPr>
            <w:tcW w:type="dxa" w:w="2455"/>
          </w:tcPr>
          <w:p>
            <w:pPr>
              <w:pStyle w:val="Compact"/>
              <w:jc w:val="left"/>
            </w:pPr>
            <w:r>
              <w:t xml:space="preserve">no</w:t>
            </w:r>
          </w:p>
        </w:tc>
        <w:tc>
          <w:tcPr>
            <w:tcW w:type="dxa" w:w="2455"/>
          </w:tcPr>
          <w:p>
            <w:pPr>
              <w:pStyle w:val="Compact"/>
              <w:jc w:val="left"/>
            </w:pPr>
            <w:r>
              <w:t xml:space="preserve">laboratory integral ratio 1.010 → 1.017</w:t>
            </w:r>
          </w:p>
        </w:tc>
      </w:tr>
    </w:tbl>
    <w:p>
      <w:pPr>
        <w:pStyle w:val="BodyText"/>
      </w:pPr>
      <w:r>
        <w:t xml:space="preserve">Design checklist. The results combine into the following procedure for designing load-monitoring channels on a continuous girder before installation.</w:t>
      </w:r>
    </w:p>
    <w:p>
      <w:pPr>
        <w:numPr>
          <w:ilvl w:val="0"/>
          <w:numId w:val="1001"/>
        </w:numPr>
        <w:pStyle w:val="BodyText"/>
      </w:pPr>
      <w:r>
        <w:t xml:space="preserve">Constants. For each candidate channel and position, compute</w:t>
      </w:r>
      <w:r>
        <w:t xml:space="preserve"> </w:t>
      </w:r>
      <m:oMath>
        <m:r>
          <m:t>C</m:t>
        </m:r>
      </m:oMath>
      <w:r>
        <w:t xml:space="preserve"> </w:t>
      </w:r>
      <w:r>
        <w:t xml:space="preserve">from one static analysis under a uniform unit load on each lane, Eq. (2). Use Eqs. (4)–(9) for prismatic two- and three-span beams.</w:t>
      </w:r>
    </w:p>
    <w:p>
      <w:pPr>
        <w:numPr>
          <w:ilvl w:val="0"/>
          <w:numId w:val="1001"/>
        </w:numPr>
        <w:pStyle w:val="BodyText"/>
      </w:pPr>
      <w:r>
        <w:t xml:space="preserve">Blindness. Locate the blind loci of Table 1. Keep strain gauges out of the near-blind band</w:t>
      </w:r>
      <w:r>
        <w:t xml:space="preserve"> </w:t>
      </w:r>
      <m:oMath>
        <m:d>
          <m:dPr>
            <m:begChr m:val="|"/>
            <m:endChr m:val="|"/>
            <m:sepChr m:val=""/>
            <m:grow/>
          </m:dPr>
          <m:e>
            <m:sSub>
              <m:e>
                <m:r>
                  <m:t>N</m:t>
                </m:r>
              </m:e>
              <m:sub>
                <m:r>
                  <m:t>M</m:t>
                </m:r>
              </m:sub>
            </m:sSub>
          </m:e>
        </m:d>
        <m:r>
          <m:rPr>
            <m:sty m:val="p"/>
          </m:rPr>
          <m:t>&lt;</m:t>
        </m:r>
        <m:r>
          <m:t>0.2</m:t>
        </m:r>
      </m:oMath>
      <w:r>
        <w:t xml:space="preserve"> </w:t>
      </w:r>
      <w:r>
        <w:t xml:space="preserve">around every zero-moment point, including gauges set back from a pier. Keep deflection gauges out of the near-blind bands</w:t>
      </w:r>
      <w:r>
        <w:t xml:space="preserve"> </w:t>
      </w:r>
      <m:oMath>
        <m:d>
          <m:dPr>
            <m:begChr m:val="|"/>
            <m:endChr m:val="|"/>
            <m:sepChr m:val=""/>
            <m:grow/>
          </m:dPr>
          <m:e>
            <m:sSub>
              <m:e>
                <m:r>
                  <m:t>N</m:t>
                </m:r>
              </m:e>
              <m:sub>
                <m:r>
                  <m:t>w</m:t>
                </m:r>
              </m:sub>
            </m:sSub>
          </m:e>
        </m:d>
        <m:r>
          <m:rPr>
            <m:sty m:val="p"/>
          </m:rPr>
          <m:t>&lt;</m:t>
        </m:r>
        <m:r>
          <m:t>0.2</m:t>
        </m:r>
      </m:oMath>
      <w:r>
        <w:t xml:space="preserve">, for example</w:t>
      </w:r>
      <w:r>
        <w:t xml:space="preserve"> </w:t>
      </w:r>
      <m:oMath>
        <m:r>
          <m:t>1.385</m:t>
        </m:r>
        <m:r>
          <m:rPr>
            <m:sty m:val="p"/>
          </m:rPr>
          <m:t>&lt;</m:t>
        </m:r>
        <m:r>
          <m:t>λ</m:t>
        </m:r>
        <m:r>
          <m:rPr>
            <m:sty m:val="p"/>
          </m:rPr>
          <m:t>&lt;</m:t>
        </m:r>
        <m:r>
          <m:t>1.525</m:t>
        </m:r>
      </m:oMath>
      <w:r>
        <w:t xml:space="preserve"> </w:t>
      </w:r>
      <w:r>
        <w:t xml:space="preserve">for a mid-span gauge on two spans and</w:t>
      </w:r>
      <w:r>
        <w:t xml:space="preserve"> </w:t>
      </w:r>
      <m:oMath>
        <m:r>
          <m:t>1.621</m:t>
        </m:r>
        <m:r>
          <m:rPr>
            <m:sty m:val="p"/>
          </m:rPr>
          <m:t>&lt;</m:t>
        </m:r>
        <m:r>
          <m:t>β</m:t>
        </m:r>
        <m:r>
          <m:rPr>
            <m:sty m:val="p"/>
          </m:rPr>
          <m:t>&lt;</m:t>
        </m:r>
        <m:r>
          <m:t>1.775</m:t>
        </m:r>
      </m:oMath>
      <w:r>
        <w:t xml:space="preserve"> </w:t>
      </w:r>
      <w:r>
        <w:t xml:space="preserve">for a mid side-span gauge on three spans.</w:t>
      </w:r>
    </w:p>
    <w:p>
      <w:pPr>
        <w:numPr>
          <w:ilvl w:val="0"/>
          <w:numId w:val="1001"/>
        </w:numPr>
        <w:pStyle w:val="BodyText"/>
      </w:pPr>
      <w:r>
        <w:t xml:space="preserve">Conditioning. Report</w:t>
      </w:r>
      <w:r>
        <w:t xml:space="preserve"> </w:t>
      </w:r>
      <m:oMath>
        <m:sSub>
          <m:e>
            <m:r>
              <m:t>N</m:t>
            </m:r>
          </m:e>
          <m:sub>
            <m:r>
              <m:t>M</m:t>
            </m:r>
          </m:sub>
        </m:sSub>
      </m:oMath>
      <w:r>
        <w:t xml:space="preserve"> </w:t>
      </w:r>
      <w:r>
        <w:t xml:space="preserve">for strain,</w:t>
      </w:r>
      <w:r>
        <w:t xml:space="preserve"> </w:t>
      </w:r>
      <m:oMath>
        <m:sSub>
          <m:e>
            <m:r>
              <m:t>N</m:t>
            </m:r>
          </m:e>
          <m:sub>
            <m:r>
              <m:t>w</m:t>
            </m:r>
          </m:sub>
        </m:sSub>
      </m:oMath>
      <w:r>
        <w:t xml:space="preserve"> </w:t>
      </w:r>
      <w:r>
        <w:t xml:space="preserve">with its</w:t>
      </w:r>
      <w:r>
        <w:t xml:space="preserve"> </w:t>
      </w:r>
      <m:oMath>
        <m:r>
          <m:t>E</m:t>
        </m:r>
        <m:sSub>
          <m:e>
            <m:r>
              <m:t>I</m:t>
            </m:r>
          </m:e>
          <m:sub>
            <m:r>
              <m:rPr>
                <m:sty m:val="p"/>
              </m:rPr>
              <m:t>ref</m:t>
            </m:r>
          </m:sub>
        </m:sSub>
      </m:oMath>
      <w:r>
        <w:t xml:space="preserve"> </w:t>
      </w:r>
      <w:r>
        <w:t xml:space="preserve">for deflection (or the absolute constant), and</w:t>
      </w:r>
      <w:r>
        <w:t xml:space="preserve"> </w:t>
      </w:r>
      <m:oMath>
        <m:r>
          <m:t>R</m:t>
        </m:r>
      </m:oMath>
      <w:r>
        <w:t xml:space="preserve"> </w:t>
      </w:r>
      <w:r>
        <w:t xml:space="preserve">for both. A small indicator with</w:t>
      </w:r>
      <w:r>
        <w:t xml:space="preserve"> </w:t>
      </w:r>
      <m:oMath>
        <m:r>
          <m:t>R</m:t>
        </m:r>
      </m:oMath>
      <w:r>
        <w:t xml:space="preserve"> </w:t>
      </w:r>
      <w:r>
        <w:t xml:space="preserve">near 1 is restraint, not cancellation.</w:t>
      </w:r>
    </w:p>
    <w:p>
      <w:pPr>
        <w:numPr>
          <w:ilvl w:val="0"/>
          <w:numId w:val="1001"/>
        </w:numPr>
        <w:pStyle w:val="BodyText"/>
      </w:pPr>
      <w:r>
        <w:t xml:space="preserve">Boundary robustness. Evaluate</w:t>
      </w:r>
      <w:r>
        <w:t xml:space="preserve"> </w:t>
      </w:r>
      <m:oMath>
        <m:r>
          <m:t>C</m:t>
        </m:r>
      </m:oMath>
      <w:r>
        <w:t xml:space="preserve"> </w:t>
      </w:r>
      <w:r>
        <w:t xml:space="preserve">over the plausible range of pier stiffness; for a symmetric girder, Eq. (15) gives the whole curve from the pinned and fixed constants. Avoid locations with large</w:t>
      </w:r>
      <w:r>
        <w:t xml:space="preserve"> </w:t>
      </w:r>
      <m:oMath>
        <m:sSub>
          <m:e>
            <m:r>
              <m:t>C</m:t>
            </m:r>
          </m:e>
          <m:sub>
            <m:r>
              <m:rPr>
                <m:sty m:val="p"/>
              </m:rPr>
              <m:t>∞</m:t>
            </m:r>
          </m:sub>
        </m:sSub>
        <m:r>
          <m:rPr>
            <m:sty m:val="p"/>
          </m:rPr>
          <m:t>/</m:t>
        </m:r>
        <m:sSub>
          <m:e>
            <m:r>
              <m:t>C</m:t>
            </m:r>
          </m:e>
          <m:sub>
            <m:r>
              <m:t>0</m:t>
            </m:r>
          </m:sub>
        </m:sSub>
      </m:oMath>
      <w:r>
        <w:t xml:space="preserve"> </w:t>
      </w:r>
      <w:r>
        <w:t xml:space="preserve">or</w:t>
      </w:r>
      <w:r>
        <w:t xml:space="preserve"> </w:t>
      </w:r>
      <m:oMath>
        <m:sSub>
          <m:e>
            <m:r>
              <m:t>B</m:t>
            </m:r>
          </m:e>
          <m:sub>
            <m:r>
              <m:t>m</m:t>
            </m:r>
          </m:sub>
        </m:sSub>
      </m:oMath>
      <w:r>
        <w:t xml:space="preserve">, or plan the measurement that identifies</w:t>
      </w:r>
      <w:r>
        <w:t xml:space="preserve"> </w:t>
      </w:r>
      <m:oMath>
        <m:r>
          <m:t>κ</m:t>
        </m:r>
      </m:oMath>
      <w:r>
        <w:t xml:space="preserve">: a tiltmeter on a monolithic pier, an identified first frequency, or an integral ratio between two gauges.</w:t>
      </w:r>
    </w:p>
    <w:p>
      <w:pPr>
        <w:numPr>
          <w:ilvl w:val="0"/>
          <w:numId w:val="1001"/>
        </w:numPr>
        <w:pStyle w:val="BodyText"/>
      </w:pPr>
      <w:r>
        <w:t xml:space="preserve">Placement. Place sensors at the extremes of</w:t>
      </w:r>
      <w:r>
        <w:t xml:space="preserve"> </w:t>
      </w:r>
      <m:oMath>
        <m:r>
          <m:t>C</m:t>
        </m:r>
        <m:d>
          <m:dPr>
            <m:begChr m:val="("/>
            <m:endChr m:val=")"/>
            <m:sepChr m:val=""/>
            <m:grow/>
          </m:dPr>
          <m:e>
            <m:r>
              <m:t>x</m:t>
            </m:r>
          </m:e>
        </m:d>
      </m:oMath>
      <w:r>
        <w:t xml:space="preserve"> </w:t>
      </w:r>
      <w:r>
        <w:t xml:space="preserve">of each channel type:</w:t>
      </w:r>
      <w:r>
        <w:t xml:space="preserve"> </w:t>
      </w:r>
      <m:oMath>
        <m:sSub>
          <m:e>
            <m:r>
              <m:t>w</m:t>
            </m:r>
          </m:e>
          <m:sub>
            <m:r>
              <m:t>q</m:t>
            </m:r>
          </m:sub>
        </m:sSub>
      </m:oMath>
      <w:r>
        <w:t xml:space="preserve"> </w:t>
      </w:r>
      <w:r>
        <w:t xml:space="preserve">for deflection and</w:t>
      </w:r>
      <w:r>
        <w:t xml:space="preserve"> </w:t>
      </w:r>
      <m:oMath>
        <m:r>
          <m:t>c</m:t>
        </m:r>
        <m:sSub>
          <m:e>
            <m:r>
              <m:t>M</m:t>
            </m:r>
          </m:e>
          <m:sub>
            <m:r>
              <m:t>q</m:t>
            </m:r>
          </m:sub>
        </m:sSub>
        <m:r>
          <m:rPr>
            <m:sty m:val="p"/>
          </m:rPr>
          <m:t>/</m:t>
        </m:r>
        <m:r>
          <m:t>E</m:t>
        </m:r>
        <m:r>
          <m:t>I</m:t>
        </m:r>
      </m:oMath>
      <w:r>
        <w:t xml:space="preserve"> </w:t>
      </w:r>
      <w:r>
        <w:t xml:space="preserve">for strain.</w:t>
      </w:r>
    </w:p>
    <w:p>
      <w:pPr>
        <w:numPr>
          <w:ilvl w:val="0"/>
          <w:numId w:val="1001"/>
        </w:numPr>
        <w:pStyle w:val="BodyText"/>
      </w:pPr>
      <w:r>
        <w:t xml:space="preserve">Estimator. Use SLM with weighed vehicles of clearly different weights, several reference crossings and lane-specific constants. Combine channels by GLS or zero-sum weights only after estimating</w:t>
      </w:r>
      <w:r>
        <w:t xml:space="preserve"> </w:t>
      </w:r>
      <m:oMath>
        <m:r>
          <m:t>Σ</m:t>
        </m:r>
      </m:oMath>
      <w:r>
        <w:t xml:space="preserve"> </w:t>
      </w:r>
      <w:r>
        <w:t xml:space="preserve">from the residuals of calibration crossings and checking it out of sample against the gauge average; covariances from vehicle-free windows alone can mislead. Use BPM only where the location is well conditioned and the structure is known; on box girders with deck-mounted gauges, a beam model does not give the constant.</w:t>
      </w:r>
    </w:p>
    <w:p>
      <w:pPr>
        <w:numPr>
          <w:ilvl w:val="0"/>
          <w:numId w:val="1001"/>
        </w:numPr>
        <w:pStyle w:val="BodyText"/>
      </w:pPr>
      <w:r>
        <w:t xml:space="preserve">Offset and dynamics. Evaluate</w:t>
      </w:r>
      <w:r>
        <w:t xml:space="preserve"> </w:t>
      </w:r>
      <m:oMath>
        <m:sSub>
          <m:e>
            <m:r>
              <m:t>P</m:t>
            </m:r>
          </m:e>
          <m:sub>
            <m:r>
              <m:t>δ</m:t>
            </m:r>
          </m:sub>
        </m:sSub>
      </m:oMath>
      <w:r>
        <w:t xml:space="preserve">, Eq. (12), for the residual offset that the instrumentation achieves after re-zeroing, and compare it with the lightest vehicle to be screened. Check</w:t>
      </w:r>
      <w:r>
        <w:t xml:space="preserve"> </w:t>
      </w:r>
      <m:oMath>
        <m:sSub>
          <m:e>
            <m:r>
              <m:t>t</m:t>
            </m:r>
          </m:e>
          <m:sub>
            <m:r>
              <m:rPr>
                <m:sty m:val="p"/>
              </m:rPr>
              <m:t>cr</m:t>
            </m:r>
          </m:sub>
        </m:sSub>
        <m:r>
          <m:rPr>
            <m:sty m:val="p"/>
          </m:rPr>
          <m:t>/</m:t>
        </m:r>
        <m:sSub>
          <m:e>
            <m:r>
              <m:t>T</m:t>
            </m:r>
          </m:e>
          <m:sub>
            <m:r>
              <m:t>1</m:t>
            </m:r>
          </m:sub>
        </m:sSub>
        <m:r>
          <m:rPr>
            <m:sty m:val="p"/>
          </m:rPr>
          <m:t>≥</m:t>
        </m:r>
        <m:r>
          <m:t>8</m:t>
        </m:r>
      </m:oMath>
      <w:r>
        <w:t xml:space="preserve"> </w:t>
      </w:r>
      <w:r>
        <w:t xml:space="preserve">with the measured fundamental frequency</w:t>
      </w:r>
      <w:r>
        <w:t xml:space="preserve"> </w:t>
      </w:r>
      <m:oMath>
        <m:sSub>
          <m:e>
            <m:r>
              <m:t>f</m:t>
            </m:r>
          </m:e>
          <m:sub>
            <m:r>
              <m:t>1</m:t>
            </m:r>
          </m:sub>
        </m:sSub>
        <m:r>
          <m:rPr>
            <m:sty m:val="p"/>
          </m:rPr>
          <m:t>=</m:t>
        </m:r>
        <m:r>
          <m:t>1</m:t>
        </m:r>
        <m:r>
          <m:rPr>
            <m:sty m:val="p"/>
          </m:rPr>
          <m:t>/</m:t>
        </m:r>
        <m:sSub>
          <m:e>
            <m:r>
              <m:t>T</m:t>
            </m:r>
          </m:e>
          <m:sub>
            <m:r>
              <m:t>1</m:t>
            </m:r>
          </m:sub>
        </m:sSub>
      </m:oMath>
      <w:r>
        <w:t xml:space="preserve">.</w:t>
      </w:r>
    </w:p>
    <w:p>
      <w:pPr>
        <w:numPr>
          <w:ilvl w:val="0"/>
          <w:numId w:val="1001"/>
        </w:numPr>
        <w:pStyle w:val="BodyText"/>
      </w:pPr>
      <w:r>
        <w:t xml:space="preserve">Processing. Integrate in space over the complete crossing, re-zero before and after each crossing, remove dynamics with a low-pass filter whose cut-off is well below the fundamental frequency</w:t>
      </w:r>
      <w:r>
        <w:t xml:space="preserve"> </w:t>
      </w:r>
      <m:oMath>
        <m:sSub>
          <m:e>
            <m:r>
              <m:t>f</m:t>
            </m:r>
          </m:e>
          <m:sub>
            <m:r>
              <m:t>1</m:t>
            </m:r>
          </m:sub>
        </m:sSub>
      </m:oMath>
      <w:r>
        <w:t xml:space="preserve"> </w:t>
      </w:r>
      <w:r>
        <w:t xml:space="preserve">and never with a high-pass filter, and discard overlapping crossings.</w:t>
      </w:r>
    </w:p>
    <w:p>
      <w:pPr>
        <w:pStyle w:val="FirstParagraph"/>
      </w:pPr>
      <w:r>
        <w:t xml:space="preserve">Influence-area weighing is a simplified alternative to influence-line BWIM, not a competitor. It returns the gross weight of a vehicle or group from one scalar constant per channel and one weighted sum. Its natural role is low-cost screening across many continuous structures, with influence-line BWIM or enforcement weighing for the vehicles it flags.</w:t>
      </w:r>
    </w:p>
    <w:bookmarkEnd w:id="80"/>
    <w:bookmarkStart w:id="81" w:name="Xb7946600a14cdf5bbcb26f838b39edad101b220"/>
    <w:p>
      <w:pPr>
        <w:pStyle w:val="Heading2"/>
      </w:pPr>
      <w:r>
        <w:t xml:space="preserve">S11. Scripts, console output and derived data</w:t>
      </w:r>
    </w:p>
    <w:p>
      <w:pPr>
        <w:pStyle w:val="FirstParagraph"/>
      </w:pPr>
      <w:r>
        <w:t xml:space="preserve">The archive</w:t>
      </w:r>
      <w:r>
        <w:t xml:space="preserve"> </w:t>
      </w:r>
      <w:r>
        <w:rPr>
          <w:rStyle w:val="VerbatimChar"/>
        </w:rPr>
        <w:t xml:space="preserve">scripts.zip</w:t>
      </w:r>
      <w:r>
        <w:t xml:space="preserve"> </w:t>
      </w:r>
      <w:r>
        <w:t xml:space="preserve">contains the analysis scripts and the console output of every run.</w:t>
      </w:r>
      <w:r>
        <w:t xml:space="preserve"> </w:t>
      </w:r>
      <w:r>
        <w:rPr>
          <w:rStyle w:val="VerbatimChar"/>
        </w:rPr>
        <w:t xml:space="preserve">README.md</w:t>
      </w:r>
      <w:r>
        <w:t xml:space="preserve"> </w:t>
      </w:r>
      <w:r>
        <w:t xml:space="preserve">in the archive maps every table and figure to a script and a log file, and</w:t>
      </w:r>
      <w:r>
        <w:t xml:space="preserve"> </w:t>
      </w:r>
      <w:r>
        <w:rPr>
          <w:rStyle w:val="VerbatimChar"/>
        </w:rPr>
        <w:t xml:space="preserve">ASE_numbering.md</w:t>
      </w:r>
      <w:r>
        <w:t xml:space="preserve"> </w:t>
      </w:r>
      <w:r>
        <w:t xml:space="preserve">converts the numbering of the README to that of the article and this document.</w:t>
      </w:r>
      <w:r>
        <w:t xml:space="preserve"> </w:t>
      </w:r>
      <w:r>
        <w:rPr>
          <w:rStyle w:val="VerbatimChar"/>
        </w:rPr>
        <w:t xml:space="preserve">run_all.sh --v4</w:t>
      </w:r>
      <w:r>
        <w:t xml:space="preserve"> </w:t>
      </w:r>
      <w:r>
        <w:t xml:space="preserve">reruns the closed forms and their FE verification, the multi-channel placement study and Monte Carlo simulation, the identifiability analysis of the in-service girder, the processing of the public field records and the laboratory evaluation. Every equation and numerical output was checked independently against an analytical, finite element or convergence-based route. The derived data behind every figure and table are provided as CSV files in the same archive. The raw field records are not redistributed; they are available from the NOR-BWIM dataset (https://doi.org/10.7294/26880898.v1).</w:t>
      </w:r>
    </w:p>
    <w:bookmarkEnd w:id="81"/>
    <w:sectPr>
      <w:footerReference r:id="rId9" w:type="default"/>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uppressLineNumbers/>
    </w:pP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pPr>
    <w:rPr>
      <w:rFonts w:ascii="Times New Roman" w:cs="Times New Roman" w:eastAsia="Times New Roman" w:hAnsi="Times New Roman"/>
      <w:sz w:val="24"/>
    </w:rPr>
  </w:style>
  <w:style w:styleId="BodyText" w:type="paragraph">
    <w:name w:val="Body Text"/>
    <w:basedOn w:val="Normal"/>
    <w:link w:val="BodyTextChar"/>
    <w:pPr>
      <w:widowControl/>
      <w:spacing w:after="120" w:before="180" w:line="360" w:lineRule="auto"/>
      <w:jc w:val="both"/>
    </w:pPr>
    <w:qFormat/>
    <w:rPr>
      <w:rFonts w:ascii="Times New Roman" w:cs="Times New Roman" w:eastAsia="Times New Roman" w:hAnsi="Times New Roman"/>
      <w:sz w:val="24"/>
    </w:rPr>
  </w:style>
  <w:style w:customStyle="1" w:styleId="FirstParagraph" w:type="paragraph">
    <w:name w:val="First Paragraph"/>
    <w:basedOn w:val="BodyText"/>
    <w:next w:val="BodyText"/>
    <w:qFormat/>
    <w:pPr>
      <w:widowControl/>
      <w:spacing w:after="120" w:line="360" w:lineRule="auto"/>
      <w:jc w:val="both"/>
    </w:pPr>
    <w:rPr>
      <w:rFonts w:ascii="Times New Roman" w:cs="Times New Roman" w:eastAsia="Times New Roman" w:hAnsi="Times New Roman"/>
      <w:sz w:val="24"/>
    </w:rPr>
  </w:style>
  <w:style w:customStyle="1" w:styleId="Compact" w:type="paragraph">
    <w:name w:val="Compact"/>
    <w:basedOn w:val="BodyText"/>
    <w:qFormat/>
    <w:pPr>
      <w:spacing w:after="36" w:before="36" w:line="240" w:lineRule="auto"/>
    </w:pPr>
    <w:rPr>
      <w:rFonts w:ascii="Times New Roman" w:cs="Times New Roman" w:eastAsia="Times New Roman" w:hAnsi="Times New Roman"/>
      <w:sz w:val="20"/>
    </w:rPr>
  </w:style>
  <w:style w:styleId="Title" w:type="paragraph">
    <w:name w:val="Title"/>
    <w:basedOn w:val="Normal"/>
    <w:next w:val="BodyText"/>
    <w:qFormat/>
    <w:pPr>
      <w:keepNext/>
      <w:keepLines/>
      <w:spacing w:after="240" w:before="480" w:line="360" w:lineRule="auto"/>
      <w:jc w:val="center"/>
    </w:pPr>
    <w:rPr>
      <w:rFonts w:ascii="Times New Roman" w:cs="Times New Roman" w:eastAsia="Times New Roman" w:hAnsi="Times New Roman"/>
      <w:b/>
      <w:bCs/>
      <w:i w:val="0"/>
      <w:color w:val="000000"/>
      <w:sz w:val="32"/>
      <w:szCs w:val="36"/>
    </w:rPr>
  </w:style>
  <w:style w:styleId="Subtitle" w:type="paragraph">
    <w:name w:val="Subtitle"/>
    <w:basedOn w:val="Title"/>
    <w:next w:val="BodyText"/>
    <w:qFormat/>
    <w:pPr>
      <w:keepNext/>
      <w:keepLines/>
      <w:spacing w:after="240" w:before="240"/>
      <w:jc w:val="center"/>
    </w:pPr>
    <w:rPr>
      <w:rFonts w:ascii="Times New Roman" w:cs="Times New Roman" w:eastAsia="Times New Roman" w:hAnsi="Times New Roman"/>
      <w:sz w:val="30"/>
      <w:szCs w:val="30"/>
    </w:rPr>
  </w:style>
  <w:style w:customStyle="1" w:styleId="Author" w:type="paragraph">
    <w:name w:val="Author"/>
    <w:next w:val="BodyText"/>
    <w:qFormat/>
    <w:pPr>
      <w:keepNext/>
      <w:keepLines/>
      <w:spacing w:line="360" w:lineRule="auto"/>
      <w:jc w:val="center"/>
    </w:pPr>
    <w:rPr>
      <w:rFonts w:ascii="Times New Roman" w:cs="Times New Roman" w:eastAsia="Times New Roman" w:hAnsi="Times New Roman"/>
      <w:sz w:val="24"/>
    </w:rPr>
  </w:style>
  <w:style w:styleId="Date" w:type="paragraph">
    <w:name w:val="Date"/>
    <w:next w:val="BodyText"/>
    <w:qFormat/>
    <w:pPr>
      <w:keepNext/>
      <w:keepLines/>
      <w:spacing w:line="360" w:lineRule="auto"/>
      <w:jc w:val="center"/>
    </w:pPr>
    <w:rPr>
      <w:rFonts w:ascii="Times New Roman" w:cs="Times New Roman" w:eastAsia="Times New Roman" w:hAnsi="Times New Roman"/>
      <w:sz w:val="24"/>
    </w:rPr>
  </w:style>
  <w:style w:customStyle="1" w:styleId="AbstractTitle" w:type="paragraph">
    <w:name w:val="Abstract Title"/>
    <w:basedOn w:val="Normal"/>
    <w:next w:val="Abstract"/>
    <w:qFormat/>
    <w:pPr>
      <w:keepNext/>
      <w:keepLines/>
      <w:jc w:val="center"/>
      <w:spacing w:after="0" w:before="300"/>
    </w:pPr>
    <w:rPr>
      <w:sz w:val="20"/>
      <w:szCs w:val="20"/>
      <w:rFonts w:ascii="Times New Roman" w:cs="Times New Roman" w:eastAsia="Times New Roman" w:hAnsi="Times New Roman"/>
      <w:b/>
      <w:color w:val="345A8A"/>
      &gt;
    </w:rPr>
  </w:style>
  <w:style w:customStyle="1" w:styleId="Abstract" w:type="paragraph">
    <w:name w:val="Abstract"/>
    <w:basedOn w:val="Normal"/>
    <w:next w:val="BodyText"/>
    <w:qFormat/>
    <w:pPr>
      <w:keepNext/>
      <w:keepLines/>
      <w:widowControl/>
      <w:spacing w:after="300" w:before="100" w:line="360" w:lineRule="auto"/>
      <w:jc w:val="both"/>
    </w:pPr>
    <w:rPr>
      <w:rFonts w:ascii="Times New Roman" w:cs="Times New Roman" w:eastAsia="Times New Roman" w:hAnsi="Times New Roman"/>
      <w:sz w:val="24"/>
      <w:szCs w:val="20"/>
    </w:rPr>
  </w:style>
  <w:style w:styleId="Bibliography" w:type="paragraph">
    <w:name w:val="Bibliography"/>
    <w:basedOn w:val="Normal"/>
    <w:next w:val="Bibliography"/>
    <w:qFormat/>
    <w:pPr>
      <w:widowControl/>
      <w:spacing w:line="360" w:lineRule="auto"/>
      <w:jc w:val="both"/>
    </w:pPr>
    <w:rPr>
      <w:rFonts w:ascii="Times New Roman" w:cs="Times New Roman" w:eastAsia="Times New Roman" w:hAnsi="Times New Roman"/>
      <w:sz w:val="24"/>
    </w:rPr>
  </w:style>
  <w:style w:styleId="Heading1" w:type="paragraph">
    <w:name w:val="Heading 1"/>
    <w:basedOn w:val="Normal"/>
    <w:next w:val="BodyText"/>
    <w:uiPriority w:val="9"/>
    <w:qFormat/>
    <w:pPr>
      <w:keepNext/>
      <w:keepLines/>
      <w:spacing w:after="0" w:before="480" w:line="360" w:lineRule="auto"/>
      <w:jc w:val="left"/>
      <w:outlineLvl w:val="0"/>
    </w:pPr>
    <w:rPr>
      <w:rFonts w:ascii="Times New Roman" w:cs="Times New Roman" w:eastAsia="Times New Roman" w:hAnsi="Times New Roman"/>
      <w:b/>
      <w:bCs/>
      <w:i w:val="0"/>
      <w:color w:val="000000"/>
      <w:sz w:val="28"/>
      <w:szCs w:val="32"/>
    </w:rPr>
  </w:style>
  <w:style w:styleId="Heading2" w:type="paragraph">
    <w:name w:val="Heading 2"/>
    <w:basedOn w:val="Normal"/>
    <w:next w:val="BodyText"/>
    <w:uiPriority w:val="9"/>
    <w:unhideWhenUsed/>
    <w:qFormat/>
    <w:pPr>
      <w:keepNext/>
      <w:keepLines/>
      <w:spacing w:after="0" w:before="200" w:line="360" w:lineRule="auto"/>
      <w:jc w:val="left"/>
      <w:outlineLvl w:val="1"/>
    </w:pPr>
    <w:rPr>
      <w:rFonts w:ascii="Times New Roman" w:cs="Times New Roman" w:eastAsia="Times New Roman" w:hAnsi="Times New Roman"/>
      <w:b/>
      <w:bCs/>
      <w:i w:val="0"/>
      <w:color w:val="000000"/>
      <w:sz w:val="24"/>
      <w:szCs w:val="28"/>
    </w:rPr>
  </w:style>
  <w:style w:styleId="Heading3" w:type="paragraph">
    <w:name w:val="Heading 3"/>
    <w:basedOn w:val="Normal"/>
    <w:next w:val="BodyText"/>
    <w:uiPriority w:val="9"/>
    <w:unhideWhenUsed/>
    <w:qFormat/>
    <w:pPr>
      <w:keepNext/>
      <w:keepLines/>
      <w:spacing w:after="0" w:before="200" w:line="360" w:lineRule="auto"/>
      <w:jc w:val="left"/>
      <w:outlineLvl w:val="2"/>
    </w:pPr>
    <w:rPr>
      <w:rFonts w:ascii="Times New Roman" w:cs="Times New Roman" w:eastAsia="Times New Roman" w:hAnsi="Times New Roman"/>
      <w:b/>
      <w:bCs/>
      <w:i/>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cs="Times New Roman" w:eastAsia="Times New Roman" w:hAnsi="Times New Roman"/>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cs="Times New Roman" w:eastAsia="Times New Roman" w:hAnsi="Times New Roman"/>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cs="Times New Roman" w:eastAsia="Times New Roman" w:hAnsi="Times New Roman"/>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cs="Times New Roman" w:eastAsia="Times New Roman" w:hAnsi="Times New Roman"/>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cs="Times New Roman" w:eastAsia="Times New Roman" w:hAnsi="Times New Roman"/>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cs="Times New Roman" w:eastAsia="Times New Roman" w:hAnsi="Times New Roman"/>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rPr>
  </w:style>
  <w:style w:styleId="FootnoteText" w:type="paragraph">
    <w:name w:val="Footnote Text"/>
    <w:basedOn w:val="Normal"/>
    <w:next w:val="FootnoteText"/>
    <w:uiPriority w:val="9"/>
    <w:unhideWhenUsed/>
    <w:qFormat/>
    <w:rPr>
      <w:rFonts w:ascii="Times New Roman" w:cs="Times New Roman" w:eastAsia="Times New Roman" w:hAnsi="Times New Roman"/>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cs="Times New Roman" w:eastAsia="Times New Roman" w:hAnsi="Times New Roman"/>
      <w:b/>
    </w:rPr>
  </w:style>
  <w:style w:customStyle="1" w:styleId="Definition" w:type="paragraph">
    <w:name w:val="Definition"/>
    <w:basedOn w:val="Normal"/>
    <w:rPr>
      <w:rFonts w:ascii="Times New Roman" w:cs="Times New Roman" w:eastAsia="Times New Roman" w:hAnsi="Times New Roman"/>
    </w:rPr>
  </w:style>
  <w:style w:styleId="Caption" w:type="paragraph">
    <w:name w:val="Caption"/>
    <w:basedOn w:val="Normal"/>
    <w:link w:val="BodyTextChar"/>
    <w:pPr>
      <w:spacing w:after="120" w:before="0"/>
    </w:pPr>
    <w:rPr>
      <w:rFonts w:ascii="Times New Roman" w:cs="Times New Roman" w:eastAsia="Times New Roman" w:hAnsi="Times New Roman"/>
      <w:i/>
    </w:rPr>
  </w:style>
  <w:style w:customStyle="1" w:styleId="TableCaption" w:type="paragraph">
    <w:name w:val="Table Caption"/>
    <w:basedOn w:val="Caption"/>
    <w:pPr>
      <w:keepNext/>
    </w:pPr>
    <w:rPr>
      <w:rFonts w:ascii="Times New Roman" w:cs="Times New Roman" w:eastAsia="Times New Roman" w:hAnsi="Times New Roman"/>
    </w:rPr>
  </w:style>
  <w:style w:customStyle="1" w:styleId="ImageCaption" w:type="paragraph">
    <w:name w:val="Image Caption"/>
    <w:basedOn w:val="Caption"/>
    <w:rPr>
      <w:rFonts w:ascii="Times New Roman" w:cs="Times New Roman" w:eastAsia="Times New Roman" w:hAnsi="Times New Roman"/>
    </w:rPr>
  </w:style>
  <w:style w:customStyle="1" w:styleId="Figure" w:type="paragraph">
    <w:name w:val="Figure"/>
    <w:basedOn w:val="Normal"/>
    <w:pPr>
      <w:keepNext/>
      <w:widowControl/>
      <w:spacing w:after="0" w:before="120" w:line="240" w:lineRule="auto"/>
      <w:jc w:val="center"/>
    </w:pPr>
    <w:rPr>
      <w:rFonts w:ascii="Times New Roman" w:cs="Times New Roman" w:eastAsia="Times New Roman" w:hAnsi="Times New Roman"/>
      <w:i w:val="0"/>
      <w:sz w:val="24"/>
    </w:rPr>
  </w:style>
  <w:style w:customStyle="1" w:styleId="CaptionedFigure" w:type="paragraph">
    <w:name w:val="Captioned Figure"/>
    <w:basedOn w:val="Figure"/>
    <w:pPr>
      <w:keepNext/>
    </w:pPr>
    <w:rPr>
      <w:rFonts w:ascii="Times New Roman" w:cs="Times New Roman" w:eastAsia="Times New Roman" w:hAnsi="Times New Roman"/>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themeColor="accent1" w:themeShade="BF" w:val="365F91"/>
    </w:rPr>
  </w:style>
  <w:style w:customStyle="1" w:styleId="Titleblock" w:type="paragraph">
    <w:name w:val="Title block"/>
    <w:basedOn w:val="Normal"/>
    <w:pPr>
      <w:keepNext w:val="0"/>
      <w:widowControl/>
      <w:spacing w:after="120" w:before="0" w:line="360" w:lineRule="auto"/>
      <w:jc w:val="center"/>
    </w:pPr>
    <w:rPr>
      <w:rFonts w:ascii="Times New Roman" w:hAnsi="Times New Roman"/>
      <w:i w:val="0"/>
      <w:sz w:val="24"/>
    </w:rPr>
  </w:style>
  <w:style w:customStyle="1" w:styleId="Captioncentred" w:type="paragraph">
    <w:name w:val="Caption centred"/>
    <w:basedOn w:val="Normal"/>
    <w:pPr>
      <w:keepNext w:val="0"/>
      <w:widowControl/>
      <w:spacing w:after="240" w:before="0" w:line="276" w:lineRule="auto"/>
      <w:jc w:val="center"/>
    </w:pPr>
    <w:rPr>
      <w:rFonts w:ascii="Times New Roman" w:hAnsi="Times New Roman"/>
      <w:i w:val="0"/>
      <w:sz w:val="22"/>
    </w:rPr>
  </w:style>
  <w:style w:customStyle="1" w:styleId="Captionjustified" w:type="paragraph">
    <w:name w:val="Caption justified"/>
    <w:basedOn w:val="Normal"/>
    <w:pPr>
      <w:keepNext w:val="0"/>
      <w:widowControl/>
      <w:spacing w:after="240" w:before="0" w:line="276" w:lineRule="auto"/>
      <w:jc w:val="both"/>
    </w:pPr>
    <w:rPr>
      <w:rFonts w:ascii="Times New Roman" w:hAnsi="Times New Roman"/>
      <w:i w:val="0"/>
      <w:sz w:val="22"/>
    </w:rPr>
  </w:style>
  <w:style w:customStyle="1" w:styleId="Figureplaceholder" w:type="paragraph">
    <w:name w:val="Figure placeholder"/>
    <w:basedOn w:val="Normal"/>
    <w:pPr>
      <w:jc w:val="center"/>
    </w:pPr>
    <w:rPr>
      <w:i/>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53" Type="http://schemas.openxmlformats.org/officeDocument/2006/relationships/image" Target="media/rId53.png"/><Relationship Id="rId50" Type="http://schemas.openxmlformats.org/officeDocument/2006/relationships/image" Target="media/rId50.png"/><Relationship Id="rId59" Type="http://schemas.openxmlformats.org/officeDocument/2006/relationships/image" Target="media/rId59.png"/><Relationship Id="rId62" Type="http://schemas.openxmlformats.org/officeDocument/2006/relationships/image" Target="media/rId62.png"/><Relationship Id="rId66" Type="http://schemas.openxmlformats.org/officeDocument/2006/relationships/image" Target="media/rId66.png"/><Relationship Id="rId69" Type="http://schemas.openxmlformats.org/officeDocument/2006/relationships/image" Target="media/rId69.png"/><Relationship Id="rId73" Type="http://schemas.openxmlformats.org/officeDocument/2006/relationships/image" Target="media/rId73.png"/><Relationship Id="rId76" Type="http://schemas.openxmlformats.org/officeDocument/2006/relationships/image" Target="media/rId76.png"/><Relationship Id="rId21" Type="http://schemas.openxmlformats.org/officeDocument/2006/relationships/image" Target="media/rId21.png"/><Relationship Id="rId24" Type="http://schemas.openxmlformats.org/officeDocument/2006/relationships/image" Target="media/rId24.png"/><Relationship Id="rId28" Type="http://schemas.openxmlformats.org/officeDocument/2006/relationships/image" Target="media/rId28.png"/><Relationship Id="rId32" Type="http://schemas.openxmlformats.org/officeDocument/2006/relationships/image" Target="media/rId32.png"/><Relationship Id="rId35" Type="http://schemas.openxmlformats.org/officeDocument/2006/relationships/image" Target="media/rId35.png"/><Relationship Id="rId38" Type="http://schemas.openxmlformats.org/officeDocument/2006/relationships/image" Target="media/rId38.png"/><Relationship Id="rId42" Type="http://schemas.openxmlformats.org/officeDocument/2006/relationships/image" Target="media/rId42.png"/><Relationship Id="rId46" Type="http://schemas.openxmlformats.org/officeDocument/2006/relationships/image" Target="media/rId46.png"/><Relationship Id="rId56" Type="http://schemas.openxmlformats.org/officeDocument/2006/relationships/image" Target="media/rId5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2026-10-19T16:00:45Z</dcterms:created>
  <dcterms:modified xsi:type="dcterms:W3CDTF">2026-10-19T16:00:45Z</dcterms:modified>
</cp:coreProperties>
</file>

<file path=docProps/custom.xml><?xml version="1.0" encoding="utf-8"?>
<Properties xmlns="http://schemas.openxmlformats.org/officeDocument/2006/custom-properties" xmlns:vt="http://schemas.openxmlformats.org/officeDocument/2006/docPropsVTypes"/>
</file>