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They build on the influence-area identity: the area under a record equals the load times the channel’s response to a uniform unit load, the integral constant. Closed forms give the blind loci of four channel types (deflection, strain, rotation,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centre-span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t>s</m:t>
                  </m:r>
                </m:sub>
              </m:sSub>
              <m:r>
                <m:rPr>
                  <m:sty m:val="p"/>
                </m:rPr>
                <m:t>/</m:t>
              </m:r>
              <m:r>
                <m:t>E</m:t>
              </m:r>
              <m:sSub>
                <m:e>
                  <m:r>
                    <m:t>I</m:t>
                  </m:r>
                </m:e>
                <m:sub>
                  <m:r>
                    <m:t>s</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centre-to-side span ratio</w:t>
            </w:r>
            <w:r>
              <w:t xml:space="preserve"> </w:t>
            </w:r>
            <m:oMath>
              <m:sSub>
                <m:e>
                  <m:r>
                    <m:t>L</m:t>
                  </m:r>
                </m:e>
                <m:sub>
                  <m:r>
                    <m:t>c</m:t>
                  </m:r>
                </m:sub>
              </m:sSub>
              <m:r>
                <m:rPr>
                  <m:sty m:val="p"/>
                </m:rPr>
                <m:t>/</m:t>
              </m:r>
              <m:sSub>
                <m:e>
                  <m:r>
                    <m:t>L</m:t>
                  </m:r>
                </m:e>
                <m:sub>
                  <m:r>
                    <m:t>s</m:t>
                  </m:r>
                </m:sub>
              </m:sSub>
            </m:oMath>
            <w:r>
              <w:t xml:space="preserve"> </w:t>
            </w:r>
            <w:r>
              <w:t xml:space="preserve">(three spans;</w:t>
            </w:r>
            <w:r>
              <w:t xml:space="preserve"> </w:t>
            </w:r>
            <m:oMath>
              <m:r>
                <m:t>c</m:t>
              </m:r>
            </m:oMath>
            <w:r>
              <w:t xml:space="preserve"> </w:t>
            </w:r>
            <w:r>
              <w:t xml:space="preserve">= centre or main span,</w:t>
            </w:r>
            <w:r>
              <w:t xml:space="preserve"> </w:t>
            </w:r>
            <m:oMath>
              <m:r>
                <m:t>s</m:t>
              </m:r>
            </m:oMath>
            <w:r>
              <w:t xml:space="preserve"> </w:t>
            </w:r>
            <w:r>
              <w:t xml:space="preserve">= side span)</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t>c</m:t>
                  </m:r>
                </m:sub>
              </m:sSub>
              <m:r>
                <m:rPr>
                  <m:sty m:val="p"/>
                </m:rPr>
                <m:t>/</m:t>
              </m:r>
              <m:r>
                <m:t>E</m:t>
              </m:r>
              <m:sSub>
                <m:e>
                  <m:r>
                    <m:t>I</m:t>
                  </m:r>
                </m:e>
                <m:sub>
                  <m:r>
                    <m:t>s</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Optimal sensor placement for BWIM has been posed through an augmented Kalman filter [44], deflection-based load identification as a regularised stochastic problem [45,46], and measured deflection influence lines have been inverted for the stiffness of continuous girders [47].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catch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stiffness,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indicator under boundary uncertainty, in which the constant depends on pier stiffness only through the scaled pier stiffness</w:t>
      </w:r>
      <w:r>
        <w:t xml:space="preserve"> </w:t>
      </w:r>
      <m:oMath>
        <m:r>
          <m:t>κ</m:t>
        </m:r>
        <m:r>
          <m:rPr>
            <m:sty m:val="p"/>
          </m:rPr>
          <m:t>=</m:t>
        </m:r>
        <m:r>
          <m:t>k</m:t>
        </m:r>
        <m:r>
          <m:rPr>
            <m:sty m:val="p"/>
          </m:rPr>
          <m:t>/</m:t>
        </m:r>
        <m:r>
          <m:t>α</m:t>
        </m:r>
      </m:oMath>
      <w:r>
        <w:t xml:space="preserve"> </w:t>
      </w:r>
      <w:r>
        <w:t xml:space="preserve">and a linear-fractional (Möbius) law, and which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 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a</m:t>
            </m:r>
          </m:e>
          <m:sub>
            <m:r>
              <m:t>i</m:t>
            </m:r>
          </m:sub>
        </m:sSub>
      </m:oMath>
      <w:r>
        <w:t xml:space="preserve"> </w:t>
      </w:r>
      <w:r>
        <w:t xml:space="preserve">(</w:t>
      </w:r>
      <m:oMath>
        <m:sSub>
          <m:e>
            <m:r>
              <m:t>a</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a</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a</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a</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4.4).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4.4).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t>c</m:t>
            </m:r>
          </m:sub>
        </m:sSub>
        <m:r>
          <m:rPr>
            <m:sty m:val="p"/>
          </m:rPr>
          <m:t>/</m:t>
        </m:r>
        <m:sSub>
          <m:e>
            <m:r>
              <m:t>L</m:t>
            </m:r>
          </m:e>
          <m:sub>
            <m:r>
              <m:t>s</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t>c</m:t>
            </m:r>
          </m:sub>
        </m:sSub>
        <m:r>
          <m:rPr>
            <m:sty m:val="p"/>
          </m:rPr>
          <m:t>/</m:t>
        </m:r>
        <m:r>
          <m:t>E</m:t>
        </m:r>
        <m:sSub>
          <m:e>
            <m:r>
              <m:t>I</m:t>
            </m:r>
          </m:e>
          <m:sub>
            <m:r>
              <m:t>s</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references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It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t>s</m:t>
                        </m:r>
                      </m:sub>
                    </m:sSub>
                  </m:num>
                  <m:den>
                    <m:r>
                      <m:t>E</m:t>
                    </m:r>
                    <m:sSub>
                      <m:e>
                        <m:r>
                          <m:t>I</m:t>
                        </m:r>
                      </m:e>
                      <m:sub>
                        <m:r>
                          <m:t>s</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were suspended at 250 mm steps along the traverse.</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5"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every channel with 95 % confidence intervals (CIs), tests equivalence instead of stating agreement, and compares single- and multi-channel estimators out of sample.</w:t>
      </w:r>
    </w:p>
    <w:bookmarkStart w:id="30" w:name="data-and-reference-weights"/>
    <w:p>
      <w:pPr>
        <w:pStyle w:val="Heading3"/>
      </w:pPr>
      <w:r>
        <w:t xml:space="preserve">4.1. Data and reference weights</w:t>
      </w:r>
    </w:p>
    <w:p>
      <w:pPr>
        <w:pStyle w:val="FirstParagraph"/>
      </w:pPr>
      <w:r>
        <w:t xml:space="preserve">The Nothing-on-Road BWIM (NOR-BWIM) dataset [48] (CC0 licence) contains strain records of the Virginia Smart Road Bridge, documented in [41–43,49]. The bridge is a post-tensioned concrete box girder continuous over five spans of 86.5 + 3 × 144 + 86.5 m = 605 m. Its depth is about 3.8 m at mid-span and 9.5 m at the piers. Strain transducers on the soffit of the top slab lie near mid-span of span 2, 158.5 m from the first abutment, in longitudinal stations about 2 m apart under the wheel path.</w:t>
      </w:r>
    </w:p>
    <w:p>
      <w:pPr>
        <w:pStyle w:val="BodyText"/>
      </w:pPr>
      <w:r>
        <w:t xml:space="preserve">Day 1 has 12 channels at 100 Hz,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in-line channels at 200 Hz, which keep the dataset’s labels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their gross weights were reported by the drivers for each pass (21.2–22.8 t for the runs used) [49]. On day 2, a 3-axle truck of 26.8 t and a 5-axle truck of 25.9 t were weighed on a static scale [49]. They ran in the instrumented lane (lane A), on the return trip in the other lane (lane B), and in two in-line two-truck runs.</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Speeds were obtained from the axle spikes and the measured wheelbase; they agree with the speeds computed by the dataset authors’ processing script within 1–2 %. For each crossing a linear baseline was fitted to vehicle-free segments before and after the event. The strain was integrated over the whole time the truck was on the bridge plus 5 s at each end, and the result was converted to</w:t>
      </w:r>
      <w:r>
        <w:t xml:space="preserve"> </w:t>
      </w:r>
      <m:oMath>
        <m:r>
          <m:rPr>
            <m:sty m:val="p"/>
          </m:rPr>
          <m:t>∫</m:t>
        </m:r>
        <m:r>
          <m:t>ε</m:t>
        </m:r>
        <m:r>
          <m:t> </m:t>
        </m:r>
        <m:r>
          <m:rPr>
            <m:sty m:val="p"/>
          </m:rPr>
          <m:t>d</m:t>
        </m:r>
        <m:r>
          <m:t>x</m:t>
        </m:r>
      </m:oMath>
      <w:r>
        <w:t xml:space="preserve"> </w:t>
      </w:r>
      <w:r>
        <w:t xml:space="preserve">with the speed measured at the gauges. Three day-1 runs with two trucks on the bridge and four passes without documented weights were excluded; the same runs are used throughout. The noise of the integral was measured from vehicle-free windows of crossing length, at least 70 s from any detected vehicle. Fig. 5 shows three crossings.</w:t>
      </w:r>
    </w:p>
    <w:bookmarkEnd w:id="30"/>
    <w:bookmarkStart w:id="31" w:name="invariance-of-the-constant-and-speed"/>
    <w:p>
      <w:pPr>
        <w:pStyle w:val="Heading3"/>
      </w:pPr>
      <w:r>
        <w:t xml:space="preserve">4.2. Invariance of the constant and speed</w:t>
      </w:r>
    </w:p>
    <w:p>
      <w:pPr>
        <w:pStyle w:val="FirstParagraph"/>
      </w:pPr>
      <w:r>
        <w:t xml:space="preserve">The constant is stable within the noise for most gauges, but invariance between trucks can be shown only within wide margins. On day 1, eight of the twelve gauges have a coefficient of variation of 5.8–13.5 %, and the χ² test accepts consistency with the noise (Table 3). The full table, with every channel and every average, is in the Supplementary Material.</w:t>
      </w:r>
    </w:p>
    <w:p>
      <w:pPr>
        <w:pStyle w:val="BodyText"/>
      </w:pPr>
      <w:r>
        <w:t xml:space="preserve">The four gauges without axle spikes fail the invariance test. Their crossing residuals are much larger than the vehicle-free noise (Table 3), and their constant is 22–26 % lower for the second truck, with 95 % CIs of the ratio that exclude 1 (Table 4, Fig. 6a).</w:t>
      </w:r>
    </w:p>
    <w:p>
      <w:pPr>
        <w:pStyle w:val="BodyText"/>
      </w:pPr>
      <w:r>
        <w:rPr>
          <w:bCs/>
          <w:b/>
        </w:rPr>
        <w:t xml:space="preserve">Table 3.</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left"/>
            </w:pPr>
            <w:r>
              <w:t xml:space="preserve">Runs</w:t>
            </w:r>
          </w:p>
        </w:tc>
        <w:tc>
          <w:tcPr>
            <w:tcW w:type="dxa" w:w="1755"/>
            <w:tcBorders>
              <w:top w:val="nil"/>
              <w:left w:val="nil"/>
              <w:bottom w:val="single" w:sz="6" w:space="0" w:color="000000"/>
              <w:right w:val="nil"/>
            </w:tcBorders>
          </w:tcPr>
          <w:p>
            <w:pPr>
              <w:pStyle w:val="Compact"/>
              <w:jc w:val="lef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left"/>
            </w:pPr>
            <w:r>
              <w:t xml:space="preserve">CV observed (%)</w:t>
            </w:r>
          </w:p>
        </w:tc>
        <w:tc>
          <w:tcPr>
            <w:tcW w:type="dxa" w:w="1389"/>
            <w:tcBorders>
              <w:top w:val="nil"/>
              <w:left w:val="nil"/>
              <w:bottom w:val="single" w:sz="6" w:space="0" w:color="000000"/>
              <w:right w:val="nil"/>
            </w:tcBorders>
          </w:tcPr>
          <w:p>
            <w:pPr>
              <w:pStyle w:val="Compact"/>
              <w:jc w:val="left"/>
            </w:pPr>
            <w:r>
              <w:t xml:space="preserve">CV expected (%)</w:t>
            </w:r>
          </w:p>
        </w:tc>
        <w:tc>
          <w:tcPr>
            <w:tcW w:type="dxa" w:w="950"/>
            <w:tcBorders>
              <w:top w:val="nil"/>
              <w:left w:val="nil"/>
              <w:bottom w:val="single" w:sz="6" w:space="0" w:color="000000"/>
              <w:right w:val="nil"/>
            </w:tcBorders>
          </w:tcPr>
          <w:p>
            <w:pPr>
              <w:pStyle w:val="Compact"/>
              <w:jc w:val="left"/>
            </w:pPr>
            <w:r>
              <w:t xml:space="preserve">χ² p</w:t>
            </w:r>
          </w:p>
        </w:tc>
      </w:tr>
      <w:tr>
        <w:tc>
          <w:tcPr>
            <w:tcW w:type="dxa" w:w="2633"/>
          </w:tcPr>
          <w:p>
            <w:pPr>
              <w:pStyle w:val="Compact"/>
              <w:jc w:val="left"/>
            </w:pPr>
            <w:r>
              <w:t xml:space="preserve">1, ch11 (best)</w:t>
            </w:r>
          </w:p>
        </w:tc>
        <w:tc>
          <w:tcPr>
            <w:tcW w:type="dxa" w:w="804"/>
          </w:tcPr>
          <w:p>
            <w:pPr>
              <w:pStyle w:val="Compact"/>
              <w:jc w:val="left"/>
            </w:pPr>
            <w:r>
              <w:t xml:space="preserve">7</w:t>
            </w:r>
          </w:p>
        </w:tc>
        <w:tc>
          <w:tcPr>
            <w:tcW w:type="dxa" w:w="1755"/>
          </w:tcPr>
          <w:p>
            <w:pPr>
              <w:pStyle w:val="Compact"/>
              <w:jc w:val="left"/>
            </w:pPr>
            <w:r>
              <w:t xml:space="preserve">−5.85 (−6.17, −5.53)</w:t>
            </w:r>
          </w:p>
        </w:tc>
        <w:tc>
          <w:tcPr>
            <w:tcW w:type="dxa" w:w="1536"/>
          </w:tcPr>
          <w:p>
            <w:pPr>
              <w:pStyle w:val="Compact"/>
              <w:jc w:val="left"/>
            </w:pPr>
            <w:r>
              <w:t xml:space="preserve">5.8</w:t>
            </w:r>
          </w:p>
        </w:tc>
        <w:tc>
          <w:tcPr>
            <w:tcW w:type="dxa" w:w="1389"/>
          </w:tcPr>
          <w:p>
            <w:pPr>
              <w:pStyle w:val="Compact"/>
              <w:jc w:val="left"/>
            </w:pPr>
            <w:r>
              <w:t xml:space="preserve">6.8</w:t>
            </w:r>
          </w:p>
        </w:tc>
        <w:tc>
          <w:tcPr>
            <w:tcW w:type="dxa" w:w="950"/>
          </w:tcPr>
          <w:p>
            <w:pPr>
              <w:pStyle w:val="Compact"/>
              <w:jc w:val="left"/>
            </w:pPr>
            <w:r>
              <w:t xml:space="preserve">0.60</w:t>
            </w:r>
          </w:p>
        </w:tc>
      </w:tr>
      <w:tr>
        <w:tc>
          <w:tcPr>
            <w:tcW w:type="dxa" w:w="2633"/>
          </w:tcPr>
          <w:p>
            <w:pPr>
              <w:pStyle w:val="Compact"/>
              <w:jc w:val="left"/>
            </w:pPr>
            <w:r>
              <w:t xml:space="preserve">1, gauge average (4 wheel-path gauges)</w:t>
            </w:r>
          </w:p>
        </w:tc>
        <w:tc>
          <w:tcPr>
            <w:tcW w:type="dxa" w:w="804"/>
          </w:tcPr>
          <w:p>
            <w:pPr>
              <w:pStyle w:val="Compact"/>
              <w:jc w:val="left"/>
            </w:pPr>
            <w:r>
              <w:t xml:space="preserve">7</w:t>
            </w:r>
          </w:p>
        </w:tc>
        <w:tc>
          <w:tcPr>
            <w:tcW w:type="dxa" w:w="1755"/>
          </w:tcPr>
          <w:p>
            <w:pPr>
              <w:pStyle w:val="Compact"/>
              <w:jc w:val="left"/>
            </w:pPr>
            <w:r>
              <w:t xml:space="preserve">−4.03 (−4.24, −3.82)</w:t>
            </w:r>
          </w:p>
        </w:tc>
        <w:tc>
          <w:tcPr>
            <w:tcW w:type="dxa" w:w="1536"/>
          </w:tcPr>
          <w:p>
            <w:pPr>
              <w:pStyle w:val="Compact"/>
              <w:jc w:val="left"/>
            </w:pPr>
            <w:r>
              <w:t xml:space="preserve">5.6</w:t>
            </w:r>
          </w:p>
        </w:tc>
        <w:tc>
          <w:tcPr>
            <w:tcW w:type="dxa" w:w="1389"/>
          </w:tcPr>
          <w:p>
            <w:pPr>
              <w:pStyle w:val="Compact"/>
              <w:jc w:val="left"/>
            </w:pPr>
            <w:r>
              <w:t xml:space="preserve">6.1</w:t>
            </w:r>
          </w:p>
        </w:tc>
        <w:tc>
          <w:tcPr>
            <w:tcW w:type="dxa" w:w="950"/>
          </w:tcPr>
          <w:p>
            <w:pPr>
              <w:pStyle w:val="Compact"/>
              <w:jc w:val="left"/>
            </w:pPr>
            <w:r>
              <w:t xml:space="preserve">0.53</w:t>
            </w:r>
          </w:p>
        </w:tc>
      </w:tr>
      <w:tr>
        <w:tc>
          <w:tcPr>
            <w:tcW w:type="dxa" w:w="2633"/>
          </w:tcPr>
          <w:p>
            <w:pPr>
              <w:pStyle w:val="Compact"/>
              <w:jc w:val="left"/>
            </w:pPr>
            <w:r>
              <w:t xml:space="preserve">1, ch1, ch2, ch8, ch9</w:t>
            </w:r>
          </w:p>
        </w:tc>
        <w:tc>
          <w:tcPr>
            <w:tcW w:type="dxa" w:w="804"/>
          </w:tcPr>
          <w:p>
            <w:pPr>
              <w:pStyle w:val="Compact"/>
              <w:jc w:val="left"/>
            </w:pPr>
            <w:r>
              <w:t xml:space="preserve">7</w:t>
            </w:r>
          </w:p>
        </w:tc>
        <w:tc>
          <w:tcPr>
            <w:tcW w:type="dxa" w:w="1755"/>
          </w:tcPr>
          <w:p>
            <w:pPr>
              <w:pStyle w:val="Compact"/>
              <w:jc w:val="left"/>
            </w:pPr>
            <w:r>
              <w:t xml:space="preserve">−1.49 to −2.38</w:t>
            </w:r>
          </w:p>
        </w:tc>
        <w:tc>
          <w:tcPr>
            <w:tcW w:type="dxa" w:w="1536"/>
          </w:tcPr>
          <w:p>
            <w:pPr>
              <w:pStyle w:val="Compact"/>
              <w:jc w:val="left"/>
            </w:pPr>
            <w:r>
              <w:t xml:space="preserve">17.2–19.1</w:t>
            </w:r>
          </w:p>
        </w:tc>
        <w:tc>
          <w:tcPr>
            <w:tcW w:type="dxa" w:w="1389"/>
          </w:tcPr>
          <w:p>
            <w:pPr>
              <w:pStyle w:val="Compact"/>
              <w:jc w:val="left"/>
            </w:pPr>
            <w:r>
              <w:t xml:space="preserve">7.8–11.0</w:t>
            </w:r>
          </w:p>
        </w:tc>
        <w:tc>
          <w:tcPr>
            <w:tcW w:type="dxa" w:w="950"/>
          </w:tcPr>
          <w:p>
            <w:pPr>
              <w:pStyle w:val="Compact"/>
              <w:jc w:val="left"/>
            </w:pPr>
            <w:r>
              <w:t xml:space="preserve">≤ 0.012</w:t>
            </w:r>
          </w:p>
        </w:tc>
      </w:tr>
      <w:tr>
        <w:tc>
          <w:tcPr>
            <w:tcW w:type="dxa" w:w="2633"/>
          </w:tcPr>
          <w:p>
            <w:pPr>
              <w:pStyle w:val="Compact"/>
              <w:jc w:val="left"/>
            </w:pPr>
            <w:r>
              <w:t xml:space="preserve">2, st36</w:t>
            </w:r>
          </w:p>
        </w:tc>
        <w:tc>
          <w:tcPr>
            <w:tcW w:type="dxa" w:w="804"/>
          </w:tcPr>
          <w:p>
            <w:pPr>
              <w:pStyle w:val="Compact"/>
              <w:jc w:val="left"/>
            </w:pPr>
            <w:r>
              <w:t xml:space="preserve">8</w:t>
            </w:r>
          </w:p>
        </w:tc>
        <w:tc>
          <w:tcPr>
            <w:tcW w:type="dxa" w:w="1755"/>
          </w:tcPr>
          <w:p>
            <w:pPr>
              <w:pStyle w:val="Compact"/>
              <w:jc w:val="left"/>
            </w:pPr>
            <w:r>
              <w:t xml:space="preserve">−5.97 (−6.57, −5.38)</w:t>
            </w:r>
          </w:p>
        </w:tc>
        <w:tc>
          <w:tcPr>
            <w:tcW w:type="dxa" w:w="1536"/>
          </w:tcPr>
          <w:p>
            <w:pPr>
              <w:pStyle w:val="Compact"/>
              <w:jc w:val="left"/>
            </w:pPr>
            <w:r>
              <w:t xml:space="preserve">12.0</w:t>
            </w:r>
          </w:p>
        </w:tc>
        <w:tc>
          <w:tcPr>
            <w:tcW w:type="dxa" w:w="1389"/>
          </w:tcPr>
          <w:p>
            <w:pPr>
              <w:pStyle w:val="Compact"/>
              <w:jc w:val="left"/>
            </w:pPr>
            <w:r>
              <w:t xml:space="preserve">16.5</w:t>
            </w:r>
          </w:p>
        </w:tc>
        <w:tc>
          <w:tcPr>
            <w:tcW w:type="dxa" w:w="950"/>
          </w:tcPr>
          <w:p>
            <w:pPr>
              <w:pStyle w:val="Compact"/>
              <w:jc w:val="left"/>
            </w:pPr>
            <w:r>
              <w:t xml:space="preserve">0.73</w:t>
            </w:r>
          </w:p>
        </w:tc>
      </w:tr>
      <w:tr>
        <w:tc>
          <w:tcPr>
            <w:tcW w:type="dxa" w:w="2633"/>
          </w:tcPr>
          <w:p>
            <w:pPr>
              <w:pStyle w:val="Compact"/>
              <w:jc w:val="left"/>
            </w:pPr>
            <w:r>
              <w:t xml:space="preserve">2, gauge average (4 gauges)</w:t>
            </w:r>
          </w:p>
        </w:tc>
        <w:tc>
          <w:tcPr>
            <w:tcW w:type="dxa" w:w="804"/>
          </w:tcPr>
          <w:p>
            <w:pPr>
              <w:pStyle w:val="Compact"/>
              <w:jc w:val="left"/>
            </w:pPr>
            <w:r>
              <w:t xml:space="preserve">8</w:t>
            </w:r>
          </w:p>
        </w:tc>
        <w:tc>
          <w:tcPr>
            <w:tcW w:type="dxa" w:w="1755"/>
          </w:tcPr>
          <w:p>
            <w:pPr>
              <w:pStyle w:val="Compact"/>
              <w:jc w:val="left"/>
            </w:pPr>
            <w:r>
              <w:t xml:space="preserve">−4.12 (−4.62, −3.63)</w:t>
            </w:r>
          </w:p>
        </w:tc>
        <w:tc>
          <w:tcPr>
            <w:tcW w:type="dxa" w:w="1536"/>
          </w:tcPr>
          <w:p>
            <w:pPr>
              <w:pStyle w:val="Compact"/>
              <w:jc w:val="left"/>
            </w:pPr>
            <w:r>
              <w:t xml:space="preserve">14.4</w:t>
            </w:r>
          </w:p>
        </w:tc>
        <w:tc>
          <w:tcPr>
            <w:tcW w:type="dxa" w:w="1389"/>
          </w:tcPr>
          <w:p>
            <w:pPr>
              <w:pStyle w:val="Compact"/>
              <w:jc w:val="left"/>
            </w:pPr>
            <w:r>
              <w:t xml:space="preserve">20.2</w:t>
            </w:r>
          </w:p>
        </w:tc>
        <w:tc>
          <w:tcPr>
            <w:tcW w:type="dxa" w:w="950"/>
          </w:tcPr>
          <w:p>
            <w:pPr>
              <w:pStyle w:val="Compact"/>
              <w:jc w:val="left"/>
            </w:pPr>
            <w:r>
              <w:t xml:space="preserve">0.79</w:t>
            </w:r>
          </w:p>
        </w:tc>
      </w:tr>
      <w:tr>
        <w:tc>
          <w:tcPr>
            <w:tcW w:type="dxa" w:w="2633"/>
          </w:tcPr>
          <w:p>
            <w:pPr>
              <w:pStyle w:val="Compact"/>
              <w:jc w:val="left"/>
            </w:pPr>
            <w:r>
              <w:t xml:space="preserve">2, lane B, average</w:t>
            </w:r>
          </w:p>
        </w:tc>
        <w:tc>
          <w:tcPr>
            <w:tcW w:type="dxa" w:w="804"/>
          </w:tcPr>
          <w:p>
            <w:pPr>
              <w:pStyle w:val="Compact"/>
              <w:jc w:val="left"/>
            </w:pPr>
            <w:r>
              <w:t xml:space="preserve">8</w:t>
            </w:r>
          </w:p>
        </w:tc>
        <w:tc>
          <w:tcPr>
            <w:tcW w:type="dxa" w:w="1755"/>
          </w:tcPr>
          <w:p>
            <w:pPr>
              <w:pStyle w:val="Compact"/>
              <w:jc w:val="left"/>
            </w:pPr>
            <w:r>
              <w:t xml:space="preserve">−3.27 (−4.19, −2.35)</w:t>
            </w:r>
          </w:p>
        </w:tc>
        <w:tc>
          <w:tcPr>
            <w:tcW w:type="dxa" w:w="1536"/>
          </w:tcPr>
          <w:p>
            <w:pPr>
              <w:pStyle w:val="Compact"/>
              <w:jc w:val="left"/>
            </w:pPr>
            <w:r>
              <w:t xml:space="preserve">33.7</w:t>
            </w:r>
          </w:p>
        </w:tc>
        <w:tc>
          <w:tcPr>
            <w:tcW w:type="dxa" w:w="1389"/>
          </w:tcPr>
          <w:p>
            <w:pPr>
              <w:pStyle w:val="Compact"/>
              <w:jc w:val="left"/>
            </w:pPr>
            <w:r>
              <w:t xml:space="preserve">23.2</w:t>
            </w:r>
          </w:p>
        </w:tc>
        <w:tc>
          <w:tcPr>
            <w:tcW w:type="dxa" w:w="950"/>
          </w:tcPr>
          <w:p>
            <w:pPr>
              <w:pStyle w:val="Compact"/>
              <w:jc w:val="left"/>
            </w:pPr>
            <w:r>
              <w:t xml:space="preserve">0.027</w:t>
            </w:r>
          </w:p>
        </w:tc>
      </w:tr>
    </w:tbl>
    <w:p>
      <w:pPr>
        <w:pStyle w:val="BodyText"/>
      </w:pPr>
      <w:r>
        <w:t xml:space="preserve">On day 1 only one gauge, ch11, shows that the two trucks give the same constant within ±10 %. For the average of the four wheel-path gauges the smallest margin that can be shown is ±11.8 % (Table 4).</w:t>
      </w:r>
    </w:p>
    <w:p>
      <w:pPr>
        <w:pStyle w:val="BodyText"/>
      </w:pPr>
      <w:r>
        <w:rPr>
          <w:bCs/>
          <w:b/>
        </w:rPr>
        <w:t xml:space="preserve">Table 4.</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lef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c>
          <w:tcPr>
            <w:tcW w:type="dxa" w:w="3232"/>
          </w:tcPr>
          <w:p>
            <w:pPr>
              <w:pStyle w:val="Compact"/>
              <w:jc w:val="left"/>
            </w:pPr>
            <w:r>
              <w:t xml:space="preserve">1, ch11 (best)</w:t>
            </w:r>
          </w:p>
        </w:tc>
        <w:tc>
          <w:tcPr>
            <w:tcW w:type="dxa" w:w="2604"/>
          </w:tcPr>
          <w:p>
            <w:pPr>
              <w:pStyle w:val="Compact"/>
              <w:jc w:val="left"/>
            </w:pPr>
            <w:r>
              <w:t xml:space="preserve">0.996 (0.874–1.136)</w:t>
            </w:r>
          </w:p>
        </w:tc>
        <w:tc>
          <w:tcPr>
            <w:tcW w:type="dxa" w:w="3232"/>
          </w:tcPr>
          <w:p>
            <w:pPr>
              <w:pStyle w:val="Compact"/>
              <w:jc w:val="left"/>
            </w:pPr>
            <w:r>
              <w:t xml:space="preserve">shown within ±10 %</w:t>
            </w:r>
          </w:p>
        </w:tc>
      </w:tr>
      <w:tr>
        <w:tc>
          <w:tcPr>
            <w:tcW w:type="dxa" w:w="3232"/>
          </w:tcPr>
          <w:p>
            <w:pPr>
              <w:pStyle w:val="Compact"/>
              <w:jc w:val="left"/>
            </w:pPr>
            <w:r>
              <w:t xml:space="preserve">1, gauge average (4 wheel-path gauges)</w:t>
            </w:r>
          </w:p>
        </w:tc>
        <w:tc>
          <w:tcPr>
            <w:tcW w:type="dxa" w:w="2604"/>
          </w:tcPr>
          <w:p>
            <w:pPr>
              <w:pStyle w:val="Compact"/>
              <w:jc w:val="left"/>
            </w:pPr>
            <w:r>
              <w:t xml:space="preserve">0.955 (0.863–1.057)</w:t>
            </w:r>
          </w:p>
        </w:tc>
        <w:tc>
          <w:tcPr>
            <w:tcW w:type="dxa" w:w="3232"/>
          </w:tcPr>
          <w:p>
            <w:pPr>
              <w:pStyle w:val="Compact"/>
              <w:jc w:val="left"/>
            </w:pPr>
            <w:r>
              <w:t xml:space="preserve">shown only within ±11.8 %</w:t>
            </w:r>
          </w:p>
        </w:tc>
      </w:tr>
      <w:tr>
        <w:tc>
          <w:tcPr>
            <w:tcW w:type="dxa" w:w="3232"/>
          </w:tcPr>
          <w:p>
            <w:pPr>
              <w:pStyle w:val="Compact"/>
              <w:jc w:val="left"/>
            </w:pPr>
            <w:r>
              <w:t xml:space="preserve">1, ch1, ch2, ch8, ch9</w:t>
            </w:r>
          </w:p>
        </w:tc>
        <w:tc>
          <w:tcPr>
            <w:tcW w:type="dxa" w:w="2604"/>
          </w:tcPr>
          <w:p>
            <w:pPr>
              <w:pStyle w:val="Compact"/>
              <w:jc w:val="left"/>
            </w:pPr>
            <w:r>
              <w:t xml:space="preserve">0.740–0.783</w:t>
            </w:r>
          </w:p>
        </w:tc>
        <w:tc>
          <w:tcPr>
            <w:tcW w:type="dxa" w:w="3232"/>
          </w:tcPr>
          <w:p>
            <w:pPr>
              <w:pStyle w:val="Compact"/>
              <w:jc w:val="left"/>
            </w:pPr>
            <w:r>
              <w:t xml:space="preserve">invariance rejected (CIs exclude 1)</w:t>
            </w:r>
          </w:p>
        </w:tc>
      </w:tr>
      <w:tr>
        <w:tc>
          <w:tcPr>
            <w:tcW w:type="dxa" w:w="3232"/>
          </w:tcPr>
          <w:p>
            <w:pPr>
              <w:pStyle w:val="Compact"/>
              <w:jc w:val="left"/>
            </w:pPr>
            <w:r>
              <w:t xml:space="preserve">2, st36</w:t>
            </w:r>
          </w:p>
        </w:tc>
        <w:tc>
          <w:tcPr>
            <w:tcW w:type="dxa" w:w="2604"/>
          </w:tcPr>
          <w:p>
            <w:pPr>
              <w:pStyle w:val="Compact"/>
              <w:jc w:val="left"/>
            </w:pPr>
            <w:r>
              <w:t xml:space="preserve">1.005 (0.735–1.375)</w:t>
            </w:r>
          </w:p>
        </w:tc>
        <w:tc>
          <w:tcPr>
            <w:tcW w:type="dxa" w:w="3232"/>
          </w:tcPr>
          <w:p>
            <w:pPr>
              <w:pStyle w:val="Compact"/>
              <w:jc w:val="left"/>
            </w:pPr>
            <w:r>
              <w:t xml:space="preserve">not shown</w:t>
            </w:r>
          </w:p>
        </w:tc>
      </w:tr>
      <w:tr>
        <w:tc>
          <w:tcPr>
            <w:tcW w:type="dxa" w:w="3232"/>
          </w:tcPr>
          <w:p>
            <w:pPr>
              <w:pStyle w:val="Compact"/>
              <w:jc w:val="left"/>
            </w:pPr>
            <w:r>
              <w:t xml:space="preserve">2, gauge average (4 gauges)</w:t>
            </w:r>
          </w:p>
        </w:tc>
        <w:tc>
          <w:tcPr>
            <w:tcW w:type="dxa" w:w="2604"/>
          </w:tcPr>
          <w:p>
            <w:pPr>
              <w:pStyle w:val="Compact"/>
              <w:jc w:val="left"/>
            </w:pPr>
            <w:r>
              <w:t xml:space="preserve">0.978 (0.697–1.374)</w:t>
            </w:r>
          </w:p>
        </w:tc>
        <w:tc>
          <w:tcPr>
            <w:tcW w:type="dxa" w:w="3232"/>
          </w:tcPr>
          <w:p>
            <w:pPr>
              <w:pStyle w:val="Compact"/>
              <w:jc w:val="left"/>
            </w:pPr>
            <w:r>
              <w:t xml:space="preserve">shown only within ±26.7 %</w:t>
            </w:r>
          </w:p>
        </w:tc>
      </w:tr>
      <w:tr>
        <w:tc>
          <w:tcPr>
            <w:tcW w:type="dxa" w:w="3232"/>
          </w:tcPr>
          <w:p>
            <w:pPr>
              <w:pStyle w:val="Compact"/>
              <w:jc w:val="left"/>
            </w:pPr>
            <w:r>
              <w:t xml:space="preserve">2, lane B, average</w:t>
            </w:r>
          </w:p>
        </w:tc>
        <w:tc>
          <w:tcPr>
            <w:tcW w:type="dxa" w:w="2604"/>
          </w:tcPr>
          <w:p>
            <w:pPr>
              <w:pStyle w:val="Compact"/>
              <w:jc w:val="left"/>
            </w:pPr>
            <w:r>
              <w:t xml:space="preserve">0.749 (0.440–1.276)</w:t>
            </w:r>
          </w:p>
        </w:tc>
        <w:tc>
          <w:tcPr>
            <w:tcW w:type="dxa" w:w="3232"/>
          </w:tcPr>
          <w:p>
            <w:pPr>
              <w:pStyle w:val="Compact"/>
              <w:jc w:val="left"/>
            </w:pPr>
            <w:r>
              <w:t xml:space="preserve">– (constants fail the χ² test, Table 3)</w:t>
            </w:r>
          </w:p>
        </w:tc>
      </w:tr>
    </w:tbl>
    <w:p>
      <w:pPr>
        <w:pStyle w:val="BodyText"/>
      </w:pPr>
      <w:r>
        <w:t xml:space="preserve">On day 2 the constant does not depend detectably on the axle configuration, but the test is coarse. The ratio of the gauge-average constants of the 5-axle and the 3-axle truck is 0.98 (95 % CI 0.70–1.37). The result is consistent with Eq. (2), but with eight runs it cannot exclude differences of up to about 27 %. It is therefore a coarse check of linearity and processing, not a sharp test of the identity. In lane B the constants fail the χ² test (Table 3).</w:t>
      </w:r>
    </w:p>
    <w:p>
      <w:pPr>
        <w:pStyle w:val="BodyText"/>
      </w:pPr>
      <w:r>
        <w:t xml:space="preserve">On day 1, speed and truck are almost perfectly confounded, with a correlation of 0.98. The first truck ran at 10.4–12.8 m/s and the second at 19.1–19.8 m/s. The 22–26 % difference of the gauges without axle spikes may reflect a different transverse wheel path, local deck action or speed; the data cannot separate them.</w:t>
      </w:r>
    </w:p>
    <w:p>
      <w:pPr>
        <w:pStyle w:val="BodyText"/>
      </w:pPr>
      <w:r>
        <w:t xml:space="preserve">On day 2 speed and truck are not confounded (13–28 m/s). No speed effect was resolved, but the confidence interval of the slope is too wide to call the constant speed-independent (Section 6; Supplementary Fig. S2).</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on day 2 GLS was significantly worse than the gauge average. To test Section 2.4, the covariance of the integrated noise was measured from vehicle-free windows of crossing length (Table 5). On day 2 the four channels are strongly common-mode, with a mean correlation of 0.92, but their noise amplitudes are unequal (13.7–32.8 µε m at the median speed). On day 1 the mean correlation is only 0.42 (Supplementary Fig. S1).</w:t>
      </w:r>
    </w:p>
    <w:p>
      <w:pPr>
        <w:pStyle w:val="BodyText"/>
      </w:pPr>
      <w:r>
        <w:rPr>
          <w:bCs/>
          <w:b/>
        </w:rPr>
        <w:t xml:space="preserve">Table 5.</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vehicle-free noise,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crossing residuals</w:t>
            </w:r>
          </w:p>
        </w:tc>
        <w:tc>
          <w:tcPr>
            <w:tcW w:type="dxa" w:w="2636"/>
          </w:tcPr>
          <w:p>
            <w:pPr>
              <w:pStyle w:val="Compact"/>
              <w:jc w:val="left"/>
            </w:pPr>
            <w:r>
              <w:t xml:space="preserve">0.63</w:t>
            </w:r>
          </w:p>
        </w:tc>
        <w:tc>
          <w:tcPr>
            <w:tcW w:type="dxa" w:w="2636"/>
          </w:tcPr>
          <w:p>
            <w:pPr>
              <w:pStyle w:val="Compact"/>
              <w:jc w:val="left"/>
            </w:pPr>
            <w:r>
              <w:t xml:space="preserve">–</w:t>
            </w:r>
          </w:p>
        </w:tc>
      </w:tr>
      <w:tr>
        <w:tc>
          <w:tcPr>
            <w:tcW w:type="dxa" w:w="3796"/>
          </w:tcPr>
          <w:p>
            <w:pPr>
              <w:pStyle w:val="Compact"/>
              <w:jc w:val="left"/>
            </w:pPr>
            <w:r>
              <w:t xml:space="preserve">crossing residuals, st40 with its neighbours</w:t>
            </w:r>
          </w:p>
        </w:tc>
        <w:tc>
          <w:tcPr>
            <w:tcW w:type="dxa" w:w="2636"/>
          </w:tcPr>
          <w:p>
            <w:pPr>
              <w:pStyle w:val="Compact"/>
              <w:jc w:val="left"/>
            </w:pPr>
            <w:r>
              <w:t xml:space="preserve">0.30–0.37</w:t>
            </w:r>
          </w:p>
        </w:tc>
        <w:tc>
          <w:tcPr>
            <w:tcW w:type="dxa" w:w="2636"/>
          </w:tcPr>
          <w:p>
            <w:pPr>
              <w:pStyle w:val="Compact"/>
              <w:jc w:val="left"/>
            </w:pPr>
            <w:r>
              <w:t xml:space="preserve">–</w:t>
            </w:r>
          </w:p>
        </w:tc>
      </w:tr>
    </w:tbl>
    <w:p>
      <w:pPr>
        <w:pStyle w:val="BodyText"/>
      </w:pPr>
      <w:r>
        <w:t xml:space="preserve">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Leave-one-truck-out (LOTO) results, calibrated on one truck and tested on the other, are given as well (Table 6, Fig. 7).</w:t>
      </w:r>
    </w:p>
    <w:p>
      <w:pPr>
        <w:pStyle w:val="BodyText"/>
      </w:pPr>
      <w:r>
        <w:rPr>
          <w:bCs/>
          <w:b/>
        </w:rPr>
        <w:t xml:space="preserve">Table 6.</w:t>
      </w:r>
      <w:r>
        <w:t xml:space="preserve"> </w:t>
      </w:r>
      <w:r>
        <w:t xml:space="preserve">Mean absolute error of the gross weight (% of GVW), out of sample, with 95 % bootstrap CIs over the test runs (n = 8 on day 2, n = 7 on day 1). LOTO: calibrated on one truck, tested on the other.</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left"/>
            </w:pPr>
            <w:r>
              <w:t xml:space="preserve">Day 2, leave-one-run-out</w:t>
            </w:r>
          </w:p>
        </w:tc>
        <w:tc>
          <w:tcPr>
            <w:tcW w:type="dxa" w:w="840"/>
            <w:tcBorders>
              <w:top w:val="nil"/>
              <w:left w:val="nil"/>
              <w:bottom w:val="single" w:sz="6" w:space="0" w:color="000000"/>
              <w:right w:val="nil"/>
            </w:tcBorders>
          </w:tcPr>
          <w:p>
            <w:pPr>
              <w:pStyle w:val="Compact"/>
              <w:jc w:val="left"/>
            </w:pPr>
            <w:r>
              <w:t xml:space="preserve">Day 2, LOTO</w:t>
            </w:r>
          </w:p>
        </w:tc>
        <w:tc>
          <w:tcPr>
            <w:tcW w:type="dxa" w:w="1592"/>
            <w:tcBorders>
              <w:top w:val="nil"/>
              <w:left w:val="nil"/>
              <w:bottom w:val="single" w:sz="6" w:space="0" w:color="000000"/>
              <w:right w:val="nil"/>
            </w:tcBorders>
          </w:tcPr>
          <w:p>
            <w:pPr>
              <w:pStyle w:val="Compact"/>
              <w:jc w:val="left"/>
            </w:pPr>
            <w:r>
              <w:t xml:space="preserve">Day 1, 12 gauges</w:t>
            </w:r>
          </w:p>
        </w:tc>
        <w:tc>
          <w:tcPr>
            <w:tcW w:type="dxa" w:w="1987"/>
            <w:tcBorders>
              <w:top w:val="nil"/>
              <w:left w:val="nil"/>
              <w:bottom w:val="single" w:sz="6" w:space="0" w:color="000000"/>
              <w:right w:val="nil"/>
            </w:tcBorders>
          </w:tcPr>
          <w:p>
            <w:pPr>
              <w:pStyle w:val="Compact"/>
              <w:jc w:val="left"/>
            </w:pPr>
            <w:r>
              <w:t xml:space="preserve">Day 1, 4 wheel-path gauges</w:t>
            </w:r>
          </w:p>
        </w:tc>
      </w:tr>
      <w:tr>
        <w:tc>
          <w:tcPr>
            <w:tcW w:type="dxa" w:w="2292"/>
          </w:tcPr>
          <w:p>
            <w:pPr>
              <w:pStyle w:val="Compact"/>
              <w:jc w:val="left"/>
            </w:pPr>
            <w:r>
              <w:t xml:space="preserve">Best single gauge (chosen after the fact)</w:t>
            </w:r>
          </w:p>
        </w:tc>
        <w:tc>
          <w:tcPr>
            <w:tcW w:type="dxa" w:w="2356"/>
          </w:tcPr>
          <w:p>
            <w:pPr>
              <w:pStyle w:val="Compact"/>
              <w:jc w:val="left"/>
            </w:pPr>
            <w:r>
              <w:t xml:space="preserve">8.4 (2.9–15.3)</w:t>
            </w:r>
          </w:p>
        </w:tc>
        <w:tc>
          <w:tcPr>
            <w:tcW w:type="dxa" w:w="840"/>
          </w:tcPr>
          <w:p>
            <w:pPr>
              <w:pStyle w:val="Compact"/>
              <w:jc w:val="left"/>
            </w:pPr>
            <w:r>
              <w:t xml:space="preserve">7.6</w:t>
            </w:r>
          </w:p>
        </w:tc>
        <w:tc>
          <w:tcPr>
            <w:tcW w:type="dxa" w:w="1592"/>
          </w:tcPr>
          <w:p>
            <w:pPr>
              <w:pStyle w:val="Compact"/>
              <w:jc w:val="left"/>
            </w:pPr>
            <w:r>
              <w:t xml:space="preserve">4.8 (1.8–7.9)</w:t>
            </w:r>
          </w:p>
        </w:tc>
        <w:tc>
          <w:tcPr>
            <w:tcW w:type="dxa" w:w="1987"/>
          </w:tcPr>
          <w:p>
            <w:pPr>
              <w:pStyle w:val="Compact"/>
              <w:jc w:val="left"/>
            </w:pPr>
            <w:r>
              <w:t xml:space="preserve">4.8 (1.8–7.9)</w:t>
            </w:r>
          </w:p>
        </w:tc>
      </w:tr>
      <w:tr>
        <w:tc>
          <w:tcPr>
            <w:tcW w:type="dxa" w:w="2292"/>
          </w:tcPr>
          <w:p>
            <w:pPr>
              <w:pStyle w:val="Compact"/>
              <w:jc w:val="left"/>
            </w:pPr>
            <w:r>
              <w:t xml:space="preserve">Worst single gauge</w:t>
            </w:r>
          </w:p>
        </w:tc>
        <w:tc>
          <w:tcPr>
            <w:tcW w:type="dxa" w:w="2356"/>
          </w:tcPr>
          <w:p>
            <w:pPr>
              <w:pStyle w:val="Compact"/>
              <w:jc w:val="left"/>
            </w:pPr>
            <w:r>
              <w:t xml:space="preserve">27.9 (12.9–44.5)</w:t>
            </w:r>
          </w:p>
        </w:tc>
        <w:tc>
          <w:tcPr>
            <w:tcW w:type="dxa" w:w="840"/>
          </w:tcPr>
          <w:p>
            <w:pPr>
              <w:pStyle w:val="Compact"/>
              <w:jc w:val="left"/>
            </w:pPr>
            <w:r>
              <w:t xml:space="preserve">24.3</w:t>
            </w:r>
          </w:p>
        </w:tc>
        <w:tc>
          <w:tcPr>
            <w:tcW w:type="dxa" w:w="1592"/>
          </w:tcPr>
          <w:p>
            <w:pPr>
              <w:pStyle w:val="Compact"/>
              <w:jc w:val="left"/>
            </w:pPr>
            <w:r>
              <w:t xml:space="preserve">17.6 (11.0–23.4)</w:t>
            </w:r>
          </w:p>
        </w:tc>
        <w:tc>
          <w:tcPr>
            <w:tcW w:type="dxa" w:w="1987"/>
          </w:tcPr>
          <w:p>
            <w:pPr>
              <w:pStyle w:val="Compact"/>
              <w:jc w:val="left"/>
            </w:pPr>
            <w:r>
              <w:t xml:space="preserve">12.1</w:t>
            </w:r>
          </w:p>
        </w:tc>
      </w:tr>
      <w:tr>
        <w:tc>
          <w:tcPr>
            <w:tcW w:type="dxa" w:w="2292"/>
          </w:tcPr>
          <w:p>
            <w:pPr>
              <w:pStyle w:val="Compact"/>
              <w:jc w:val="left"/>
            </w:pPr>
            <w:r>
              <w:t xml:space="preserve">Gauge average</w:t>
            </w:r>
          </w:p>
        </w:tc>
        <w:tc>
          <w:tcPr>
            <w:tcW w:type="dxa" w:w="2356"/>
          </w:tcPr>
          <w:p>
            <w:pPr>
              <w:pStyle w:val="Compact"/>
              <w:jc w:val="left"/>
            </w:pPr>
            <w:r>
              <w:t xml:space="preserve">11.9 (6.0–18.6)</w:t>
            </w:r>
          </w:p>
        </w:tc>
        <w:tc>
          <w:tcPr>
            <w:tcW w:type="dxa" w:w="840"/>
          </w:tcPr>
          <w:p>
            <w:pPr>
              <w:pStyle w:val="Compact"/>
              <w:jc w:val="left"/>
            </w:pPr>
            <w:r>
              <w:t xml:space="preserve">11.1</w:t>
            </w:r>
          </w:p>
        </w:tc>
        <w:tc>
          <w:tcPr>
            <w:tcW w:type="dxa" w:w="1592"/>
          </w:tcPr>
          <w:p>
            <w:pPr>
              <w:pStyle w:val="Compact"/>
              <w:jc w:val="left"/>
            </w:pPr>
            <w:r>
              <w:t xml:space="preserve">5.3 (2.5–7.8)</w:t>
            </w:r>
          </w:p>
        </w:tc>
        <w:tc>
          <w:tcPr>
            <w:tcW w:type="dxa" w:w="1987"/>
          </w:tcPr>
          <w:p>
            <w:pPr>
              <w:pStyle w:val="Compact"/>
              <w:jc w:val="left"/>
            </w:pPr>
            <w:r>
              <w:t xml:space="preserve">5.4 (3.3–7.4)</w:t>
            </w:r>
          </w:p>
        </w:tc>
      </w:tr>
      <w:tr>
        <w:tc>
          <w:tcPr>
            <w:tcW w:type="dxa" w:w="2292"/>
          </w:tcPr>
          <w:p>
            <w:pPr>
              <w:pStyle w:val="Compact"/>
              <w:jc w:val="left"/>
            </w:pPr>
            <w:r>
              <w:t xml:space="preserve">GLS, diagonal</w:t>
            </w:r>
            <w:r>
              <w:t xml:space="preserve"> </w:t>
            </w:r>
            <m:oMath>
              <m:r>
                <m:t>Σ</m:t>
              </m:r>
            </m:oMath>
          </w:p>
        </w:tc>
        <w:tc>
          <w:tcPr>
            <w:tcW w:type="dxa" w:w="2356"/>
          </w:tcPr>
          <w:p>
            <w:pPr>
              <w:pStyle w:val="Compact"/>
              <w:jc w:val="left"/>
            </w:pPr>
            <w:r>
              <w:t xml:space="preserve">11.4 (6.0–18.0)</w:t>
            </w:r>
          </w:p>
        </w:tc>
        <w:tc>
          <w:tcPr>
            <w:tcW w:type="dxa" w:w="840"/>
          </w:tcPr>
          <w:p>
            <w:pPr>
              <w:pStyle w:val="Compact"/>
              <w:jc w:val="left"/>
            </w:pPr>
            <w:r>
              <w:t xml:space="preserve">10.8</w:t>
            </w:r>
          </w:p>
        </w:tc>
        <w:tc>
          <w:tcPr>
            <w:tcW w:type="dxa" w:w="1592"/>
          </w:tcPr>
          <w:p>
            <w:pPr>
              <w:pStyle w:val="Compact"/>
              <w:jc w:val="left"/>
            </w:pPr>
            <w:r>
              <w:t xml:space="preserve">5.3 (2.5–8.0)</w:t>
            </w:r>
          </w:p>
        </w:tc>
        <w:tc>
          <w:tcPr>
            <w:tcW w:type="dxa" w:w="1987"/>
          </w:tcPr>
          <w:p>
            <w:pPr>
              <w:pStyle w:val="Compact"/>
              <w:jc w:val="left"/>
            </w:pPr>
            <w:r>
              <w:t xml:space="preserve">5.2 (3.3–7.1)</w:t>
            </w:r>
          </w:p>
        </w:tc>
      </w:tr>
      <w:tr>
        <w:tc>
          <w:tcPr>
            <w:tcW w:type="dxa" w:w="2292"/>
          </w:tcPr>
          <w:p>
            <w:pPr>
              <w:pStyle w:val="Compact"/>
              <w:jc w:val="left"/>
            </w:pPr>
            <w:r>
              <w:t xml:space="preserve">GLS, measured</w:t>
            </w:r>
            <w:r>
              <w:t xml:space="preserve"> </w:t>
            </w:r>
            <m:oMath>
              <m:r>
                <m:t>Σ</m:t>
              </m:r>
            </m:oMath>
          </w:p>
        </w:tc>
        <w:tc>
          <w:tcPr>
            <w:tcW w:type="dxa" w:w="2356"/>
          </w:tcPr>
          <w:p>
            <w:pPr>
              <w:pStyle w:val="Compact"/>
              <w:jc w:val="left"/>
            </w:pPr>
            <w:r>
              <w:t xml:space="preserve">20.4 (12.3–28.8)</w:t>
            </w:r>
          </w:p>
        </w:tc>
        <w:tc>
          <w:tcPr>
            <w:tcW w:type="dxa" w:w="840"/>
          </w:tcPr>
          <w:p>
            <w:pPr>
              <w:pStyle w:val="Compact"/>
              <w:jc w:val="left"/>
            </w:pPr>
            <w:r>
              <w:t xml:space="preserve">17.7</w:t>
            </w:r>
          </w:p>
        </w:tc>
        <w:tc>
          <w:tcPr>
            <w:tcW w:type="dxa" w:w="1592"/>
          </w:tcPr>
          <w:p>
            <w:pPr>
              <w:pStyle w:val="Compact"/>
              <w:jc w:val="left"/>
            </w:pPr>
            <w:r>
              <w:t xml:space="preserve">5.8 (3.5–8.1)</w:t>
            </w:r>
          </w:p>
        </w:tc>
        <w:tc>
          <w:tcPr>
            <w:tcW w:type="dxa" w:w="1987"/>
          </w:tcPr>
          <w:p>
            <w:pPr>
              <w:pStyle w:val="Compact"/>
              <w:jc w:val="left"/>
            </w:pPr>
            <w:r>
              <w:t xml:space="preserve">4.9 (3.0–6.9)</w:t>
            </w:r>
          </w:p>
        </w:tc>
      </w:tr>
      <w:tr>
        <w:tc>
          <w:tcPr>
            <w:tcW w:type="dxa" w:w="2292"/>
          </w:tcPr>
          <w:p>
            <w:pPr>
              <w:pStyle w:val="Compact"/>
              <w:jc w:val="left"/>
            </w:pPr>
            <w:r>
              <w:t xml:space="preserve">Zero-sum, measured</w:t>
            </w:r>
            <w:r>
              <w:t xml:space="preserve"> </w:t>
            </w:r>
            <m:oMath>
              <m:r>
                <m:t>Σ</m:t>
              </m:r>
            </m:oMath>
          </w:p>
        </w:tc>
        <w:tc>
          <w:tcPr>
            <w:tcW w:type="dxa" w:w="2356"/>
          </w:tcPr>
          <w:p>
            <w:pPr>
              <w:pStyle w:val="Compact"/>
              <w:jc w:val="left"/>
            </w:pPr>
            <w:r>
              <w:t xml:space="preserve">20.3 (12.4–28.6)</w:t>
            </w:r>
          </w:p>
        </w:tc>
        <w:tc>
          <w:tcPr>
            <w:tcW w:type="dxa" w:w="840"/>
          </w:tcPr>
          <w:p>
            <w:pPr>
              <w:pStyle w:val="Compact"/>
              <w:jc w:val="left"/>
            </w:pPr>
            <w:r>
              <w:t xml:space="preserve">18.0</w:t>
            </w:r>
          </w:p>
        </w:tc>
        <w:tc>
          <w:tcPr>
            <w:tcW w:type="dxa" w:w="1592"/>
          </w:tcPr>
          <w:p>
            <w:pPr>
              <w:pStyle w:val="Compact"/>
              <w:jc w:val="left"/>
            </w:pPr>
            <w:r>
              <w:t xml:space="preserve">6.0 (2.9–9.3)</w:t>
            </w:r>
          </w:p>
        </w:tc>
        <w:tc>
          <w:tcPr>
            <w:tcW w:type="dxa" w:w="1987"/>
          </w:tcPr>
          <w:p>
            <w:pPr>
              <w:pStyle w:val="Compact"/>
              <w:jc w:val="left"/>
            </w:pPr>
            <w:r>
              <w:t xml:space="preserve">8.3 (3.9–13.4)</w:t>
            </w:r>
          </w:p>
        </w:tc>
      </w:tr>
      <w:t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left"/>
            </w:pPr>
            <w:r>
              <w:t xml:space="preserve">12.3 (6.1–20.2)</w:t>
            </w:r>
          </w:p>
        </w:tc>
        <w:tc>
          <w:tcPr>
            <w:tcW w:type="dxa" w:w="840"/>
          </w:tcPr>
          <w:p>
            <w:pPr>
              <w:pStyle w:val="Compact"/>
              <w:jc w:val="left"/>
            </w:pPr>
            <w:r>
              <w:t xml:space="preserve">10.8</w:t>
            </w:r>
          </w:p>
        </w:tc>
        <w:tc>
          <w:tcPr>
            <w:tcW w:type="dxa" w:w="1592"/>
          </w:tcPr>
          <w:p>
            <w:pPr>
              <w:pStyle w:val="Compact"/>
              <w:jc w:val="left"/>
            </w:pPr>
            <w:r>
              <w:t xml:space="preserve">13.0 (7.1–19.0)</w:t>
            </w:r>
          </w:p>
        </w:tc>
        <w:tc>
          <w:tcPr>
            <w:tcW w:type="dxa" w:w="1987"/>
          </w:tcPr>
          <w:p>
            <w:pPr>
              <w:pStyle w:val="Compact"/>
              <w:jc w:val="left"/>
            </w:pPr>
            <w:r>
              <w:t xml:space="preserve">8.4 (4.6–12.9)</w:t>
            </w:r>
          </w:p>
        </w:tc>
      </w:tr>
      <w:tr>
        <w:tc>
          <w:tcPr>
            <w:tcW w:type="dxa" w:w="2292"/>
          </w:tcPr>
          <w:p>
            <w:pPr>
              <w:pStyle w:val="Compact"/>
              <w:jc w:val="left"/>
            </w:pPr>
            <w:r>
              <w:t xml:space="preserve">Mean weight of the calibration runs</w:t>
            </w:r>
          </w:p>
        </w:tc>
        <w:tc>
          <w:tcPr>
            <w:tcW w:type="dxa" w:w="2356"/>
          </w:tcPr>
          <w:p>
            <w:pPr>
              <w:pStyle w:val="Compact"/>
              <w:jc w:val="left"/>
            </w:pPr>
            <w:r>
              <w:t xml:space="preserve">2.0 (1.9–2.0)</w:t>
            </w:r>
          </w:p>
        </w:tc>
        <w:tc>
          <w:tcPr>
            <w:tcW w:type="dxa" w:w="840"/>
          </w:tcPr>
          <w:p>
            <w:pPr>
              <w:pStyle w:val="Compact"/>
              <w:jc w:val="left"/>
            </w:pPr>
            <w:r>
              <w:t xml:space="preserve">3.4</w:t>
            </w:r>
          </w:p>
        </w:tc>
        <w:tc>
          <w:tcPr>
            <w:tcW w:type="dxa" w:w="1592"/>
          </w:tcPr>
          <w:p>
            <w:pPr>
              <w:pStyle w:val="Compact"/>
              <w:jc w:val="left"/>
            </w:pPr>
            <w:r>
              <w:t xml:space="preserve">2.2 (1.1–3.5)</w:t>
            </w:r>
          </w:p>
        </w:tc>
        <w:tc>
          <w:tcPr>
            <w:tcW w:type="dxa" w:w="1987"/>
          </w:tcPr>
          <w:p>
            <w:pPr>
              <w:pStyle w:val="Compact"/>
              <w:jc w:val="left"/>
            </w:pPr>
            <w:r>
              <w:t xml:space="preserve">2.2 (1.1–3.5)</w:t>
            </w:r>
          </w:p>
        </w:tc>
      </w:tr>
    </w:tbl>
    <w:p>
      <w:pPr>
        <w:pStyle w:val="BodyText"/>
      </w:pPr>
      <w:r>
        <w:t xml:space="preserve">On day 2, GLS with the measured covariance was worse than the gauge average: 20.4 % against 11.9 % MAE (Table 6). The paired difference is +8.5 points (95 % CI +2.3 to +15.1), so GLS and the zero-sum estimator are both significantly worse than the average. The vehicle-free noise model had predicted the opposite order (Table 7). On day 1 the estimators cannot be told apart. On both days every estimator is worse than the mean-weight predictor.</w:t>
      </w:r>
    </w:p>
    <w:p>
      <w:pPr>
        <w:pStyle w:val="BodyText"/>
      </w:pPr>
      <w:r>
        <w:t xml:space="preserve">The failure on day 2 is itself a finding: crossing residuals are much less correlated between gauges than the vehicle-free noise, 0.63 against 0.90 at the same window length (Table 5). With the covariance of the crossing residuals, the predicted order reverses, and GLS is expected to be worse than the average, as observed (Table 7).</w:t>
      </w:r>
    </w:p>
    <w:p>
      <w:pPr>
        <w:pStyle w:val="BodyText"/>
      </w:pPr>
      <w:r>
        <w:rPr>
          <w:bCs/>
          <w:b/>
        </w:rPr>
        <w:t xml:space="preserve">Table 7.</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lef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left"/>
            </w:pPr>
            <w:r>
              <w:t xml:space="preserve">Gauge average</w:t>
            </w:r>
          </w:p>
        </w:tc>
      </w:tr>
      <w:tr>
        <w:tc>
          <w:tcPr>
            <w:tcW w:type="dxa" w:w="4597"/>
          </w:tcPr>
          <w:p>
            <w:pPr>
              <w:pStyle w:val="Compact"/>
              <w:jc w:val="left"/>
            </w:pPr>
            <w:r>
              <w:t xml:space="preserve">SD predicted from the vehicle-free covariance</w:t>
            </w:r>
          </w:p>
        </w:tc>
        <w:tc>
          <w:tcPr>
            <w:tcW w:type="dxa" w:w="2360"/>
          </w:tcPr>
          <w:p>
            <w:pPr>
              <w:pStyle w:val="Compact"/>
              <w:jc w:val="left"/>
            </w:pPr>
            <w:r>
              <w:t xml:space="preserve">12.7</w:t>
            </w:r>
          </w:p>
        </w:tc>
        <w:tc>
          <w:tcPr>
            <w:tcW w:type="dxa" w:w="2112"/>
          </w:tcPr>
          <w:p>
            <w:pPr>
              <w:pStyle w:val="Compact"/>
              <w:jc w:val="left"/>
            </w:pPr>
            <w:r>
              <w:t xml:space="preserve">19.8</w:t>
            </w:r>
          </w:p>
        </w:tc>
      </w:tr>
      <w:tr>
        <w:tc>
          <w:tcPr>
            <w:tcW w:type="dxa" w:w="4597"/>
          </w:tcPr>
          <w:p>
            <w:pPr>
              <w:pStyle w:val="Compact"/>
              <w:jc w:val="left"/>
            </w:pPr>
            <w:r>
              <w:t xml:space="preserve">SD predicted from the covariance of the crossing residuals</w:t>
            </w:r>
          </w:p>
        </w:tc>
        <w:tc>
          <w:tcPr>
            <w:tcW w:type="dxa" w:w="2360"/>
          </w:tcPr>
          <w:p>
            <w:pPr>
              <w:pStyle w:val="Compact"/>
              <w:jc w:val="left"/>
            </w:pPr>
            <w:r>
              <w:t xml:space="preserve">21.0</w:t>
            </w:r>
          </w:p>
        </w:tc>
        <w:tc>
          <w:tcPr>
            <w:tcW w:type="dxa" w:w="2112"/>
          </w:tcPr>
          <w:p>
            <w:pPr>
              <w:pStyle w:val="Compact"/>
              <w:jc w:val="left"/>
            </w:pPr>
            <w:r>
              <w:t xml:space="preserve">14.6</w:t>
            </w:r>
          </w:p>
        </w:tc>
      </w:tr>
      <w:tr>
        <w:tc>
          <w:tcPr>
            <w:tcW w:type="dxa" w:w="4597"/>
          </w:tcPr>
          <w:p>
            <w:pPr>
              <w:pStyle w:val="Compact"/>
              <w:jc w:val="left"/>
            </w:pPr>
            <w:r>
              <w:t xml:space="preserve">Observed MAE, leave-one-run-out (Table 6)</w:t>
            </w:r>
          </w:p>
        </w:tc>
        <w:tc>
          <w:tcPr>
            <w:tcW w:type="dxa" w:w="2360"/>
          </w:tcPr>
          <w:p>
            <w:pPr>
              <w:pStyle w:val="Compact"/>
              <w:jc w:val="left"/>
            </w:pPr>
            <w:r>
              <w:t xml:space="preserve">20.4</w:t>
            </w:r>
          </w:p>
        </w:tc>
        <w:tc>
          <w:tcPr>
            <w:tcW w:type="dxa" w:w="2112"/>
          </w:tcPr>
          <w:p>
            <w:pPr>
              <w:pStyle w:val="Compact"/>
              <w:jc w:val="left"/>
            </w:pPr>
            <w:r>
              <w:t xml:space="preserve">11.9</w:t>
            </w:r>
          </w:p>
        </w:tc>
      </w:tr>
    </w:tbl>
    <w:p>
      <w:pPr>
        <w:pStyle w:val="BodyText"/>
      </w:pPr>
      <w:r>
        <w:t xml:space="preserve">The common-mode wander measured in vehicle-free periods is real, but each crossing also carries a gauge-specific component, plausibly from the wheel path and local slab action. GLS amplifies this component, because it gives st40 and st36 large weights of opposite sign (+0.16 and −0.35).</w:t>
      </w:r>
    </w:p>
    <w:p>
      <w:pPr>
        <w:pStyle w:val="BodyText"/>
      </w:pPr>
      <w:r>
        <w:t xml:space="preserve">Estimating</w:t>
      </w:r>
      <w:r>
        <w:t xml:space="preserve"> </w:t>
      </w:r>
      <m:oMath>
        <m:r>
          <m:t>Σ</m:t>
        </m:r>
      </m:oMath>
      <w:r>
        <w:t xml:space="preserve"> </w:t>
      </w:r>
      <w:r>
        <w:t xml:space="preserve">from the crossing residuals instead of vehicle-free windows over-fits with only eight runs (Supplementary Material). As anticipated in Section 2.4, the zero-sum estimator helps only when the disturbance is common-mode during the crossings themselves.</w:t>
      </w:r>
    </w:p>
    <w:bookmarkEnd w:id="32"/>
    <w:bookmarkStart w:id="33" w:name="Xd4d1bd5c5ac2f2a93432c1f664cfa296aebfb99"/>
    <w:p>
      <w:pPr>
        <w:pStyle w:val="Heading3"/>
      </w:pPr>
      <w:r>
        <w:t xml:space="preserve">4.4. Lane, superposition and the limits of a beam model</w:t>
      </w:r>
    </w:p>
    <w:p>
      <w:pPr>
        <w:pStyle w:val="FirstParagraph"/>
      </w:pPr>
      <w:r>
        <w:t xml:space="preserve">Each lane needs its own constant. For the gauge average, return trips in the other lane gave constants 0.79 times those of lane A (95 % CI 0.59–1.00). The lane effect is clearly resolved for one gauge only (st36: 0.64, 95 % CI 0.47–0.81). The same need was found on another continuous girder [40].</w:t>
      </w:r>
    </w:p>
    <w:p>
      <w:pPr>
        <w:pStyle w:val="BodyText"/>
      </w:pPr>
      <w:r>
        <w:t xml:space="preserve">The two in-line two-truck runs are consistent with superposition, although both fall below the prediction. For the gauge average each gave 0.92 of the summed single-truck predictions (pooled 95 % CI 0.77–1.06); the GLS combination gave 0.82.</w:t>
      </w:r>
    </w:p>
    <w:p>
      <w:pPr>
        <w:pStyle w:val="BodyText"/>
      </w:pPr>
      <w:r>
        <w:t xml:space="preserve">Gauges within 6 m of each other along the girder have very different constants. On day 1 the constant of ch11 is 3.9 times that of ch8, and their 95 % CIs do not overlap (Table 3), whereas a one-dimensional beam model predicts ratios of 0.978–1.003.</w:t>
      </w:r>
    </w:p>
    <w:p>
      <w:pPr>
        <w:pStyle w:val="BodyText"/>
      </w:pPr>
      <w:r>
        <w:t xml:space="preserve">Gauge-factor spread is unlikely to explain these differences, because the ratio of the st36 and st40 constants changes with the lane: 3.24 ± 0.56 in lane A against 1.82 ± 0.10 in lane B (± one standard error), about 2.5 standard errors apart. The deck-soffit gauges respond to slab bending and shear lag as well as to girder bending. The constant must therefore come from a weighed reference vehicle or a three-dimensional model; a beam-model BPM would fail.</w:t>
      </w:r>
    </w:p>
    <w:p>
      <w:pPr>
        <w:pStyle w:val="BodyText"/>
      </w:pPr>
      <w:r>
        <w:t xml:space="preserve">A beam model of the girder (Euler–Bernoulli, parabolic haunch, second moment proportional to</w:t>
      </w:r>
      <w:r>
        <w:t xml:space="preserve"> </w:t>
      </w:r>
      <m:oMath>
        <m:sSup>
          <m:e>
            <m:r>
              <m:t>h</m:t>
            </m:r>
          </m:e>
          <m:sup>
            <m:r>
              <m:t>2</m:t>
            </m:r>
          </m:sup>
        </m:sSup>
      </m:oMath>
      <w:r>
        <w:t xml:space="preserve">) reproduces the global shape of the strain history (</w:t>
      </w:r>
      <m:oMath>
        <m:sSup>
          <m:e>
            <m:r>
              <m:t>r</m:t>
            </m:r>
          </m:e>
          <m:sup>
            <m:r>
              <m:t>2</m:t>
            </m:r>
          </m:sup>
        </m:sSup>
      </m:oMath>
      <w:r>
        <w:t xml:space="preserve"> </w:t>
      </w:r>
      <w:r>
        <w:t xml:space="preserve">= 0.79–0.94). The gauges are not blind: the zeros of the uniform-load moment diagram in span 2 lie at 121.6 m and 190.8 m, about 35 m from the gauges.</w:t>
      </w:r>
    </w:p>
    <w:p>
      <w:pPr>
        <w:pStyle w:val="BodyText"/>
      </w:pPr>
      <w:r>
        <w:t xml:space="preserve">The same model shows why the whole 605 m crossing must be integrated. The cancellation ratio</w:t>
      </w:r>
      <w:r>
        <w:t xml:space="preserve"> </w:t>
      </w:r>
      <m:oMath>
        <m:r>
          <m:t>R</m:t>
        </m:r>
      </m:oMath>
      <w:r>
        <w:t xml:space="preserve"> </w:t>
      </w:r>
      <w:r>
        <w:t xml:space="preserve">of the gauges’ influence line is 0.51: span 2 contributes about 170 % of the net integral, and the adjacent spans −26 % and −66 %.</w:t>
      </w:r>
    </w:p>
    <w:bookmarkEnd w:id="33"/>
    <w:bookmarkStart w:id="34" w:name="what-the-field-records-show"/>
    <w:p>
      <w:pPr>
        <w:pStyle w:val="Heading3"/>
      </w:pPr>
      <w:r>
        <w:t xml:space="preserve">4.5.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GVW accuracy that the dataset authors reported for their influence-line system on this bridge [41–43] was not compared [NEED VALUE: GVW accuracy reported in [41–43] for the same runs, if the authors wish to add it].</w:t>
      </w:r>
    </w:p>
    <w:bookmarkEnd w:id="34"/>
    <w:bookmarkEnd w:id="35"/>
    <w:bookmarkStart w:id="39"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6" w:name="bridge-data-and-model"/>
    <w:p>
      <w:pPr>
        <w:pStyle w:val="Heading3"/>
      </w:pPr>
      <w:r>
        <w:t xml:space="preserve">5.1. Bridge, data and model</w:t>
      </w:r>
    </w:p>
    <w:p>
      <w:pPr>
        <w:pStyle w:val="FirstParagraph"/>
      </w:pPr>
      <w:r>
        <w:t xml:space="preserve">The Cầu Mây Bridge carries provincial road DT389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gauges were read: N8 at 0.4L of the side span between pier T7 and end support T8, and N7 at mid main span. In the June 2020 acceptance test, four trucks stood in the side span (gauge N8) and six in the main span (gauge N7). The trucks were 3-axle, nominally 5 + 10 + 10 t, with a weighed mean of 25.06 t. Dial gauges read the peak deflection under centric and eccentric transverse positions [NEED VALUE: instrument type and fixed reference datum of the dial gauges, temperature correction, load-hold time and zero-reading procedure]. Each gauge has six readings (three lines, each centric and eccentric);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The depth law and the pier dimensions are not documented, so other depth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6"/>
    <w:bookmarkStart w:id="37"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centre-span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young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spread by 1.9–2.0 % about their mean. This spread comes from the transverse positions and is not a repeatability, because the readings are not replicates. Combined in quadrature with a model-form spread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8).</w:t>
      </w:r>
    </w:p>
    <w:p>
      <w:pPr>
        <w:pStyle w:val="BodyText"/>
      </w:pPr>
      <w:r>
        <w:rPr>
          <w:bCs/>
          <w:b/>
        </w:rPr>
        <w:t xml:space="preserve">Table 8.</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9).</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9.</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centre-span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7"/>
    <w:bookmarkStart w:id="38"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abutment,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10 gives the predicted values that would decide between the reference calibrations. These are predictions, not results. The ratio of integrals at the side-span and centre-span deflection gauges is independent of truck weight and absolute rigidity, and it differs by a factor of 2.3 between calibrations A and B.</w:t>
      </w:r>
    </w:p>
    <w:p>
      <w:pPr>
        <w:pStyle w:val="BodyText"/>
      </w:pPr>
      <w:r>
        <w:rPr>
          <w:bCs/>
          <w:b/>
        </w:rPr>
        <w:t xml:space="preserve">Table 10.</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whereas a centre-span gauge is. One tiltmeter or one integral ratio would discriminate between the reference calibrations.</w:t>
      </w:r>
    </w:p>
    <w:bookmarkEnd w:id="38"/>
    <w:bookmarkEnd w:id="39"/>
    <w:bookmarkStart w:id="40"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(Table 12).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[50]. This bound omits vehicle–bridge interaction and road roughness.</w:t>
      </w:r>
    </w:p>
    <w:p>
      <w:pPr>
        <w:pStyle w:val="BodyText"/>
      </w:pPr>
      <w:r>
        <w:t xml:space="preserve">Table 11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11 are typical of displacement transducers. Absolute deflection on a 90 m span over water would usually come from a non-contact technique, whose residual offset after re-zeroing has to be established on site, since environmental effects act over the same window [51,52].</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11.</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62"/>
        <w:gridCol w:w="1302"/>
        <w:gridCol w:w="1302"/>
        <w:gridCol w:w="1149"/>
        <w:gridCol w:w="1149"/>
        <w:gridCol w:w="1149"/>
        <w:gridCol w:w="1455"/>
      </w:tblGrid>
      <w:tr>
        <w:trPr>
          <w:tblHeader w:val="true"/>
        </w:trPr>
        <w:tc>
          <w:tcPr>
            <w:tcW w:type="dxa" w:w="1562"/>
            <w:tcBorders>
              <w:top w:val="nil"/>
              <w:left w:val="nil"/>
              <w:bottom w:val="single" w:sz="6" w:space="0" w:color="000000"/>
              <w:right w:val="nil"/>
            </w:tcBorders>
          </w:tcPr>
          <w:p>
            <w:pPr>
              <w:pStyle w:val="Compact"/>
              <w:jc w:val="left"/>
            </w:pPr>
            <w:r>
              <w:t xml:space="preserve">Gauge</w:t>
            </w:r>
          </w:p>
        </w:tc>
        <w:tc>
          <w:tcPr>
            <w:tcW w:type="dxa" w:w="1302"/>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302"/>
            <w:tcBorders>
              <w:top w:val="nil"/>
              <w:left w:val="nil"/>
              <w:bottom w:val="single" w:sz="6" w:space="0" w:color="000000"/>
              <w:right w:val="nil"/>
            </w:tcBorders>
          </w:tcPr>
          <w:p>
            <w:pPr>
              <w:pStyle w:val="Compact"/>
              <w:jc w:val="left"/>
            </w:pPr>
            <w:r>
              <w:t xml:space="preserve">0.02 mm</w:t>
            </w:r>
          </w:p>
        </w:tc>
        <w:tc>
          <w:tcPr>
            <w:tcW w:type="dxa" w:w="1149"/>
            <w:tcBorders>
              <w:top w:val="nil"/>
              <w:left w:val="nil"/>
              <w:bottom w:val="single" w:sz="6" w:space="0" w:color="000000"/>
              <w:right w:val="nil"/>
            </w:tcBorders>
          </w:tcPr>
          <w:p>
            <w:pPr>
              <w:pStyle w:val="Compact"/>
              <w:jc w:val="left"/>
            </w:pPr>
            <w:r>
              <w:t xml:space="preserve">0.05 mm</w:t>
            </w:r>
          </w:p>
        </w:tc>
        <w:tc>
          <w:tcPr>
            <w:tcW w:type="dxa" w:w="1149"/>
            <w:tcBorders>
              <w:top w:val="nil"/>
              <w:left w:val="nil"/>
              <w:bottom w:val="single" w:sz="6" w:space="0" w:color="000000"/>
              <w:right w:val="nil"/>
            </w:tcBorders>
          </w:tcPr>
          <w:p>
            <w:pPr>
              <w:pStyle w:val="Compact"/>
              <w:jc w:val="left"/>
            </w:pPr>
            <w:r>
              <w:t xml:space="preserve">0.1 mm</w:t>
            </w:r>
          </w:p>
        </w:tc>
        <w:tc>
          <w:tcPr>
            <w:tcW w:type="dxa" w:w="1149"/>
            <w:tcBorders>
              <w:top w:val="nil"/>
              <w:left w:val="nil"/>
              <w:bottom w:val="single" w:sz="6" w:space="0" w:color="000000"/>
              <w:right w:val="nil"/>
            </w:tcBorders>
          </w:tcPr>
          <w:p>
            <w:pPr>
              <w:pStyle w:val="Compact"/>
              <w:jc w:val="left"/>
            </w:pPr>
            <w:r>
              <w:t xml:space="preserve">0.2 mm</w:t>
            </w:r>
          </w:p>
        </w:tc>
        <w:tc>
          <w:tcPr>
            <w:tcW w:type="dxa" w:w="1455"/>
            <w:tcBorders>
              <w:top w:val="nil"/>
              <w:left w:val="nil"/>
              <w:bottom w:val="single" w:sz="6" w:space="0" w:color="000000"/>
              <w:right w:val="nil"/>
            </w:tcBorders>
          </w:tcPr>
          <w:p>
            <w:pPr>
              <w:pStyle w:val="Compact"/>
              <w:jc w:val="left"/>
            </w:pPr>
            <w:r>
              <w:t xml:space="preserve">0.5 mm</w:t>
            </w:r>
          </w:p>
        </w:tc>
      </w:tr>
      <w:tr>
        <w:tc>
          <w:tcPr>
            <w:tcW w:type="dxa" w:w="1562"/>
          </w:tcPr>
          <w:p>
            <w:pPr>
              <w:pStyle w:val="Compact"/>
              <w:jc w:val="left"/>
            </w:pPr>
            <w:r>
              <w:t xml:space="preserve">N7, mid main span</w:t>
            </w:r>
          </w:p>
        </w:tc>
        <w:tc>
          <w:tcPr>
            <w:tcW w:type="dxa" w:w="1302"/>
          </w:tcPr>
          <w:p>
            <w:pPr>
              <w:pStyle w:val="Compact"/>
              <w:jc w:val="left"/>
            </w:pPr>
            <w:r>
              <w:t xml:space="preserve">3.3–5.0 × 10⁻⁴</w:t>
            </w:r>
          </w:p>
        </w:tc>
        <w:tc>
          <w:tcPr>
            <w:tcW w:type="dxa" w:w="1302"/>
          </w:tcPr>
          <w:p>
            <w:pPr>
              <w:pStyle w:val="Compact"/>
              <w:jc w:val="left"/>
            </w:pPr>
            <w:r>
              <w:t xml:space="preserve">3.3–5.0 %</w:t>
            </w:r>
          </w:p>
        </w:tc>
        <w:tc>
          <w:tcPr>
            <w:tcW w:type="dxa" w:w="1149"/>
          </w:tcPr>
          <w:p>
            <w:pPr>
              <w:pStyle w:val="Compact"/>
              <w:jc w:val="left"/>
            </w:pPr>
            <w:r>
              <w:t xml:space="preserve">8–12 %</w:t>
            </w:r>
          </w:p>
        </w:tc>
        <w:tc>
          <w:tcPr>
            <w:tcW w:type="dxa" w:w="1149"/>
          </w:tcPr>
          <w:p>
            <w:pPr>
              <w:pStyle w:val="Compact"/>
              <w:jc w:val="left"/>
            </w:pPr>
            <w:r>
              <w:t xml:space="preserve">16–25 %</w:t>
            </w:r>
          </w:p>
        </w:tc>
        <w:tc>
          <w:tcPr>
            <w:tcW w:type="dxa" w:w="1149"/>
          </w:tcPr>
          <w:p>
            <w:pPr>
              <w:pStyle w:val="Compact"/>
              <w:jc w:val="left"/>
            </w:pPr>
            <w:r>
              <w:t xml:space="preserve">33–50 %</w:t>
            </w:r>
          </w:p>
        </w:tc>
        <w:tc>
          <w:tcPr>
            <w:tcW w:type="dxa" w:w="1455"/>
          </w:tcPr>
          <w:p>
            <w:pPr>
              <w:pStyle w:val="Compact"/>
              <w:jc w:val="left"/>
            </w:pPr>
            <w:r>
              <w:t xml:space="preserve">82–124 %</w:t>
            </w:r>
          </w:p>
        </w:tc>
      </w:tr>
      <w:tr>
        <w:tc>
          <w:tcPr>
            <w:tcW w:type="dxa" w:w="1562"/>
          </w:tcPr>
          <w:p>
            <w:pPr>
              <w:pStyle w:val="Compact"/>
              <w:jc w:val="left"/>
            </w:pPr>
            <w:r>
              <w:t xml:space="preserve">N8, 0.4L</w:t>
            </w:r>
          </w:p>
        </w:tc>
        <w:tc>
          <w:tcPr>
            <w:tcW w:type="dxa" w:w="1302"/>
          </w:tcPr>
          <w:p>
            <w:pPr>
              <w:pStyle w:val="Compact"/>
              <w:jc w:val="left"/>
            </w:pPr>
            <w:r>
              <w:t xml:space="preserve">3.0–20 × 10⁻⁵</w:t>
            </w:r>
          </w:p>
        </w:tc>
        <w:tc>
          <w:tcPr>
            <w:tcW w:type="dxa" w:w="1302"/>
          </w:tcPr>
          <w:p>
            <w:pPr>
              <w:pStyle w:val="Compact"/>
              <w:jc w:val="left"/>
            </w:pPr>
            <w:r>
              <w:t xml:space="preserve">8–54 %</w:t>
            </w:r>
          </w:p>
        </w:tc>
        <w:tc>
          <w:tcPr>
            <w:tcW w:type="dxa" w:w="1149"/>
          </w:tcPr>
          <w:p>
            <w:pPr>
              <w:pStyle w:val="Compact"/>
              <w:jc w:val="left"/>
            </w:pPr>
            <w:r>
              <w:t xml:space="preserve">21–136 %</w:t>
            </w:r>
          </w:p>
        </w:tc>
        <w:tc>
          <w:tcPr>
            <w:tcW w:type="dxa" w:w="1149"/>
          </w:tcPr>
          <w:p>
            <w:pPr>
              <w:pStyle w:val="Compact"/>
              <w:jc w:val="left"/>
            </w:pPr>
            <w:r>
              <w:t xml:space="preserve">41–271 %</w:t>
            </w:r>
          </w:p>
        </w:tc>
        <w:tc>
          <w:tcPr>
            <w:tcW w:type="dxa" w:w="1149"/>
          </w:tcPr>
          <w:p>
            <w:pPr>
              <w:pStyle w:val="Compact"/>
              <w:jc w:val="left"/>
            </w:pPr>
            <w:r>
              <w:t xml:space="preserve">82–543 %</w:t>
            </w:r>
          </w:p>
        </w:tc>
        <w:tc>
          <w:tcPr>
            <w:tcW w:type="dxa" w:w="1455"/>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centre-span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On the five-span girder the far-lane constant was 0.79 of the near-lane value. At Cầu Mây the readings across one section spread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12.</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accuracy class [NEED VALUE];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11;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spread 2.05 mm</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step 1.010 → 1.017</w:t>
            </w:r>
          </w:p>
        </w:tc>
      </w:tr>
    </w:tbl>
    <w:p>
      <w:pPr>
        <w:pStyle w:val="BodyText"/>
      </w:pPr>
      <w:r>
        <w:t xml:space="preserve">In the laboratory, the reference record and the load-dependent step limit SLM to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apart from the legal limit and the design live loads [53,54]. Setting that threshold needs field calibration with trucks of clearly different weights, which this study did not have.</w:t>
      </w:r>
    </w:p>
    <w:bookmarkEnd w:id="40"/>
    <w:bookmarkStart w:id="41"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reduced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1"/>
    <w:bookmarkStart w:id="42"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stiffness,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centre-span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2"/>
    <w:bookmarkStart w:id="43"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stiffness,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degeneracy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t>s</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t>c</m:t>
            </m:r>
          </m:sub>
        </m:sSub>
      </m:oMath>
      <w:r>
        <w:t xml:space="preserve"> </w:t>
      </w:r>
      <w:r>
        <w:t xml:space="preserve">in the main span,</w:t>
      </w:r>
      <w:r>
        <w:t xml:space="preserve"> </w:t>
      </w:r>
      <m:oMath>
        <m:r>
          <m:t>192</m:t>
        </m:r>
        <m:r>
          <m:t>E</m:t>
        </m:r>
        <m:sSub>
          <m:e>
            <m:r>
              <m:t>I</m:t>
            </m:r>
          </m:e>
          <m:sub>
            <m:r>
              <m:t>c</m:t>
            </m:r>
          </m:sub>
        </m:sSub>
        <m:sSub>
          <m:e>
            <m:r>
              <m:t>C</m:t>
            </m:r>
          </m:e>
          <m:sub>
            <m:r>
              <m:t>m</m:t>
            </m:r>
          </m:sub>
        </m:sSub>
        <m:r>
          <m:rPr>
            <m:sty m:val="p"/>
          </m:rPr>
          <m:t>/</m:t>
        </m:r>
        <m:sSubSup>
          <m:e>
            <m:r>
              <m:t>L</m:t>
            </m:r>
          </m:e>
          <m:sub>
            <m:r>
              <m:t>c</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3"/>
    <w:bookmarkStart w:id="44"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a</m:t>
            </m:r>
          </m:sub>
          <m:sup>
            <m:r>
              <m:t>​</m:t>
            </m:r>
          </m:sup>
          <m:e>
            <m:sSub>
              <m:e>
                <m:r>
                  <m:t>P</m:t>
                </m:r>
              </m:e>
              <m:sub>
                <m:r>
                  <m:t>a</m:t>
                </m:r>
              </m:sub>
            </m:sSub>
          </m:e>
        </m:nary>
        <m:r>
          <m:t>h</m:t>
        </m:r>
        <m:d>
          <m:dPr>
            <m:begChr m:val="("/>
            <m:endChr m:val=")"/>
            <m:sepChr m:val=""/>
            <m:grow/>
          </m:dPr>
          <m:e>
            <m:sSub>
              <m:e>
                <m:r>
                  <m:t>s</m:t>
                </m:r>
              </m:e>
              <m:sub>
                <m:r>
                  <m:t>a</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When the influence line is known, other invariant weighting functions exist; for two equal spans their white-noise variance is 1.5–6.6 times smaller, but a 20 % stiffness error in the adjacent span then produces configuration-dependent errors of −1.1 % to +2.0 % (Supplementary Material).</w:t>
      </w:r>
    </w:p>
    <w:bookmarkEnd w:id="44"/>
    <w:bookmarkStart w:id="45"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5"/>
    <w:bookmarkStart w:id="46"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6"/>
    <w:bookmarkStart w:id="47"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[48].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(static deflection readings, truck positions, weighed truck masses and reported frequencies), which are available at [NEED VALUE: repository name and DOI].</w:t>
      </w:r>
    </w:p>
    <w:bookmarkEnd w:id="47"/>
    <w:bookmarkStart w:id="48" w:name="conflicts-of-interest"/>
    <w:p>
      <w:pPr>
        <w:pStyle w:val="Heading2"/>
      </w:pPr>
      <w:r>
        <w:t xml:space="preserve">Conflicts of Interest</w:t>
      </w:r>
    </w:p>
    <w:p>
      <w:pPr>
        <w:pStyle w:val="FirstParagraph"/>
      </w:pPr>
      <w:r>
        <w:t xml:space="preserve">The Cầu Mây load test analysed in Section 5 was performed by the authors’ team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48"/>
    <w:bookmarkStart w:id="49"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49"/>
    <w:bookmarkStart w:id="50"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50"/>
    <w:bookmarkStart w:id="51"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1"/>
    <w:bookmarkStart w:id="52"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[NEED VALUE: whether to acknowledge Hai Duong PMU and the testing consultant for access to the acceptance-test report.]</w:t>
      </w:r>
    </w:p>
    <w:bookmarkEnd w:id="52"/>
    <w:bookmarkStart w:id="53" w:name="supplementary-materials"/>
    <w:p>
      <w:pPr>
        <w:pStyle w:val="Heading2"/>
      </w:pPr>
      <w:r>
        <w:t xml:space="preserve">Supplementary Materials</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specimen, influence line, quadrature study and full data; (iv) the full per-channel invariance table of the field records (23 channel and average rows, with all χ² p-values), the noise correlation matrices, the speed regressions and all estimator results, including in-sample values, GLS with the covariance estimated from crossing residuals, the predicted per-crossing standard deviation of every estimator, per-channel lane-B results and the confidence interval of the GLS superposition ratio (Figs. S1–S2); (v) the beam model of the five-span girder, including the strain constant of the gauges relative to the largest on the girder, and the synthetic records of the dataset authors (Figs. S3–S4); (vi) strain blind-locus maps (Figs. S5–S6); (vii) the multi-channel placement study (brute-force search over all cases), Monte Carlo verification and structure-aware weighting functions (Figs. S7–S9); (viii) the asymmetric three-span closed forms; (ix) the Cầu Mây design section properties and concrete modulus, the model-form variants (depth lengths, exponents, rigid pier zone), the frequency interpretation, admissible sets against tolerance (3 %, 4 % and 5.3 %, with and without a prior on</w:t>
      </w:r>
      <w:r>
        <w:t xml:space="preserve"> </w:t>
      </w:r>
      <m:oMath>
        <m:r>
          <m:t>α</m:t>
        </m:r>
      </m:oMath>
      <w:r>
        <w:t xml:space="preserve">), the misfit ratio</w:t>
      </w:r>
      <w:r>
        <w:t xml:space="preserve"> </w:t>
      </w:r>
      <m:oMath>
        <m:sSub>
          <m:e>
            <m:r>
              <m:t>r</m:t>
            </m:r>
          </m:e>
          <m:sub>
            <m:r>
              <m:t>87</m:t>
            </m:r>
          </m:sub>
        </m:sSub>
      </m:oMath>
      <w:r>
        <w:t xml:space="preserve"> </w:t>
      </w:r>
      <w:r>
        <w:t xml:space="preserve">over</w:t>
      </w:r>
      <w:r>
        <w:t xml:space="preserve"> </w:t>
      </w:r>
      <m:oMath>
        <m:r>
          <m:t>κ</m:t>
        </m:r>
      </m:oMath>
      <w:r>
        <w:t xml:space="preserve"> </w:t>
      </w:r>
      <w:r>
        <w:t xml:space="preserve">and the closed-form Möbius law (Figs. S10–S12); (x) the moving-force analysis behind the dynamic bound; (xi) the deflection records of two simply supported bridges, which illustrate baseline handling and low-pass filtering (Figs. S13–S14).</w:t>
      </w:r>
    </w:p>
    <w:bookmarkEnd w:id="53"/>
    <w:bookmarkStart w:id="54"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C. Zhou, C. Demartino, Y. Narazaki, Y. Xu, E. Chatzi, B.F. Spencer, Optimal sensor placement for bridge weigh-in-motion using an augmented Kalman filter, Mech. Syst. Signal Process. 241 (2025) 113522. https://doi.org/10.1016/j.ymssp.2025.113522</w:t>
      </w:r>
    </w:p>
    <w:p>
      <w:pPr>
        <w:pStyle w:val="BodyText"/>
      </w:pPr>
      <w:r>
        <w:t xml:space="preserve">[45] J. Zhang, Y. Liu, X. Fan, An AR(1)-Tikhonov-SVD-GCV framework for stochastic moving load identification driven by bridge multi-point deflection data, Structures 88 (2026) 111844. https://doi.org/10.1016/j.istruc.2026.111844</w:t>
      </w:r>
    </w:p>
    <w:p>
      <w:pPr>
        <w:pStyle w:val="BodyText"/>
      </w:pPr>
      <w:r>
        <w:t xml:space="preserve">[46] Z. Shen, W. Peng, X. Zhang, et al., A lightweight weigh-in-motion system based on vehicle-induced bridge deflection and impact dynamic responses, Int. J. Struct. Stab. Dyn. (2026), online. https://doi.org/10.1142/s0219455427503664</w:t>
      </w:r>
    </w:p>
    <w:p>
      <w:pPr>
        <w:pStyle w:val="BodyText"/>
      </w:pPr>
      <w:r>
        <w:t xml:space="preserve">[47]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[48] A. Moghadam, R. Sarlo, Nothing-on-Road Bridge-Weigh-In-Motion (NOR-BWIM) Dataset, version 1, University Libraries, Virginia Tech, figshare, 2024. https://doi.org/10.7294/26880898.v1</w:t>
      </w:r>
    </w:p>
    <w:p>
      <w:pPr>
        <w:pStyle w:val="BodyText"/>
      </w:pPr>
      <w:r>
        <w:t xml:space="preserve">[49]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[50] L. Frýba, Vibration of Solids and Structures under Moving Loads, 3rd ed., Thomas Telford, London, 1999.</w:t>
      </w:r>
    </w:p>
    <w:p>
      <w:pPr>
        <w:pStyle w:val="BodyText"/>
      </w:pPr>
      <w:r>
        <w:t xml:space="preserve">[51] H. Sohn, Effects of environmental and operational variability on structural health monitoring, Philos. Trans. R. Soc. A 365 (1851) (2007) 539–560. https://doi.org/10.1098/rsta.2006.1935</w:t>
      </w:r>
    </w:p>
    <w:p>
      <w:pPr>
        <w:pStyle w:val="BodyText"/>
      </w:pPr>
      <w:r>
        <w:t xml:space="preserve">[52] E.J. Cross, K.Y. Koo, J.M.W. Brownjohn, K. Worden, Long-term monitoring and data analysis of the Tamar Bridge, Mech. Syst. Signal Process. 35 (1–2) (2013) 16–34. https://doi.org/10.1016/j.ymssp.2012.08.026</w:t>
      </w:r>
    </w:p>
    <w:p>
      <w:pPr>
        <w:pStyle w:val="BodyText"/>
      </w:pPr>
      <w:r>
        <w:t xml:space="preserve">[53] EN 1991-2:2003, Eurocode 1: Actions on Structures – Part 2: Traffic Loads on Bridges, CEN, Brussels, 2003.</w:t>
      </w:r>
    </w:p>
    <w:p>
      <w:pPr>
        <w:pStyle w:val="BodyText"/>
      </w:pPr>
      <w:r>
        <w:t xml:space="preserve">[54] AASHTO, LRFD Bridge Design Specifications, 10th ed., American Association of State Highway and Transportation Officials, Washington, DC, 2024.</w:t>
      </w:r>
    </w:p>
    <w:bookmarkEnd w:id="54"/>
    <w:bookmarkStart w:id="79" w:name="figures"/>
    <w:p>
      <w:pPr>
        <w:pStyle w:val="Heading2"/>
      </w:pPr>
      <w:r>
        <w:t xml:space="preserve">Figures</w:t>
      </w:r>
    </w:p>
    <w:p>
      <w:pPr>
        <w:pStyle w:val="Figureplaceholder"/>
      </w:pPr>
      <w:r>
        <w:t xml:space="preserve">[Figure 1 to be inserted: source file supplied by the authors]</w:t>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t>s</m:t>
            </m:r>
          </m:sub>
        </m:sSub>
      </m:oMath>
      <w:r>
        <w:t xml:space="preserve">, main span</w:t>
      </w:r>
      <w:r>
        <w:t xml:space="preserve"> </w:t>
      </w:r>
      <m:oMath>
        <m:sSub>
          <m:e>
            <m:r>
              <m:t>L</m:t>
            </m:r>
          </m:e>
          <m:sub>
            <m:r>
              <m:t>c</m:t>
            </m:r>
          </m:sub>
        </m:sSub>
        <m:r>
          <m:rPr>
            <m:sty m:val="p"/>
          </m:rPr>
          <m:t>=</m:t>
        </m:r>
        <m:r>
          <m:t>β</m:t>
        </m:r>
        <m:sSub>
          <m:e>
            <m:r>
              <m:t>L</m:t>
            </m:r>
          </m:e>
          <m:sub>
            <m:r>
              <m:t>s</m:t>
            </m:r>
          </m:sub>
        </m:sSub>
      </m:oMath>
      <w:r>
        <w:t xml:space="preserve"> </w:t>
      </w:r>
      <w:r>
        <w:t xml:space="preserve">and side-span sensor at</w:t>
      </w:r>
      <w:r>
        <w:t xml:space="preserve"> </w:t>
      </w:r>
      <m:oMath>
        <m:r>
          <m:t>ξ</m:t>
        </m:r>
        <m:sSub>
          <m:e>
            <m:r>
              <m:t>L</m:t>
            </m:r>
          </m:e>
          <m:sub>
            <m:r>
              <m:t>s</m:t>
            </m:r>
          </m:sub>
        </m:sSub>
      </m:oMath>
      <w:r>
        <w:t xml:space="preserve">.</w:t>
      </w:r>
    </w:p>
    <w:p>
      <w:pPr>
        <w:pStyle w:val="BodyText"/>
      </w:pPr>
      <w:r>
        <w:drawing>
          <wp:inline>
            <wp:extent cx="5753100" cy="2363323"/>
            <wp:effectExtent b="0" l="0" r="0" t="0"/>
            <wp:docPr descr="" title="" id="56" name="Picture"/>
            <a:graphic>
              <a:graphicData uri="http://schemas.openxmlformats.org/drawingml/2006/picture">
                <pic:pic>
                  <pic:nvPicPr>
                    <pic:cNvPr descr="/home/user/SHM-Paper1-1D/manuscript/v4/figures/Fig2_obs_map_3span.png" id="57" name="Picture"/>
                    <pic:cNvPicPr>
                      <a:picLocks noChangeArrowheads="1" noChangeAspect="1"/>
                    </pic:cNvPicPr>
                  </pic:nvPicPr>
                  <pic:blipFill>
                    <a:blip r:embed="rId55"/>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59" name="Picture"/>
            <a:graphic>
              <a:graphicData uri="http://schemas.openxmlformats.org/drawingml/2006/picture">
                <pic:pic>
                  <pic:nvPicPr>
                    <pic:cNvPr descr="/home/user/SHM-Paper1-1D/manuscript/v4/figures/Fig3_channels_prismatic.png" id="60" name="Picture"/>
                    <pic:cNvPicPr>
                      <a:picLocks noChangeArrowheads="1" noChangeAspect="1"/>
                    </pic:cNvPicPr>
                  </pic:nvPicPr>
                  <pic:blipFill>
                    <a:blip r:embed="rId58"/>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2" name="Picture"/>
            <a:graphic>
              <a:graphicData uri="http://schemas.openxmlformats.org/drawingml/2006/picture">
                <pic:pic>
                  <pic:nvPicPr>
                    <pic:cNvPr descr="/home/user/SHM-Paper1-1D/manuscript/v4/figures/Fig4_multichannel_gain.png" id="63" name="Picture"/>
                    <pic:cNvPicPr>
                      <a:picLocks noChangeArrowheads="1" noChangeAspect="1"/>
                    </pic:cNvPicPr>
                  </pic:nvPicPr>
                  <pic:blipFill>
                    <a:blip r:embed="rId61"/>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(labelled offset-immune in the panel)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5" name="Picture"/>
            <a:graphic>
              <a:graphicData uri="http://schemas.openxmlformats.org/drawingml/2006/picture">
                <pic:pic>
                  <pic:nvPicPr>
                    <pic:cNvPr descr="/home/user/SHM-Paper1-1D/manuscript/v4/figures/Fig5_norbwim_crossings.png" id="66" name="Picture"/>
                    <pic:cNvPicPr>
                      <a:picLocks noChangeArrowheads="1" noChangeAspect="1"/>
                    </pic:cNvPicPr>
                  </pic:nvPicPr>
                  <pic:blipFill>
                    <a:blip r:embed="rId64"/>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68" name="Picture"/>
            <a:graphic>
              <a:graphicData uri="http://schemas.openxmlformats.org/drawingml/2006/picture">
                <pic:pic>
                  <pic:nvPicPr>
                    <pic:cNvPr descr="/home/user/SHM-Paper1-1D/manuscript/v4/figures/Fig6_norbwim_invariance.png" id="69" name="Picture"/>
                    <pic:cNvPicPr>
                      <a:picLocks noChangeArrowheads="1" noChangeAspect="1"/>
                    </pic:cNvPicPr>
                  </pic:nvPicPr>
                  <pic:blipFill>
                    <a:blip r:embed="rId67"/>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1" name="Picture"/>
            <a:graphic>
              <a:graphicData uri="http://schemas.openxmlformats.org/drawingml/2006/picture">
                <pic:pic>
                  <pic:nvPicPr>
                    <pic:cNvPr descr="/home/user/SHM-Paper1-1D/manuscript/v4/figures/Fig7_norbwim_estimators.png" id="72" name="Picture"/>
                    <pic:cNvPicPr>
                      <a:picLocks noChangeArrowheads="1" noChangeAspect="1"/>
                    </pic:cNvPicPr>
                  </pic:nvPicPr>
                  <pic:blipFill>
                    <a:blip r:embed="rId70"/>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4" name="Picture"/>
            <a:graphic>
              <a:graphicData uri="http://schemas.openxmlformats.org/drawingml/2006/picture">
                <pic:pic>
                  <pic:nvPicPr>
                    <pic:cNvPr descr="/home/user/SHM-Paper1-1D/manuscript/v4/figures/Fig8_caumay_channels.png" id="75" name="Picture"/>
                    <pic:cNvPicPr>
                      <a:picLocks noChangeArrowheads="1" noChangeAspect="1"/>
                    </pic:cNvPicPr>
                  </pic:nvPicPr>
                  <pic:blipFill>
                    <a:blip r:embed="rId73"/>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7" name="Picture"/>
            <a:graphic>
              <a:graphicData uri="http://schemas.openxmlformats.org/drawingml/2006/picture">
                <pic:pic>
                  <pic:nvPicPr>
                    <pic:cNvPr descr="/home/user/SHM-Paper1-1D/manuscript/v4/figures/Fig9_caumay_identifiability.png" id="78" name="Picture"/>
                    <pic:cNvPicPr>
                      <a:picLocks noChangeArrowheads="1" noChangeAspect="1"/>
                    </pic:cNvPicPr>
                  </pic:nvPicPr>
                  <pic:blipFill>
                    <a:blip r:embed="rId76"/>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9"/>
    <w:bookmarkEnd w:id="80"/>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2026-10-18T14:35:07Z</dcterms:created>
  <dcterms:modified xsi:type="dcterms:W3CDTF">2026-10-18T14:35:07Z</dcterms:modified>
</cp:coreProperties>
</file>

<file path=docProps/custom.xml><?xml version="1.0" encoding="utf-8"?>
<Properties xmlns="http://schemas.openxmlformats.org/officeDocument/2006/custom-properties" xmlns:vt="http://schemas.openxmlformats.org/officeDocument/2006/docPropsVTypes"/>
</file>