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14e59c9e169125ca80202fdddc5349ac100c77"/>
    <w:p>
      <w:pPr>
        <w:pStyle w:val="Heading1"/>
      </w:pPr>
      <w:r>
        <w:t xml:space="preserve">Observability and sensor layout for influence-area load monitoring of continuous girder bridges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On a continuous girder a channel’s influence line changes sign over the piers, so the area under a record, which gives the total load in influence-area weighing, can vanish. This paper gives criteria for choosing, before installation, channels that observe the total load. Closed forms give the blind loci of five channel types on continuous and haunched girders; strain gauges are blind at every zero of the uniform-load moment and nearly blind in a band that can contain gauges set back from the piers. Optimal sensors lie at the extremes of the uniform-load response, and the integral constant follows a linear-fractional (Möbius) law in the scaled pier stiffness. A laboratory test confirms the identity, and public moving-truck records are consistent with its assumptions; they also show that vehicle-free noise covariance misleads multi-channel weighting. On an in-service box girder, two static readings leave a side-span deflection constant uncertain by a factor of 6.6, whereas the main-span gauge is well determined, and a pier tiltmeter is the most informative additional measurement.</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(Al-Qadi et al., 2016; Jacob et al., 2002), but it weighs the vehicle rather than the load on a particular bridge. Bridge weigh-in-motion (BWIM), introduced by Moses (1979), fits the measured response to axle loads times influence-line ordinates and has been refined with measured influence lines (OBrien et al., 2006), regularisation (OBrien et al., 2009), accuracy improvements (Žnidarič et al., 2018; Yu et al., 2016)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regularised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Two of the present authors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fibre-optic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as a regularised stochastic problem (Zhang et al., 2026), and deflection influence lines have been inverted for girder stiffness (Zhou et al., 2026). None of these studies says, before installation, which channel at which position can observe the total load at all, and how robustly to uncertain boundary conditions.</w:t>
      </w:r>
    </w:p>
    <w:p>
      <w:pPr>
        <w:pStyle w:val="BodyText"/>
      </w:pPr>
      <w:r>
        <w:t xml:space="preserve">This paper supplies such criteria. Neither the influence-area identity nor the generalised least-squares (GLS) estimator is new; the contributions lie in the criteria built on them. (i) We derive a closed-form catalogue of blind loci for five channel types on two- and three-span and haunched girders, with two indicators that need no reference rigidity;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strain gauges are blind in every continuous girder. (ii) We derive a placement rule, optimal sensors at the extremes of the uniform-load response, and show on public moving-truck records that GLS weights built from vehicle-free noise raise the out-of-sample error above that of the gauge average (20.4 % against 11.9 % of gross weight). (iii) We show that the constant depends on pier stiffness through a linear-fractional (Möbius) law and, on an in-service box girder, that two static readings leave a side-span deflection constant uncertain by a factor of 6.6, while a pier tiltmeter would reduce the Cramér–Rao bound on its logarithm from 0.87 to 0.18.</w:t>
      </w:r>
    </w:p>
    <w:bookmarkEnd w:id="21"/>
    <w:bookmarkStart w:id="27"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fibre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P</m:t>
            </m:r>
          </m:e>
          <m:sub>
            <m:r>
              <m:rPr>
                <m:sty m:val="p"/>
              </m:rPr>
              <m:t>t</m:t>
            </m:r>
            <m:r>
              <m:rPr>
                <m:sty m:val="p"/>
              </m:rPr>
              <m:t>o</m:t>
            </m:r>
            <m:r>
              <m:rPr>
                <m:sty m:val="p"/>
              </m:rPr>
              <m:t>t</m:t>
            </m:r>
          </m:sub>
        </m:sSub>
      </m:oMath>
      <w:r>
        <w:t xml:space="preserve"> </w:t>
      </w:r>
      <w:r>
        <w:t xml:space="preserve">is 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 needs superposition only.</w:t>
      </w:r>
      <w:r>
        <w:t xml:space="preserve"> </w:t>
      </w:r>
      <m:oMath>
        <m:sSub>
          <m:e>
            <m:r>
              <m:t>C</m:t>
            </m:r>
          </m:e>
          <m:sub>
            <m:r>
              <m:t>m</m:t>
            </m:r>
          </m:sub>
        </m:sSub>
      </m:oMath>
      <w:r>
        <w:t xml:space="preserve"> </w:t>
      </w:r>
      <w:r>
        <w:t xml:space="preserve">is called the integral constant, or the constant. For a strain gauge at distance</w:t>
      </w:r>
      <w:r>
        <w:t xml:space="preserve"> </w:t>
      </w:r>
      <m:oMath>
        <m:r>
          <m:t>c</m:t>
        </m:r>
      </m:oMath>
      <w:r>
        <w:t xml:space="preserve"> </w:t>
      </w:r>
      <w:r>
        <w:t xml:space="preserve">from the neutral axis,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and truncating the record when the first axle leaves changes the rotation integral by up to 59 % on a two-span example (Supplementary Section S3).</w:t>
      </w:r>
    </w:p>
    <w:bookmarkEnd w:id="22"/>
    <w:bookmarkStart w:id="23" w:name="closed-form-blind-loci"/>
    <w:p>
      <w:pPr>
        <w:pStyle w:val="Heading3"/>
      </w:pPr>
      <w:r>
        <w:t xml:space="preserve">2.2. Closed-form blind loci</w:t>
      </w:r>
    </w:p>
    <w:p>
      <w:pPr>
        <w:pStyle w:val="FirstParagraph"/>
      </w:pPr>
      <w:r>
        <w:t xml:space="preserve">For a prismatic span under a uniform load, every channel is fixed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Its left-hand side is the indicator</w:t>
      </w:r>
      <w:r>
        <w:t xml:space="preserve"> </w:t>
      </w:r>
      <m:oMath>
        <m:sSub>
          <m:e>
            <m:r>
              <m:t>N</m:t>
            </m:r>
          </m:e>
          <m:sub>
            <m:r>
              <m:t>w</m:t>
            </m:r>
          </m:sub>
        </m:sSub>
      </m:oMath>
      <w:r>
        <w:t xml:space="preserve"> </w:t>
      </w:r>
      <w:r>
        <w:t xml:space="preserve">of Eq. (10).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BodyT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23"/>
    <w:bookmarkStart w:id="24"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and the rotation and shear indicators (Supplementary Section S3) equal 1, so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baseline stability and the lightest vehicle to be screened into one number.</w:t>
      </w:r>
    </w:p>
    <w:bookmarkEnd w:id="24"/>
    <w:bookmarkStart w:id="25"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minimising its variance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25"/>
    <w:bookmarkStart w:id="26"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its local slope.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26"/>
    <w:bookmarkEnd w:id="27"/>
    <w:bookmarkStart w:id="28"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reversed),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attribute to support seating or to the stated masses. The test supports the invariance of Eq. (2) only indirectly, and the predicted blind configuration (spans of 2500 mm and 3644 mm) was not tested.</w:t>
      </w:r>
    </w:p>
    <w:bookmarkEnd w:id="28"/>
    <w:bookmarkStart w:id="32"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29"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et al., 2022, 2023a, 2023b; Moghadam, 2022),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bookmarkEnd w:id="29"/>
    <w:bookmarkStart w:id="30" w:name="invariance-lanes-and-gauges"/>
    <w:p>
      <w:pPr>
        <w:pStyle w:val="Heading3"/>
      </w:pPr>
      <w:r>
        <w:t xml:space="preserve">4.2. Invariance, lanes and gauges</w:t>
      </w:r>
    </w:p>
    <w:p>
      <w:pPr>
        <w:pStyle w:val="FirstParagraph"/>
      </w:pPr>
      <w:r>
        <w:t xml:space="preserve">Invariance between trucks can be shown only within margins of 10–27 %. On day 1, the χ² test does not reject consistency with the measured noise for eight of the twelve gauges, but only ch11 shows equal constants for both trucks within ±10 % (Fig. 5a), about what chance alone would produce with twelve tests at the 5 % level.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gauge-factor spread is an unlikely cause.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30"/>
    <w:bookmarkStart w:id="31"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left"/>
            </w:pPr>
            <w:r>
              <w:t xml:space="preserve">Day 2, 4 gauges</w:t>
            </w:r>
          </w:p>
        </w:tc>
        <w:tc>
          <w:tcPr>
            <w:tcW w:type="dxa" w:w="2322"/>
            <w:tcBorders>
              <w:top w:val="nil"/>
              <w:left w:val="nil"/>
              <w:bottom w:val="single" w:sz="6" w:space="0" w:color="000000"/>
              <w:right w:val="nil"/>
            </w:tcBorders>
          </w:tcPr>
          <w:p>
            <w:pPr>
              <w:pStyle w:val="Compact"/>
              <w:jc w:val="left"/>
            </w:pPr>
            <w:r>
              <w:t xml:space="preserve">Day 1, 12 gauges</w:t>
            </w:r>
          </w:p>
        </w:tc>
      </w:tr>
      <w:tr>
        <w:tc>
          <w:tcPr>
            <w:tcW w:type="dxa" w:w="3981"/>
          </w:tcPr>
          <w:p>
            <w:pPr>
              <w:pStyle w:val="Compact"/>
              <w:jc w:val="left"/>
            </w:pPr>
            <w:r>
              <w:t xml:space="preserve">Gauge average</w:t>
            </w:r>
          </w:p>
        </w:tc>
        <w:tc>
          <w:tcPr>
            <w:tcW w:type="dxa" w:w="2765"/>
          </w:tcPr>
          <w:p>
            <w:pPr>
              <w:pStyle w:val="Compact"/>
              <w:jc w:val="left"/>
            </w:pPr>
            <w:r>
              <w:t xml:space="preserve">11.9 (6.0–18.6)</w:t>
            </w:r>
          </w:p>
        </w:tc>
        <w:tc>
          <w:tcPr>
            <w:tcW w:type="dxa" w:w="2322"/>
          </w:tcPr>
          <w:p>
            <w:pPr>
              <w:pStyle w:val="Compact"/>
              <w:jc w:val="left"/>
            </w:pPr>
            <w:r>
              <w:t xml:space="preserve">5.3 (2.5–7.8)</w:t>
            </w:r>
          </w:p>
        </w:tc>
      </w:tr>
      <w:tr>
        <w:tc>
          <w:tcPr>
            <w:tcW w:type="dxa" w:w="3981"/>
          </w:tcPr>
          <w:p>
            <w:pPr>
              <w:pStyle w:val="Compact"/>
              <w:jc w:val="left"/>
            </w:pPr>
            <w:r>
              <w:t xml:space="preserve">GLS, measured</w:t>
            </w:r>
            <w:r>
              <w:t xml:space="preserve"> </w:t>
            </w:r>
            <m:oMath>
              <m:r>
                <m:t>Σ</m:t>
              </m:r>
            </m:oMath>
          </w:p>
        </w:tc>
        <w:tc>
          <w:tcPr>
            <w:tcW w:type="dxa" w:w="2765"/>
          </w:tcPr>
          <w:p>
            <w:pPr>
              <w:pStyle w:val="Compact"/>
              <w:jc w:val="left"/>
            </w:pPr>
            <w:r>
              <w:t xml:space="preserve">20.4 (12.3–28.8)</w:t>
            </w:r>
          </w:p>
        </w:tc>
        <w:tc>
          <w:tcPr>
            <w:tcW w:type="dxa" w:w="2322"/>
          </w:tcPr>
          <w:p>
            <w:pPr>
              <w:pStyle w:val="Compact"/>
              <w:jc w:val="left"/>
            </w:pPr>
            <w:r>
              <w:t xml:space="preserve">5.8 (3.5–8.1)</w:t>
            </w:r>
          </w:p>
        </w:tc>
      </w:tr>
      <w:tr>
        <w:tc>
          <w:tcPr>
            <w:tcW w:type="dxa" w:w="3981"/>
          </w:tcPr>
          <w:p>
            <w:pPr>
              <w:pStyle w:val="Compact"/>
              <w:jc w:val="left"/>
            </w:pPr>
            <w:r>
              <w:t xml:space="preserve">Best single gauge (chosen after the fact)</w:t>
            </w:r>
          </w:p>
        </w:tc>
        <w:tc>
          <w:tcPr>
            <w:tcW w:type="dxa" w:w="2765"/>
          </w:tcPr>
          <w:p>
            <w:pPr>
              <w:pStyle w:val="Compact"/>
              <w:jc w:val="left"/>
            </w:pPr>
            <w:r>
              <w:t xml:space="preserve">8.4 (2.9–15.3)</w:t>
            </w:r>
          </w:p>
        </w:tc>
        <w:tc>
          <w:tcPr>
            <w:tcW w:type="dxa" w:w="2322"/>
          </w:tcPr>
          <w:p>
            <w:pPr>
              <w:pStyle w:val="Compact"/>
              <w:jc w:val="left"/>
            </w:pPr>
            <w:r>
              <w:t xml:space="preserve">4.8 (1.8–7.9)</w:t>
            </w:r>
          </w:p>
        </w:tc>
      </w:tr>
      <w:tr>
        <w:tc>
          <w:tcPr>
            <w:tcW w:type="dxa" w:w="3981"/>
          </w:tcPr>
          <w:p>
            <w:pPr>
              <w:pStyle w:val="Compact"/>
              <w:jc w:val="left"/>
            </w:pPr>
            <w:r>
              <w:t xml:space="preserve">Mean weight of the calibration runs</w:t>
            </w:r>
          </w:p>
        </w:tc>
        <w:tc>
          <w:tcPr>
            <w:tcW w:type="dxa" w:w="2765"/>
          </w:tcPr>
          <w:p>
            <w:pPr>
              <w:pStyle w:val="Compact"/>
              <w:jc w:val="left"/>
            </w:pPr>
            <w:r>
              <w:t xml:space="preserve">2.0 (1.9–2.0)</w:t>
            </w:r>
          </w:p>
        </w:tc>
        <w:tc>
          <w:tcPr>
            <w:tcW w:type="dxa" w:w="2322"/>
          </w:tcPr>
          <w:p>
            <w:pPr>
              <w:pStyle w:val="Compact"/>
              <w:jc w:val="lef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31"/>
    <w:bookmarkEnd w:id="32"/>
    <w:bookmarkStart w:id="36" w:name="X905b9edee6dff7c6c26aae9854d3fe45787768b"/>
    <w:p>
      <w:pPr>
        <w:pStyle w:val="Heading2"/>
      </w:pPr>
      <w:r>
        <w:t xml:space="preserve">5. Design case: an in-service three-span box girder</w:t>
      </w:r>
    </w:p>
    <w:bookmarkStart w:id="33"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weighed mean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bookmarkEnd w:id="33"/>
    <w:bookmarkStart w:id="34"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test quantity</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modelled N8 deflection varies by a factor of 6.5 over the admissible set, against 1.5 for N7.</w:t>
      </w:r>
    </w:p>
    <w:p>
      <w:pPr>
        <w:pStyle w:val="BodyT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lef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lef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left"/>
            </w:pPr>
            <m:oMath>
              <m:r>
                <m:t>R</m:t>
              </m:r>
            </m:oMath>
            <w:r>
              <w:t xml:space="preserve">, N8 at 0.4L</w:t>
            </w:r>
          </w:p>
        </w:tc>
        <w:tc>
          <w:tcPr>
            <w:tcW w:type="dxa" w:w="1492"/>
            <w:tcBorders>
              <w:top w:val="nil"/>
              <w:left w:val="nil"/>
              <w:bottom w:val="single" w:sz="6" w:space="0" w:color="000000"/>
              <w:right w:val="nil"/>
            </w:tcBorders>
          </w:tcPr>
          <w:p>
            <w:pPr>
              <w:pStyle w:val="Compact"/>
              <w:jc w:val="left"/>
            </w:pPr>
            <m:oMath>
              <m:r>
                <m:t>R</m:t>
              </m:r>
            </m:oMath>
            <w:r>
              <w:t xml:space="preserve">, N7</w:t>
            </w:r>
          </w:p>
        </w:tc>
      </w:tr>
      <w:tr>
        <w:tc>
          <w:tcPr>
            <w:tcW w:type="dxa" w:w="2388"/>
          </w:tcPr>
          <w:p>
            <w:pPr>
              <w:pStyle w:val="Compact"/>
              <w:jc w:val="left"/>
            </w:pPr>
            <w:r>
              <w:t xml:space="preserve">Prismatic beam, pinned piers</w:t>
            </w:r>
          </w:p>
        </w:tc>
        <w:tc>
          <w:tcPr>
            <w:tcW w:type="dxa" w:w="1919"/>
          </w:tcPr>
          <w:p>
            <w:pPr>
              <w:pStyle w:val="Compact"/>
              <w:jc w:val="left"/>
            </w:pPr>
            <w:r>
              <w:t xml:space="preserve">0.287</w:t>
            </w:r>
          </w:p>
        </w:tc>
        <w:tc>
          <w:tcPr>
            <w:tcW w:type="dxa" w:w="1777"/>
          </w:tcPr>
          <w:p>
            <w:pPr>
              <w:pStyle w:val="Compact"/>
              <w:jc w:val="left"/>
            </w:pPr>
            <w:r>
              <w:t xml:space="preserve">0.755</w:t>
            </w:r>
          </w:p>
        </w:tc>
        <w:tc>
          <w:tcPr>
            <w:tcW w:type="dxa" w:w="1492"/>
          </w:tcPr>
          <w:p>
            <w:pPr>
              <w:pStyle w:val="Compact"/>
              <w:jc w:val="left"/>
            </w:pPr>
            <w:r>
              <w:t xml:space="preserve">0.14</w:t>
            </w:r>
          </w:p>
        </w:tc>
        <w:tc>
          <w:tcPr>
            <w:tcW w:type="dxa" w:w="1492"/>
          </w:tcPr>
          <w:p>
            <w:pPr>
              <w:pStyle w:val="Compact"/>
              <w:jc w:val="left"/>
            </w:pPr>
            <w:r>
              <w:t xml:space="preserve">0.70</w:t>
            </w:r>
          </w:p>
        </w:tc>
      </w:tr>
      <w:tr>
        <w:tc>
          <w:tcPr>
            <w:tcW w:type="dxa" w:w="2388"/>
          </w:tcPr>
          <w:p>
            <w:pPr>
              <w:pStyle w:val="Compact"/>
              <w:jc w:val="left"/>
            </w:pPr>
            <w:r>
              <w:t xml:space="preserve">Haunched, calibration A</w:t>
            </w:r>
          </w:p>
        </w:tc>
        <w:tc>
          <w:tcPr>
            <w:tcW w:type="dxa" w:w="1919"/>
          </w:tcPr>
          <w:p>
            <w:pPr>
              <w:pStyle w:val="Compact"/>
              <w:jc w:val="left"/>
            </w:pPr>
            <w:r>
              <w:t xml:space="preserve">0.181</w:t>
            </w:r>
          </w:p>
        </w:tc>
        <w:tc>
          <w:tcPr>
            <w:tcW w:type="dxa" w:w="1777"/>
          </w:tcPr>
          <w:p>
            <w:pPr>
              <w:pStyle w:val="Compact"/>
              <w:jc w:val="left"/>
            </w:pPr>
            <w:r>
              <w:t xml:space="preserve">0.209</w:t>
            </w:r>
          </w:p>
        </w:tc>
        <w:tc>
          <w:tcPr>
            <w:tcW w:type="dxa" w:w="1492"/>
          </w:tcPr>
          <w:p>
            <w:pPr>
              <w:pStyle w:val="Compact"/>
              <w:jc w:val="left"/>
            </w:pPr>
            <w:r>
              <w:t xml:space="preserve">0.18</w:t>
            </w:r>
          </w:p>
        </w:tc>
        <w:tc>
          <w:tcPr>
            <w:tcW w:type="dxa" w:w="1492"/>
          </w:tcPr>
          <w:p>
            <w:pPr>
              <w:pStyle w:val="Compact"/>
              <w:jc w:val="left"/>
            </w:pPr>
            <w:r>
              <w:t xml:space="preserve">0.59</w:t>
            </w:r>
          </w:p>
        </w:tc>
      </w:tr>
      <w:tr>
        <w:tc>
          <w:tcPr>
            <w:tcW w:type="dxa" w:w="2388"/>
          </w:tcPr>
          <w:p>
            <w:pPr>
              <w:pStyle w:val="Compact"/>
              <w:jc w:val="left"/>
            </w:pPr>
            <w:r>
              <w:t xml:space="preserve">Haunched, calibration B</w:t>
            </w:r>
          </w:p>
        </w:tc>
        <w:tc>
          <w:tcPr>
            <w:tcW w:type="dxa" w:w="1919"/>
          </w:tcPr>
          <w:p>
            <w:pPr>
              <w:pStyle w:val="Compact"/>
              <w:jc w:val="left"/>
            </w:pPr>
            <w:r>
              <w:t xml:space="preserve">0.476ᵃ</w:t>
            </w:r>
          </w:p>
        </w:tc>
        <w:tc>
          <w:tcPr>
            <w:tcW w:type="dxa" w:w="1777"/>
          </w:tcPr>
          <w:p>
            <w:pPr>
              <w:pStyle w:val="Compact"/>
              <w:jc w:val="left"/>
            </w:pPr>
            <w:r>
              <w:t xml:space="preserve">0.234</w:t>
            </w:r>
          </w:p>
        </w:tc>
        <w:tc>
          <w:tcPr>
            <w:tcW w:type="dxa" w:w="1492"/>
          </w:tcPr>
          <w:p>
            <w:pPr>
              <w:pStyle w:val="Compact"/>
              <w:jc w:val="left"/>
            </w:pPr>
            <w:r>
              <w:t xml:space="preserve">0.56</w:t>
            </w:r>
          </w:p>
        </w:tc>
        <w:tc>
          <w:tcPr>
            <w:tcW w:type="dxa" w:w="1492"/>
          </w:tcPr>
          <w:p>
            <w:pPr>
              <w:pStyle w:val="Compact"/>
              <w:jc w:val="left"/>
            </w:pPr>
            <w:r>
              <w:t xml:space="preserve">0.77</w:t>
            </w:r>
          </w:p>
        </w:tc>
      </w:tr>
      <w:tr>
        <w:tc>
          <w:tcPr>
            <w:tcW w:type="dxa" w:w="2388"/>
          </w:tcPr>
          <w:p>
            <w:pPr>
              <w:pStyle w:val="Compact"/>
              <w:jc w:val="left"/>
            </w:pPr>
            <w:r>
              <w:t xml:space="preserve">Haunched, admissible set</w:t>
            </w:r>
          </w:p>
        </w:tc>
        <w:tc>
          <w:tcPr>
            <w:tcW w:type="dxa" w:w="1919"/>
          </w:tcPr>
          <w:p>
            <w:pPr>
              <w:pStyle w:val="Compact"/>
              <w:jc w:val="left"/>
            </w:pPr>
            <w:r>
              <w:t xml:space="preserve">0.124–0.822ᵇ</w:t>
            </w:r>
          </w:p>
        </w:tc>
        <w:tc>
          <w:tcPr>
            <w:tcW w:type="dxa" w:w="1777"/>
          </w:tcPr>
          <w:p>
            <w:pPr>
              <w:pStyle w:val="Compact"/>
              <w:jc w:val="left"/>
            </w:pPr>
            <w:r>
              <w:t xml:space="preserve">0.190–0.286</w:t>
            </w:r>
          </w:p>
        </w:tc>
        <w:tc>
          <w:tcPr>
            <w:tcW w:type="dxa" w:w="1492"/>
          </w:tcPr>
          <w:p>
            <w:pPr>
              <w:pStyle w:val="Compact"/>
              <w:jc w:val="left"/>
            </w:pPr>
            <w:r>
              <w:t xml:space="preserve">0.13–1.00</w:t>
            </w:r>
          </w:p>
        </w:tc>
        <w:tc>
          <w:tcPr>
            <w:tcW w:type="dxa" w:w="1492"/>
          </w:tcPr>
          <w:p>
            <w:pPr>
              <w:pStyle w:val="Compact"/>
              <w:jc w:val="left"/>
            </w:pPr>
            <w:r>
              <w:t xml:space="preserve">0.56–1.00</w:t>
            </w:r>
          </w:p>
        </w:tc>
      </w:tr>
      <w:tr>
        <w:tc>
          <w:tcPr>
            <w:tcW w:type="dxa" w:w="2388"/>
          </w:tcPr>
          <w:p>
            <w:pPr>
              <w:pStyle w:val="Compact"/>
              <w:jc w:val="left"/>
            </w:pPr>
            <w:r>
              <w:t xml:space="preserve">Haunched, pinned piers</w:t>
            </w:r>
          </w:p>
        </w:tc>
        <w:tc>
          <w:tcPr>
            <w:tcW w:type="dxa" w:w="1919"/>
          </w:tcPr>
          <w:p>
            <w:pPr>
              <w:pStyle w:val="Compact"/>
              <w:jc w:val="left"/>
            </w:pPr>
            <w:r>
              <w:t xml:space="preserve">0.023</w:t>
            </w:r>
          </w:p>
        </w:tc>
        <w:tc>
          <w:tcPr>
            <w:tcW w:type="dxa" w:w="1777"/>
          </w:tcPr>
          <w:p>
            <w:pPr>
              <w:pStyle w:val="Compact"/>
              <w:jc w:val="left"/>
            </w:pPr>
            <w:r>
              <w:t xml:space="preserve">0.263</w:t>
            </w:r>
          </w:p>
        </w:tc>
        <w:tc>
          <w:tcPr>
            <w:tcW w:type="dxa" w:w="1492"/>
          </w:tcPr>
          <w:p>
            <w:pPr>
              <w:pStyle w:val="Compact"/>
              <w:jc w:val="left"/>
            </w:pPr>
            <w:r>
              <w:t xml:space="preserve">–</w:t>
            </w:r>
          </w:p>
        </w:tc>
        <w:tc>
          <w:tcPr>
            <w:tcW w:type="dxa" w:w="1492"/>
          </w:tcPr>
          <w:p>
            <w:pPr>
              <w:pStyle w:val="Compact"/>
              <w:jc w:val="left"/>
            </w:pPr>
            <w:r>
              <w:t xml:space="preserve">–</w:t>
            </w:r>
          </w:p>
        </w:tc>
      </w:tr>
      <w:tr>
        <w:tc>
          <w:tcPr>
            <w:tcW w:type="dxa" w:w="2388"/>
          </w:tcPr>
          <w:p>
            <w:pPr>
              <w:pStyle w:val="Compact"/>
              <w:jc w:val="left"/>
            </w:pPr>
            <w:r>
              <w:t xml:space="preserve">Haunched, fixed piers</w:t>
            </w:r>
          </w:p>
        </w:tc>
        <w:tc>
          <w:tcPr>
            <w:tcW w:type="dxa" w:w="1919"/>
          </w:tcPr>
          <w:p>
            <w:pPr>
              <w:pStyle w:val="Compact"/>
              <w:jc w:val="left"/>
            </w:pPr>
            <w:r>
              <w:t xml:space="preserve">0.446</w:t>
            </w:r>
          </w:p>
        </w:tc>
        <w:tc>
          <w:tcPr>
            <w:tcW w:type="dxa" w:w="1777"/>
          </w:tcPr>
          <w:p>
            <w:pPr>
              <w:pStyle w:val="Compact"/>
              <w:jc w:val="left"/>
            </w:pPr>
            <w:r>
              <w:t xml:space="preserve">0.145</w:t>
            </w:r>
          </w:p>
        </w:tc>
        <w:tc>
          <w:tcPr>
            <w:tcW w:type="dxa" w:w="1492"/>
          </w:tcPr>
          <w:p>
            <w:pPr>
              <w:pStyle w:val="Compact"/>
              <w:jc w:val="left"/>
            </w:pPr>
            <w:r>
              <w:t xml:space="preserve">–</w:t>
            </w:r>
          </w:p>
        </w:tc>
        <w:tc>
          <w:tcPr>
            <w:tcW w:type="dxa" w:w="1492"/>
          </w:tcPr>
          <w:p>
            <w:pPr>
              <w:pStyle w:val="Compact"/>
              <w:jc w:val="left"/>
            </w:pPr>
            <w:r>
              <w:t xml:space="preserve">–</w:t>
            </w:r>
          </w:p>
        </w:tc>
      </w:tr>
    </w:tbl>
    <w:p>
      <w:pPr>
        <w:pStyle w:val="BodyText"/>
      </w:pPr>
      <w:r>
        <w:t xml:space="preserve">ᵃ Normalised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normalised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34"/>
    <w:bookmarkStart w:id="35"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towards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w:t>
      </w:r>
      <w:r>
        <w:t xml:space="preserve"> </w:t>
      </w:r>
      <m:oMath>
        <m:r>
          <m:t>ρ</m:t>
        </m:r>
        <m:r>
          <m:rPr>
            <m:sty m:val="p"/>
          </m:rPr>
          <m:t>=</m:t>
        </m:r>
        <m:r>
          <m:t>0.9</m:t>
        </m:r>
      </m:oMath>
      <w:r>
        <w:t xml:space="preserve">, calibration A), the standard deviation of the load falls from 24.8 % with N7 alone to 10.6 % with the pair, an upper bound because such common-mode behaviour need not hold during crossings (Section 4.3).</w:t>
      </w:r>
    </w:p>
    <w:p>
      <w:pPr>
        <w:pStyle w:val="BodyText"/>
      </w:pPr>
      <w:r>
        <w:t xml:space="preserve">If a model-based constant is wanted, a tiltmeter on the monolithic pier T7 is the most informative additional measurement; under the side-span convoy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N7</w:t>
            </w:r>
          </w:p>
        </w:tc>
        <w:tc>
          <w:tcPr>
            <w:tcW w:type="dxa" w:w="2636"/>
          </w:tcPr>
          <w:p>
            <w:pPr>
              <w:pStyle w:val="Compact"/>
              <w:jc w:val="left"/>
            </w:pPr>
            <w:r>
              <w:t xml:space="preserve">0.006</w:t>
            </w:r>
          </w:p>
        </w:tc>
        <w:tc>
          <w:tcPr>
            <w:tcW w:type="dxa" w:w="2636"/>
          </w:tcPr>
          <w:p>
            <w:pPr>
              <w:pStyle w:val="Compact"/>
              <w:jc w:val="left"/>
            </w:pPr>
            <w:r>
              <w:t xml:space="preserve">0.17</w:t>
            </w:r>
          </w:p>
        </w:tc>
      </w:tr>
    </w:tbl>
    <w:bookmarkEnd w:id="35"/>
    <w:bookmarkEnd w:id="36"/>
    <w:bookmarkStart w:id="37"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integral weighing on a long-span girder is therefore marginal even at the best location, and non-contact techniques must establish their residual offset on site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other terms are in Supplementary Section S10. The method is therefore proposed for preliminary overload screening, with the threshold set with a margin below the legal limit and the design live loads (CEN, 2003; AASHTO, 2024) and instrumented BWIM for flagged vehicles;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37"/>
    <w:bookmarkStart w:id="38"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A residual offset of 0.1 mm biases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38"/>
    <w:bookmarkStart w:id="39"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39"/>
    <w:bookmarkStart w:id="4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40"/>
    <w:bookmarkStart w:id="4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 Hung-Son Nguyen: Investigation, Data curation, Visualization, Writing – review &amp; editing.</w:t>
      </w:r>
    </w:p>
    <w:bookmarkEnd w:id="41"/>
    <w:bookmarkStart w:id="48" w:name="statements-and-declarations"/>
    <w:p>
      <w:pPr>
        <w:pStyle w:val="Heading2"/>
      </w:pPr>
      <w:r>
        <w:t xml:space="preserve">Statements and Declarations</w:t>
      </w:r>
    </w:p>
    <w:bookmarkStart w:id="42" w:name="ethical-considerations"/>
    <w:p>
      <w:pPr>
        <w:pStyle w:val="Heading3"/>
      </w:pPr>
      <w:r>
        <w:t xml:space="preserve">Ethical considerations</w:t>
      </w:r>
    </w:p>
    <w:p>
      <w:pPr>
        <w:pStyle w:val="FirstParagraph"/>
      </w:pPr>
      <w:r>
        <w:t xml:space="preserve">Not applicable.</w:t>
      </w:r>
    </w:p>
    <w:bookmarkEnd w:id="42"/>
    <w:bookmarkStart w:id="43" w:name="consent-to-participate"/>
    <w:p>
      <w:pPr>
        <w:pStyle w:val="Heading3"/>
      </w:pPr>
      <w:r>
        <w:t xml:space="preserve">Consent to participate</w:t>
      </w:r>
    </w:p>
    <w:p>
      <w:pPr>
        <w:pStyle w:val="FirstParagraph"/>
      </w:pPr>
      <w:r>
        <w:t xml:space="preserve">Not applicable.</w:t>
      </w:r>
    </w:p>
    <w:bookmarkEnd w:id="43"/>
    <w:bookmarkStart w:id="44" w:name="consent-for-publication"/>
    <w:p>
      <w:pPr>
        <w:pStyle w:val="Heading3"/>
      </w:pPr>
      <w:r>
        <w:t xml:space="preserve">Consent for publication</w:t>
      </w:r>
    </w:p>
    <w:p>
      <w:pPr>
        <w:pStyle w:val="FirstParagraph"/>
      </w:pPr>
      <w:r>
        <w:t xml:space="preserve">Not applicable.</w:t>
      </w:r>
    </w:p>
    <w:bookmarkEnd w:id="44"/>
    <w:bookmarkStart w:id="45" w:name="declaration-of-conflicting-interest"/>
    <w:p>
      <w:pPr>
        <w:pStyle w:val="Heading3"/>
      </w:pPr>
      <w:r>
        <w:t xml:space="preserve">Declaration of conflicting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5"/>
    <w:bookmarkStart w:id="4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6"/>
    <w:bookmarkStart w:id="47" w:name="data-availability"/>
    <w:p>
      <w:pPr>
        <w:pStyle w:val="Heading3"/>
      </w:pPr>
      <w:r>
        <w:t xml:space="preserve">Data availability</w:t>
      </w:r>
    </w:p>
    <w:p>
      <w:pPr>
        <w:pStyle w:val="FirstParagraph"/>
      </w:pPr>
      <w:r>
        <w:t xml:space="preserve">The field strain records analysed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47"/>
    <w:bookmarkEnd w:id="48"/>
    <w:bookmarkStart w:id="49" w:name="references"/>
    <w:p>
      <w:pPr>
        <w:pStyle w:val="Heading2"/>
      </w:pPr>
      <w:r>
        <w:t xml:space="preserve">References</w:t>
      </w:r>
    </w:p>
    <w:p>
      <w:pPr>
        <w:pStyle w:val="FirstParagraph"/>
      </w:pPr>
      <w:r>
        <w:t xml:space="preserve">AASHTO (2024) LRFD Bridge Design Specifications, 10th ed., American Association of State Highway and Transportation Officials, Washington, DC.</w:t>
      </w:r>
    </w:p>
    <w:p>
      <w:pPr>
        <w:pStyle w:val="BodyText"/>
      </w:pPr>
      <w:r>
        <w:t xml:space="preserve">Agüero-Barrantes P, Lobo-Aguilar S and Christenson RE (2021) Sparse sensing bridge weigh-in-motion for single-span bridges. Métodos y Materiales 11: 43–53. DOI: 10.15517/mym.v11i0.46400.</w:t>
      </w:r>
    </w:p>
    <w:p>
      <w:pPr>
        <w:pStyle w:val="BodyText"/>
      </w:pPr>
      <w:r>
        <w:t xml:space="preserve">Agüero-Barrantes P, Christenson RE and Lobo-Aguilar S (2023) Utilizing Kriging metamodeling to provide practical and effective bridge weigh-in-motion. J. Bridge Eng. 28(2): 04022138. DOI: 10.1061/JBENF2.BEENG-5760.</w:t>
      </w:r>
    </w:p>
    <w:p>
      <w:pPr>
        <w:pStyle w:val="BodyText"/>
      </w:pPr>
      <w:r>
        <w:t xml:space="preserve">Al-Qadi I, Wang H, Ouyang Y, Grimmelsman K and Purdy JE (2016) LTBP Program’s Literature Review on Weigh-in-Motion Systems. Report FHWA-HRT-16-024, Federal Highway Administration, Washington, DC. https://rosap.ntl.bts.gov/view/dot/35735.</w:t>
      </w:r>
    </w:p>
    <w:p>
      <w:pPr>
        <w:pStyle w:val="BodyText"/>
      </w:pPr>
      <w:r>
        <w:t xml:space="preserve">Cardini AJ and DeWolf JT (2009) Implementation of a long-term bridge weigh-in-motion system for a steel girder bridge in the interstate highway system. J. Bridge Eng. 14(6): 418–423. DOI: 10.1061/(ASCE)1084-0702(2009)14:6(418).</w:t>
      </w:r>
    </w:p>
    <w:p>
      <w:pPr>
        <w:pStyle w:val="BodyText"/>
      </w:pPr>
      <w:r>
        <w:t xml:space="preserve">CEN (2003) EN 1991-2:2003, Eurocode 1: Actions on Structures – Part 2: Traffic Loads on Bridges, CEN, Brussels.</w:t>
      </w:r>
    </w:p>
    <w:p>
      <w:pPr>
        <w:pStyle w:val="BodyText"/>
      </w:pPr>
      <w:r>
        <w:t xml:space="preserve">Chan THT, Law SS, Yung TH and Yuan XR (1999) An interpretive method for moving force identification. J. Sound Vib. 219(3): 503–524. DOI: 10.1006/jsvi.1998.1904.</w:t>
      </w:r>
    </w:p>
    <w:p>
      <w:pPr>
        <w:pStyle w:val="BodyText"/>
      </w:pPr>
      <w:r>
        <w:t xml:space="preserve">Chaudhary MTA, Morgese M, Taylor TW and Ansari F (2025) Method and application for influence-line-free distributed detection of gross vehicle weights in bridges. Structures 73: 108298. DOI: 10.1016/j.istruc.2025.108298.</w:t>
      </w:r>
    </w:p>
    <w:p>
      <w:pPr>
        <w:pStyle w:val="BodyText"/>
      </w:pPr>
      <w:r>
        <w:t xml:space="preserve">Cross EJ, Koo KY, Brownjohn JMW and Worden K (2013) Long-term monitoring and data analysis of the Tamar Bridge. Mech. Syst. Signal Process. 35(1–2): 16–34. DOI: 10.1016/j.ymssp.2012.08.026.</w:t>
      </w:r>
    </w:p>
    <w:p>
      <w:pPr>
        <w:pStyle w:val="BodyText"/>
      </w:pPr>
      <w:r>
        <w:t xml:space="preserve">Deng L, Liu P, Huang T and Kaewunruen S (2025) A novel moving load identification method for continuous rigid-frame bridges using a field-based displacement influence line. Appl. Sci. 15(11): 6028. DOI: 10.3390/app15116028.</w:t>
      </w:r>
    </w:p>
    <w:p>
      <w:pPr>
        <w:pStyle w:val="BodyText"/>
      </w:pPr>
      <w:r>
        <w:t xml:space="preserve">Fan Y, Zhu J, Pei J and Li Z (2015) Analysis for Yangmingtan Bridge collapse. Eng. Fail. Anal. 56: 20–27. DOI: 10.1016/j.engfailanal.2015.05.003.</w:t>
      </w:r>
    </w:p>
    <w:p>
      <w:pPr>
        <w:pStyle w:val="BodyText"/>
      </w:pPr>
      <w:r>
        <w:t xml:space="preserve">Frýba L (1999) Vibration of Solids and Structures under Moving Loads, 3rd ed. Thomas Telford, London.</w:t>
      </w:r>
    </w:p>
    <w:p>
      <w:pPr>
        <w:pStyle w:val="BodyText"/>
      </w:pPr>
      <w:r>
        <w:t xml:space="preserve">Ghali A, Neville AM and Brown TG (2017) Structural Analysis: A Unified Classical and Matrix Approach. CRC Press, Boca Raton. DOI: 10.1201/9781315273006.</w:t>
      </w:r>
    </w:p>
    <w:p>
      <w:pPr>
        <w:pStyle w:val="BodyText"/>
      </w:pPr>
      <w:r>
        <w:t xml:space="preserve">Helmi K, Bakht B and Mufti A (2014) Accurate measurements of gross vehicle weight through bridge weigh-in-motion: a case study. J. Civ. Struct. Health Monit. 4(3): 195–208. DOI: 10.1007/s13349-014-0076-5.</w:t>
      </w:r>
    </w:p>
    <w:p>
      <w:pPr>
        <w:pStyle w:val="BodyText"/>
      </w:pPr>
      <w:r>
        <w:t xml:space="preserve">Jacob B, OBrien EJ and Jehaes S (eds) (2002) Weigh-in-Motion of Road Vehicles: Final Report of the COST 323 Action. LCPC, Paris.</w:t>
      </w:r>
    </w:p>
    <w:p>
      <w:pPr>
        <w:pStyle w:val="BodyText"/>
      </w:pPr>
      <w:r>
        <w:t xml:space="preserve">Law SS and Zhu XQ (2000) Study on different beam models in moving force identification. J. Sound Vib. 234(4): 661–679. DOI: 10.1006/jsvi.2000.2867.</w:t>
      </w:r>
    </w:p>
    <w:p>
      <w:pPr>
        <w:pStyle w:val="BodyText"/>
      </w:pPr>
      <w:r>
        <w:t xml:space="preserve">Law SS, Chan THT and Zeng QH (1997) Moving force identification: a time domain method. J. Sound Vib. 201(1): 1–22. DOI: 10.1006/jsvi.1996.0774.</w:t>
      </w:r>
    </w:p>
    <w:p>
      <w:pPr>
        <w:pStyle w:val="BodyText"/>
      </w:pPr>
      <w:r>
        <w:t xml:space="preserve">Lobo Aguilar S and Christenson RE (2018) A simplified shear-strain based bridge weigh-in-motion method for in-service highway bridges. Métodos y Materiales 8: 11–22. DOI: 10.15517/mym.v8i1.34551.</w:t>
      </w:r>
    </w:p>
    <w:p>
      <w:pPr>
        <w:pStyle w:val="BodyTex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pPr>
      <w:r>
        <w:t xml:space="preserve">Moghadam A and Sarlo R (2024) Nothing-on-Road Bridge-Weigh-In-Motion (NOR-BWIM) Dataset, version 1. University Libraries, Virginia Tech, figshare. DOI: 10.7294/26880898.v1.</w:t>
      </w:r>
    </w:p>
    <w:p>
      <w:pPr>
        <w:pStyle w:val="BodyText"/>
      </w:pPr>
      <w:r>
        <w:t xml:space="preserve">Moghadam A, AlHamaydeh M and Sarlo R (2022) Bridge-weigh-in-motion approach for simultaneous multiple vehicles on concrete-box-girder bridges. Autom. Constr. 137: 104179. DOI: 10.1016/j.autcon.2022.104179.</w:t>
      </w:r>
    </w:p>
    <w:p>
      <w:pPr>
        <w:pStyle w:val="BodyText"/>
      </w:pPr>
      <w:r>
        <w:t xml:space="preserve">Moghadam A, AlHamaydeh M and Sarlo R (2023a) Nothing-on-road bridge-weigh-in-motion used for long-span, concrete-box-girder bridges: an experimental case study. J. Struct. Integr. Maint. 8(2): 79–90. DOI: 10.1080/24705314.2023.2165606.</w:t>
      </w:r>
    </w:p>
    <w:p>
      <w:pPr>
        <w:pStyle w:val="BodyText"/>
      </w:pPr>
      <w:r>
        <w:t xml:space="preserve">Moghadam A, AlHamaydeh M and Sarlo R (2023b) Dual-purpose procedure for bridge health monitoring and weigh-in-motion used for multiple-vehicle events. Autom. Constr. 148: 104768. DOI: 10.1016/j.autcon.2023.104768.</w:t>
      </w:r>
    </w:p>
    <w:p>
      <w:pPr>
        <w:pStyle w:val="BodyText"/>
      </w:pPr>
      <w:r>
        <w:t xml:space="preserve">Moses F (1979) Weigh-in-motion system using instrumented bridges. Transp. Eng. J. ASCE 105(3): 233–249. DOI: 10.1061/TPEJAN.0000783.</w:t>
      </w:r>
    </w:p>
    <w:p>
      <w:pPr>
        <w:pStyle w:val="BodyText"/>
      </w:pPr>
      <w:r>
        <w:t xml:space="preserve">Nguyen QB, Hoang T and Nguyen HS (2024) [Determination of the load applied on a simply supported beam based on measured deflection data]. J. Sci. Technol. Civ. Eng. (HUCE) 18(2V): 61–71 (in Vietnamese). DOI: 10.31814/stce.huce2024-18(2V)-05.</w:t>
      </w:r>
    </w:p>
    <w:p>
      <w:pPr>
        <w:pStyle w:val="BodyText"/>
      </w:pPr>
      <w:r>
        <w:t xml:space="preserve">OBrien EJ, Quilligan MJ and Karoumi R (2006) Calculating an influence line from direct measurements. Proc. Inst. Civ. Eng. Bridge Eng. 159(1): 31–34. DOI: 10.1680/bren.2006.159.1.31.</w:t>
      </w:r>
    </w:p>
    <w:p>
      <w:pPr>
        <w:pStyle w:val="BodyText"/>
      </w:pPr>
      <w:r>
        <w:t xml:space="preserve">OBrien EJ, Rowley CW, González A and Green MF (2009) A regularised solution to the bridge weigh-in-motion equations. Int. J. Heavy Veh. Syst. 16(3): 310–327. DOI: 10.1504/IJHVS.2009.027135.</w:t>
      </w:r>
    </w:p>
    <w:p>
      <w:pPr>
        <w:pStyle w:val="BodyText"/>
      </w:pPr>
      <w:r>
        <w:t xml:space="preserve">Ojio T and Yamada K (2002) Bridge weigh-in-motion systems using stringers of plate girder bridges, in: Proceedings of the Third International Conference on Weigh-in-Motion (ICWIM3). Orlando, FL, pp. 209–218.</w:t>
      </w:r>
    </w:p>
    <w:p>
      <w:pPr>
        <w:pStyle w:val="BodyText"/>
      </w:pPr>
      <w:r>
        <w:t xml:space="preserve">Shi S, Yarnold M, Hurlebaus S and Mander J (2025) Evaluation of a load cell-based bridge weigh-in-motion system. Transp. Res. Rec. 2679(2): 535–549. DOI: 10.1177/03611981241263336.</w:t>
      </w:r>
    </w:p>
    <w:p>
      <w:pPr>
        <w:pStyle w:val="BodyText"/>
      </w:pPr>
      <w:r>
        <w:t xml:space="preserve">Sohn H (2007) Effects of environmental and operational variability on structural health monitoring. Philos. Trans. R. Soc. A 365(1851): 539–560. DOI: 10.1098/rsta.2006.1935.</w:t>
      </w:r>
    </w:p>
    <w:p>
      <w:pPr>
        <w:pStyle w:val="BodyText"/>
      </w:pPr>
      <w:r>
        <w:t xml:space="preserve">Ventura R, Barabino B and Maternini G (2024) Estimating the frequency of traffic overloading on road bridges. J. Traffic Transp. Eng. (Engl. Ed.) 11(4): 776–796. DOI: 10.1016/j.jtte.2023.11.005.</w:t>
      </w:r>
    </w:p>
    <w:p>
      <w:pPr>
        <w:pStyle w:val="BodyText"/>
      </w:pPr>
      <w:r>
        <w:t xml:space="preserve">Wu H, Zhao H, Liu J and Hu Z (2020) A filtering-based bridge weigh-in-motion system on a continuous multi-girder bridge considering the influence lines of different lanes. Front. Struct. Civ. Eng. 14(5): 1232–1246. DOI: 10.1007/s11709-020-0653-0.</w:t>
      </w:r>
    </w:p>
    <w:p>
      <w:pPr>
        <w:pStyle w:val="BodyText"/>
      </w:pPr>
      <w:r>
        <w:t xml:space="preserve">Yan WJ, Hao TT, Yuen KV and Papadimitriou C (2022) Monitoring gross vehicle weight with a probabilistic and influence line-free bridge weight-in-motion scheme based on a transmissibility-like index. Mech. Syst. Signal Process. 177: 109133. DOI: 10.1016/j.ymssp.2022.109133.</w:t>
      </w:r>
    </w:p>
    <w:p>
      <w:pPr>
        <w:pStyle w:val="BodyText"/>
      </w:pPr>
      <w:r>
        <w:t xml:space="preserve">Yang J, Hou P and Yang C (2021) Study on the method of moving load identification based on strain influence line. Appl. Sci. 11(2): 853. DOI: 10.3390/app11020853.</w:t>
      </w:r>
    </w:p>
    <w:p>
      <w:pPr>
        <w:pStyle w:val="BodyText"/>
      </w:pPr>
      <w:r>
        <w:t xml:space="preserve">Yu Y, Cai CS and Deng L (2016) State-of-the-art review on bridge weigh-in-motion technology. Adv. Struct. Eng. 19(9): 1514–1530. DOI: 10.1177/1369433216655922.</w:t>
      </w:r>
    </w:p>
    <w:p>
      <w:pPr>
        <w:pStyle w:val="BodyText"/>
      </w:pPr>
      <w:r>
        <w:t xml:space="preserve">Yu Y, Cai CS and Deng L (2018) Nothing-on-road bridge weigh-in-motion considering the transverse position of the vehicle. Struct. Infrastruct. Eng. 14(8): 1108–1122. DOI: 10.1080/15732479.2017.1401095.</w:t>
      </w:r>
    </w:p>
    <w:p>
      <w:pPr>
        <w:pStyle w:val="BodyText"/>
      </w:pPr>
      <w:r>
        <w:t xml:space="preserve">Zhang J, Liu Y and Fan X (2026) An AR(1)-Tikhonov-SVD-GCV framework for stochastic moving load identification driven by bridge multi-point deflection data. Structures 88: 111844. DOI: 10.1016/j.istruc.2026.111844.</w:t>
      </w:r>
    </w:p>
    <w:p>
      <w:pPr>
        <w:pStyle w:val="BodyText"/>
      </w:pPr>
      <w:r>
        <w:t xml:space="preserve">Zhou C, Demartino C, Narazaki Y, Xu Y, Chatzi E and Spencer BF (2025) Optimal sensor placement for bridge weigh-in-motion using an augmented Kalman filter. Mech. Syst. Signal Process. 241: 113522. DOI: 10.1016/j.ymssp.2025.113522.</w:t>
      </w:r>
    </w:p>
    <w:p>
      <w:pPr>
        <w:pStyle w:val="BodyText"/>
      </w:pPr>
      <w:r>
        <w:t xml:space="preserve">Zhou Y, Feng Z, Di SK and Jia ZJ (2026) A novel approach for bending stiffness inversion and rapid evaluation of continuous beam bridges based on a deflection influence line. Struct. Control Health Monit. 2026: 1361157. DOI: 10.1155/stc/1361157.</w:t>
      </w:r>
    </w:p>
    <w:p>
      <w:pPr>
        <w:pStyle w:val="BodyText"/>
      </w:pPr>
      <w:r>
        <w:t xml:space="preserve">Zhu XQ and Law SS (2006) Moving load identification on multi-span continuous bridges with elastic bearings. Mech. Syst. Signal Process. 20(7): 1759–1782. DOI: 10.1016/j.ymssp.2005.06.004.</w:t>
      </w:r>
    </w:p>
    <w:p>
      <w:pPr>
        <w:pStyle w:val="BodyText"/>
      </w:pPr>
      <w:r>
        <w:t xml:space="preserve">Zhu J, Wang C, Qi T and Zhou Y (2022) Vehicle load identification on orthotropic steel box beam bridge based on the strain response area. Appl. Sci. 12(23): 12394. DOI: 10.3390/app122312394.</w:t>
      </w:r>
    </w:p>
    <w:p>
      <w:pPr>
        <w:pStyle w:val="BodyText"/>
      </w:pPr>
      <w:r>
        <w:t xml:space="preserve">Žnidarič A, Kalin J and Kreslin M (2018) Improved accuracy and robustness of bridge weigh-in-motion systems. Struct. Infrastruct. Eng. 14(4): 412–424. DOI: 10.1080/15732479.2017.1406958.</w:t>
      </w:r>
    </w:p>
    <w:bookmarkEnd w:id="49"/>
    <w:bookmarkStart w:id="71" w:name="figures"/>
    <w:p>
      <w:pPr>
        <w:pStyle w:val="Heading2"/>
      </w:pPr>
      <w:r>
        <w:t xml:space="preserve">Figures</w:t>
      </w:r>
    </w:p>
    <w:p>
      <w:pPr>
        <w:pStyle w:val="FirstParagraph"/>
      </w:pPr>
      <w:r>
        <w:drawing>
          <wp:inline>
            <wp:extent cx="5753100" cy="2584601"/>
            <wp:effectExtent b="0" l="0" r="0" t="0"/>
            <wp:docPr descr="" title="" id="51" name="Picture"/>
            <a:graphic>
              <a:graphicData uri="http://schemas.openxmlformats.org/drawingml/2006/picture">
                <pic:pic>
                  <pic:nvPicPr>
                    <pic:cNvPr descr="/home/user/SHM-Paper1-1D/manuscript/ase/figures/Fig1_beams.png" id="52" name="Picture"/>
                    <pic:cNvPicPr>
                      <a:picLocks noChangeArrowheads="1" noChangeAspect="1"/>
                    </pic:cNvPicPr>
                  </pic:nvPicPr>
                  <pic:blipFill>
                    <a:blip r:embed="rId50"/>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Continuous beams considered: (a) two-span beam with span ratio</w:t>
      </w:r>
      <w:r>
        <w:t xml:space="preserve"> </w:t>
      </w:r>
      <m:oMath>
        <m:r>
          <m:t>λ</m:t>
        </m:r>
      </m:oMath>
      <w:r>
        <w:t xml:space="preserve">, rigidity ratio</w:t>
      </w:r>
      <w:r>
        <w:t xml:space="preserve"> </w:t>
      </w:r>
      <m:oMath>
        <m:r>
          <m:t>γ</m:t>
        </m:r>
      </m:oMath>
      <w:r>
        <w:t xml:space="preserve"> </w:t>
      </w:r>
      <w:r>
        <w:t xml:space="preserve">and sensor at</w:t>
      </w:r>
      <w:r>
        <w:t xml:space="preserve"> </w:t>
      </w:r>
      <m:oMath>
        <m:r>
          <m:t>ξ</m:t>
        </m:r>
        <m:sSub>
          <m:e>
            <m:r>
              <m:t>L</m:t>
            </m:r>
          </m:e>
          <m:sub>
            <m:r>
              <m:t>1</m:t>
            </m:r>
          </m:sub>
        </m:sSub>
      </m:oMath>
      <w:r>
        <w:t xml:space="preserve">; (b) symmetric three-span beam with span ratio</w:t>
      </w:r>
      <w:r>
        <w:t xml:space="preserve"> </w:t>
      </w:r>
      <m:oMath>
        <m:r>
          <m:t>β</m:t>
        </m:r>
      </m:oMath>
      <w:r>
        <w:t xml:space="preserve">, rigidity ratio</w:t>
      </w:r>
      <w:r>
        <w:t xml:space="preserve"> </w:t>
      </w:r>
      <m:oMath>
        <m:r>
          <m:t>γ</m:t>
        </m:r>
      </m:oMath>
      <w:r>
        <w:t xml:space="preserve"> </w:t>
      </w:r>
      <w:r>
        <w:t xml:space="preserve">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4" name="Picture"/>
            <a:graphic>
              <a:graphicData uri="http://schemas.openxmlformats.org/drawingml/2006/picture">
                <pic:pic>
                  <pic:nvPicPr>
                    <pic:cNvPr descr="/home/user/SHM-Paper1-1D/manuscript/ase/figures/Fig2_obs_map_3span.png" id="55" name="Picture"/>
                    <pic:cNvPicPr>
                      <a:picLocks noChangeArrowheads="1" noChangeAspect="1"/>
                    </pic:cNvPicPr>
                  </pic:nvPicPr>
                  <pic:blipFill>
                    <a:blip r:embed="rId53"/>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layout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drawing>
          <wp:inline>
            <wp:extent cx="5753100" cy="2121274"/>
            <wp:effectExtent b="0" l="0" r="0" t="0"/>
            <wp:docPr descr="" title="" id="57" name="Picture"/>
            <a:graphic>
              <a:graphicData uri="http://schemas.openxmlformats.org/drawingml/2006/picture">
                <pic:pic>
                  <pic:nvPicPr>
                    <pic:cNvPr descr="/home/user/SHM-Paper1-1D/manuscript/ase/figures/Fig3_channels_prismatic.png" id="58" name="Picture"/>
                    <pic:cNvPicPr>
                      <a:picLocks noChangeArrowheads="1" noChangeAspect="1"/>
                    </pic:cNvPicPr>
                  </pic:nvPicPr>
                  <pic:blipFill>
                    <a:blip r:embed="rId56"/>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Grey band:</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5992812"/>
            <wp:effectExtent b="0" l="0" r="0" t="0"/>
            <wp:docPr descr="" title="" id="60" name="Picture"/>
            <a:graphic>
              <a:graphicData uri="http://schemas.openxmlformats.org/drawingml/2006/picture">
                <pic:pic>
                  <pic:nvPicPr>
                    <pic:cNvPr descr="/home/user/SHM-Paper1-1D/manuscript/ase/figures/Fig4_norbwim_crossings.png" id="61" name="Picture"/>
                    <pic:cNvPicPr>
                      <a:picLocks noChangeArrowheads="1" noChangeAspect="1"/>
                    </pic:cNvPicPr>
                  </pic:nvPicPr>
                  <pic:blipFill>
                    <a:blip r:embed="rId59"/>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p>
      <w:pPr>
        <w:pStyle w:val="BodyText"/>
      </w:pPr>
      <w:r>
        <w:drawing>
          <wp:inline>
            <wp:extent cx="5753100" cy="2556933"/>
            <wp:effectExtent b="0" l="0" r="0" t="0"/>
            <wp:docPr descr="" title="" id="63" name="Picture"/>
            <a:graphic>
              <a:graphicData uri="http://schemas.openxmlformats.org/drawingml/2006/picture">
                <pic:pic>
                  <pic:nvPicPr>
                    <pic:cNvPr descr="/home/user/SHM-Paper1-1D/manuscript/ase/figures/Fig5_norbwim_invariance.png" id="64" name="Picture"/>
                    <pic:cNvPicPr>
                      <a:picLocks noChangeArrowheads="1" noChangeAspect="1"/>
                    </pic:cNvPicPr>
                  </pic:nvPicPr>
                  <pic:blipFill>
                    <a:blip r:embed="rId6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Ratio of the integral constants of two trucks, per gauge and gauge average, with 95 % confidence intervals: (a) day 1, second to first 3-axle truck; (b) day 2, 5-axle to 3-axle truck. Grey bands: ±5 % and ±10 %. Red: invariance rejected; blue: equivalent within ±10 %; orange: inconclusive.</w:t>
      </w:r>
    </w:p>
    <w:p>
      <w:pPr>
        <w:pStyle w:val="BodyText"/>
      </w:pPr>
      <w:r>
        <w:drawing>
          <wp:inline>
            <wp:extent cx="5753100" cy="6036736"/>
            <wp:effectExtent b="0" l="0" r="0" t="0"/>
            <wp:docPr descr="" title="" id="66" name="Picture"/>
            <a:graphic>
              <a:graphicData uri="http://schemas.openxmlformats.org/drawingml/2006/picture">
                <pic:pic>
                  <pic:nvPicPr>
                    <pic:cNvPr descr="/home/user/SHM-Paper1-1D/manuscript/ase/figures/Fig6_caumay_channels.png" id="67" name="Picture"/>
                    <pic:cNvPicPr>
                      <a:picLocks noChangeArrowheads="1" noChangeAspect="1"/>
                    </pic:cNvPicPr>
                  </pic:nvPicPr>
                  <pic:blipFill>
                    <a:blip r:embed="rId6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p>
      <w:pPr>
        <w:pStyle w:val="BodyText"/>
      </w:pPr>
      <w:r>
        <w:drawing>
          <wp:inline>
            <wp:extent cx="5753100" cy="4881418"/>
            <wp:effectExtent b="0" l="0" r="0" t="0"/>
            <wp:docPr descr="" title="" id="69" name="Picture"/>
            <a:graphic>
              <a:graphicData uri="http://schemas.openxmlformats.org/drawingml/2006/picture">
                <pic:pic>
                  <pic:nvPicPr>
                    <pic:cNvPr descr="/home/user/SHM-Paper1-1D/manuscript/ase/figures/Fig7_caumay_identifiability.png" id="70" name="Picture"/>
                    <pic:cNvPicPr>
                      <a:picLocks noChangeArrowheads="1" noChangeAspect="1"/>
                    </pic:cNvPicPr>
                  </pic:nvPicPr>
                  <pic:blipFill>
                    <a:blip r:embed="rId6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(grey)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1"/>
    <w:bookmarkEnd w:id="7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2026-10-19T09:36:55Z</dcterms:created>
  <dcterms:modified xsi:type="dcterms:W3CDTF">2026-10-19T09:36:55Z</dcterms:modified>
</cp:coreProperties>
</file>

<file path=docProps/custom.xml><?xml version="1.0" encoding="utf-8"?>
<Properties xmlns="http://schemas.openxmlformats.org/officeDocument/2006/custom-properties" xmlns:vt="http://schemas.openxmlformats.org/officeDocument/2006/docPropsVTypes"/>
</file>