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1.5–6.6 times smaller,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(σ = 0.01 mm, δ₀ = 0.1 mm, L_tot =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(ρ =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Its measured single-load influence line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failing channels have CV 31–40 % (χ² p = 0.016–0.027). Lane B, st36: ratio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(RMS 10.4 % and 28.4 %), that is, it over-fits with eight runs.</w:t>
      </w:r>
    </w:p>
    <w:p>
      <w:pPr>
        <w:pStyle w:val="BodyText"/>
      </w:pPr>
      <w:r>
        <w:t xml:space="preserve">Beam model and limits. The beam model of the five-span girder (Euler–Bernoulli, parabolic haunch, second moment proportional to h²) gives r² = 0.79–0.94 against the strain histories; zeros of the uniform-load moment in span 2 at 121.6 m and 190.8 m; a strain constant of the gauges 0.69 of the largest on the girder (0.56–0.93 across rigidity laws); a cancellation ratio R =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 J. Struct. Integr. Maint.);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S2)</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weighed mean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 E_c = 36 057 MPa. Model-form variants: L_v = 40 and 45 m (base 44 m), exponents 2.5 and 3.2 (base 2.943), rigid pier zone ±1.5 m. The misfit ratio r₈₇ is 1.126 at κ = 10⁷ kN m/rad, has its minimum 1.058 at κ = 1.68 × 10⁸ kN m/rad (calibration B) and is 1.091 for fixed piers.</w:t>
      </w:r>
    </w:p>
    <w:p>
      <w:pPr>
        <w:pStyle w:val="BodyText"/>
      </w:pPr>
      <w:r>
        <w:t xml:space="preserve">Admissible sets (Table S10). The conclusions depend on the tolerance. At τ = 3 % the admissible set shrinks and excludes the design rigidity, α =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 κ, and Fig. S15 the static misfit over the plane of α and k 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 τ 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08"/>
        <w:gridCol w:w="1271"/>
        <w:gridCol w:w="1171"/>
        <w:gridCol w:w="1405"/>
        <w:gridCol w:w="1807"/>
        <w:gridCol w:w="1405"/>
      </w:tblGrid>
      <w:tr>
        <w:trPr>
          <w:tblHeader w:val="true"/>
        </w:trPr>
        <w:tc>
          <w:tcPr>
            <w:tcW w:type="dxa" w:w="2008"/>
            <w:tcBorders>
              <w:top w:val="nil"/>
              <w:left w:val="nil"/>
              <w:bottom w:val="single" w:sz="6" w:space="0" w:color="000000"/>
              <w:right w:val="nil"/>
            </w:tcBorders>
          </w:tcPr>
          <w:p>
            <w:pPr>
              <w:pStyle w:val="Compact"/>
              <w:jc w:val="left"/>
            </w:pPr>
            <w:r>
              <w:t xml:space="preserve">Tolerance, prior</w:t>
            </w:r>
          </w:p>
        </w:tc>
        <w:tc>
          <w:tcPr>
            <w:tcW w:type="dxa" w:w="1271"/>
            <w:tcBorders>
              <w:top w:val="nil"/>
              <w:left w:val="nil"/>
              <w:bottom w:val="single" w:sz="6" w:space="0" w:color="000000"/>
              <w:right w:val="nil"/>
            </w:tcBorders>
          </w:tcPr>
          <w:p>
            <w:pPr>
              <w:pStyle w:val="Compact"/>
              <w:jc w:val="left"/>
            </w:pPr>
            <w:r>
              <w:t xml:space="preserve">κ (kN m/rad)</w:t>
            </w:r>
          </w:p>
        </w:tc>
        <w:tc>
          <w:tcPr>
            <w:tcW w:type="dxa" w:w="1171"/>
            <w:tcBorders>
              <w:top w:val="nil"/>
              <w:left w:val="nil"/>
              <w:bottom w:val="single" w:sz="6" w:space="0" w:color="000000"/>
              <w:right w:val="nil"/>
            </w:tcBorders>
          </w:tcPr>
          <w:p>
            <w:pPr>
              <w:pStyle w:val="Compact"/>
              <w:jc w:val="left"/>
            </w:pPr>
            <w:r>
              <w:t xml:space="preserve">α</w:t>
            </w:r>
          </w:p>
        </w:tc>
        <w:tc>
          <w:tcPr>
            <w:tcW w:type="dxa" w:w="1405"/>
            <w:tcBorders>
              <w:top w:val="nil"/>
              <w:left w:val="nil"/>
              <w:bottom w:val="single" w:sz="6" w:space="0" w:color="000000"/>
              <w:right w:val="nil"/>
            </w:tcBorders>
          </w:tcPr>
          <w:p>
            <w:pPr>
              <w:pStyle w:val="Compact"/>
              <w:jc w:val="left"/>
            </w:pPr>
            <w:r>
              <w:t xml:space="preserve">N8 indicator, αEI_mid</w:t>
            </w:r>
          </w:p>
        </w:tc>
        <w:tc>
          <w:tcPr>
            <w:tcW w:type="dxa" w:w="1807"/>
            <w:tcBorders>
              <w:top w:val="nil"/>
              <w:left w:val="nil"/>
              <w:bottom w:val="single" w:sz="6" w:space="0" w:color="000000"/>
              <w:right w:val="nil"/>
            </w:tcBorders>
          </w:tcPr>
          <w:p>
            <w:pPr>
              <w:pStyle w:val="Compact"/>
              <w:jc w:val="left"/>
            </w:pPr>
            <w:r>
              <w:t xml:space="preserve">N8 indicator, design EI_mid</w:t>
            </w:r>
          </w:p>
        </w:tc>
        <w:tc>
          <w:tcPr>
            <w:tcW w:type="dxa" w:w="1405"/>
            <w:tcBorders>
              <w:top w:val="nil"/>
              <w:left w:val="nil"/>
              <w:bottom w:val="single" w:sz="6" w:space="0" w:color="000000"/>
              <w:right w:val="nil"/>
            </w:tcBorders>
          </w:tcPr>
          <w:p>
            <w:pPr>
              <w:pStyle w:val="Compact"/>
              <w:jc w:val="left"/>
            </w:pPr>
            <w:r>
              <w:t xml:space="preserve">C₈ (m²/kN)</w:t>
            </w:r>
          </w:p>
        </w:tc>
      </w:tr>
      <w:tr>
        <w:tc>
          <w:tcPr>
            <w:tcW w:type="dxa" w:w="2008"/>
          </w:tcPr>
          <w:p>
            <w:pPr>
              <w:pStyle w:val="Compact"/>
              <w:jc w:val="left"/>
            </w:pPr>
            <w:r>
              <w:t xml:space="preserve">τ = 3 %</w:t>
            </w:r>
          </w:p>
        </w:tc>
        <w:tc>
          <w:tcPr>
            <w:tcW w:type="dxa" w:w="1271"/>
          </w:tcPr>
          <w:p>
            <w:pPr>
              <w:pStyle w:val="Compact"/>
              <w:jc w:val="left"/>
            </w:pPr>
            <w:r>
              <w:t xml:space="preserve">1.0–3.0 × 10⁸</w:t>
            </w:r>
          </w:p>
        </w:tc>
        <w:tc>
          <w:tcPr>
            <w:tcW w:type="dxa" w:w="1171"/>
          </w:tcPr>
          <w:p>
            <w:pPr>
              <w:pStyle w:val="Compact"/>
              <w:jc w:val="left"/>
            </w:pPr>
            <w:r>
              <w:t xml:space="preserve">0.64–0.80</w:t>
            </w:r>
          </w:p>
        </w:tc>
        <w:tc>
          <w:tcPr>
            <w:tcW w:type="dxa" w:w="1405"/>
          </w:tcPr>
          <w:p>
            <w:pPr>
              <w:pStyle w:val="Compact"/>
              <w:jc w:val="left"/>
            </w:pPr>
            <w:r>
              <w:t xml:space="preserve">–</w:t>
            </w:r>
          </w:p>
        </w:tc>
        <w:tc>
          <w:tcPr>
            <w:tcW w:type="dxa" w:w="1807"/>
          </w:tcPr>
          <w:p>
            <w:pPr>
              <w:pStyle w:val="Compact"/>
              <w:jc w:val="left"/>
            </w:pPr>
            <w:r>
              <w:t xml:space="preserve">–</w:t>
            </w:r>
          </w:p>
        </w:tc>
        <w:tc>
          <w:tcPr>
            <w:tcW w:type="dxa" w:w="1405"/>
          </w:tcPr>
          <w:p>
            <w:pPr>
              <w:pStyle w:val="Compact"/>
              <w:jc w:val="left"/>
            </w:pPr>
            <w:r>
              <w:t xml:space="preserve">–</w:t>
            </w:r>
          </w:p>
        </w:tc>
      </w:tr>
      <w:tr>
        <w:tc>
          <w:tcPr>
            <w:tcW w:type="dxa" w:w="2008"/>
          </w:tcPr>
          <w:p>
            <w:pPr>
              <w:pStyle w:val="Compact"/>
              <w:jc w:val="left"/>
            </w:pPr>
            <w:r>
              <w:t xml:space="preserve">τ = 4 %</w:t>
            </w:r>
          </w:p>
        </w:tc>
        <w:tc>
          <w:tcPr>
            <w:tcW w:type="dxa" w:w="1271"/>
          </w:tcPr>
          <w:p>
            <w:pPr>
              <w:pStyle w:val="Compact"/>
              <w:jc w:val="left"/>
            </w:pPr>
            <w:r>
              <w:t xml:space="preserve">4.2 × 10⁷–2.0 × 10⁹</w:t>
            </w:r>
          </w:p>
        </w:tc>
        <w:tc>
          <w:tcPr>
            <w:tcW w:type="dxa" w:w="1171"/>
          </w:tcPr>
          <w:p>
            <w:pPr>
              <w:pStyle w:val="Compact"/>
              <w:jc w:val="left"/>
            </w:pPr>
            <w:r>
              <w:t xml:space="preserve">0.54–0.98</w:t>
            </w:r>
          </w:p>
        </w:tc>
        <w:tc>
          <w:tcPr>
            <w:tcW w:type="dxa" w:w="1405"/>
          </w:tcPr>
          <w:p>
            <w:pPr>
              <w:pStyle w:val="Compact"/>
              <w:jc w:val="left"/>
            </w:pPr>
            <w:r>
              <w:t xml:space="preserve">–</w:t>
            </w:r>
          </w:p>
        </w:tc>
        <w:tc>
          <w:tcPr>
            <w:tcW w:type="dxa" w:w="1807"/>
          </w:tcPr>
          <w:p>
            <w:pPr>
              <w:pStyle w:val="Compact"/>
              <w:jc w:val="left"/>
            </w:pPr>
            <w:r>
              <w:t xml:space="preserve">–</w:t>
            </w:r>
          </w:p>
        </w:tc>
        <w:tc>
          <w:tcPr>
            <w:tcW w:type="dxa" w:w="1405"/>
          </w:tcPr>
          <w:p>
            <w:pPr>
              <w:pStyle w:val="Compact"/>
              <w:jc w:val="left"/>
            </w:pPr>
            <w:r>
              <w:t xml:space="preserve">–</w:t>
            </w:r>
          </w:p>
        </w:tc>
      </w:tr>
      <w:tr>
        <w:tc>
          <w:tcPr>
            <w:tcW w:type="dxa" w:w="2008"/>
          </w:tcPr>
          <w:p>
            <w:pPr>
              <w:pStyle w:val="Compact"/>
              <w:jc w:val="left"/>
            </w:pPr>
            <w:r>
              <w:t xml:space="preserve">τ = 5.3 %</w:t>
            </w:r>
          </w:p>
        </w:tc>
        <w:tc>
          <w:tcPr>
            <w:tcW w:type="dxa" w:w="1271"/>
          </w:tcPr>
          <w:p>
            <w:pPr>
              <w:pStyle w:val="Compact"/>
              <w:jc w:val="left"/>
            </w:pPr>
            <w:r>
              <w:t xml:space="preserve">≥ 1.8 × 10⁷</w:t>
            </w:r>
          </w:p>
        </w:tc>
        <w:tc>
          <w:tcPr>
            <w:tcW w:type="dxa" w:w="1171"/>
          </w:tcPr>
          <w:p>
            <w:pPr>
              <w:pStyle w:val="Compact"/>
              <w:jc w:val="left"/>
            </w:pPr>
            <w:r>
              <w:t xml:space="preserve">0.51–1.15</w:t>
            </w:r>
          </w:p>
        </w:tc>
        <w:tc>
          <w:tcPr>
            <w:tcW w:type="dxa" w:w="1405"/>
          </w:tcPr>
          <w:p>
            <w:pPr>
              <w:pStyle w:val="Compact"/>
              <w:jc w:val="left"/>
            </w:pPr>
            <w:r>
              <w:t xml:space="preserve">0.14–0.42</w:t>
            </w:r>
          </w:p>
        </w:tc>
        <w:tc>
          <w:tcPr>
            <w:tcW w:type="dxa" w:w="1807"/>
          </w:tcPr>
          <w:p>
            <w:pPr>
              <w:pStyle w:val="Compact"/>
              <w:jc w:val="left"/>
            </w:pPr>
            <w:r>
              <w:t xml:space="preserve">0.12–0.82</w:t>
            </w:r>
          </w:p>
        </w:tc>
        <w:tc>
          <w:tcPr>
            <w:tcW w:type="dxa" w:w="1405"/>
          </w:tcPr>
          <w:p>
            <w:pPr>
              <w:pStyle w:val="Compact"/>
              <w:jc w:val="left"/>
            </w:pPr>
            <w:r>
              <w:t xml:space="preserve">3.0 × 10⁻⁵–2.0 × 10⁻⁴</w:t>
            </w:r>
          </w:p>
        </w:tc>
      </w:tr>
      <w:tr>
        <w:tc>
          <w:tcPr>
            <w:tcW w:type="dxa" w:w="2008"/>
          </w:tcPr>
          <w:p>
            <w:pPr>
              <w:pStyle w:val="Compact"/>
              <w:jc w:val="left"/>
            </w:pPr>
            <w:r>
              <w:t xml:space="preserve">τ = 5.3 %, prior α ∈ [0.9, 1.3]</w:t>
            </w:r>
          </w:p>
        </w:tc>
        <w:tc>
          <w:tcPr>
            <w:tcW w:type="dxa" w:w="1271"/>
          </w:tcPr>
          <w:p>
            <w:pPr>
              <w:pStyle w:val="Compact"/>
              <w:jc w:val="left"/>
            </w:pPr>
            <w:r>
              <w:t xml:space="preserve">–</w:t>
            </w:r>
          </w:p>
        </w:tc>
        <w:tc>
          <w:tcPr>
            <w:tcW w:type="dxa" w:w="1171"/>
          </w:tcPr>
          <w:p>
            <w:pPr>
              <w:pStyle w:val="Compact"/>
              <w:jc w:val="left"/>
            </w:pPr>
            <w:r>
              <w:t xml:space="preserve">–</w:t>
            </w:r>
          </w:p>
        </w:tc>
        <w:tc>
          <w:tcPr>
            <w:tcW w:type="dxa" w:w="1405"/>
          </w:tcPr>
          <w:p>
            <w:pPr>
              <w:pStyle w:val="Compact"/>
              <w:jc w:val="left"/>
            </w:pPr>
            <w:r>
              <w:t xml:space="preserve">0.14–0.27</w:t>
            </w:r>
          </w:p>
        </w:tc>
        <w:tc>
          <w:tcPr>
            <w:tcW w:type="dxa" w:w="1807"/>
          </w:tcPr>
          <w:p>
            <w:pPr>
              <w:pStyle w:val="Compact"/>
              <w:jc w:val="left"/>
            </w:pPr>
            <w:r>
              <w:t xml:space="preserve">0.12–0.30</w:t>
            </w:r>
          </w:p>
        </w:tc>
        <w:tc>
          <w:tcPr>
            <w:tcW w:type="dxa" w:w="1405"/>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15"/>
        <w:gridCol w:w="2083"/>
        <w:gridCol w:w="1686"/>
        <w:gridCol w:w="2083"/>
      </w:tblGrid>
      <w:tr>
        <w:trPr>
          <w:tblHeader w:val="true"/>
        </w:trPr>
        <w:tc>
          <w:tcPr>
            <w:tcW w:type="dxa" w:w="3215"/>
            <w:tcBorders>
              <w:top w:val="nil"/>
              <w:left w:val="nil"/>
              <w:bottom w:val="single" w:sz="6" w:space="0" w:color="000000"/>
              <w:right w:val="nil"/>
            </w:tcBorders>
          </w:tcPr>
          <w:p>
            <w:pPr>
              <w:pStyle w:val="Compact"/>
              <w:jc w:val="left"/>
            </w:pPr>
            <w:r>
              <w:t xml:space="preserve">Section</w:t>
            </w:r>
          </w:p>
        </w:tc>
        <w:tc>
          <w:tcPr>
            <w:tcW w:type="dxa" w:w="2083"/>
            <w:tcBorders>
              <w:top w:val="nil"/>
              <w:left w:val="nil"/>
              <w:bottom w:val="single" w:sz="6" w:space="0" w:color="000000"/>
              <w:right w:val="nil"/>
            </w:tcBorders>
          </w:tcPr>
          <w:p>
            <w:pPr>
              <w:pStyle w:val="Compact"/>
              <w:jc w:val="left"/>
            </w:pPr>
            <w:r>
              <w:t xml:space="preserve">Measuring point</w:t>
            </w:r>
          </w:p>
        </w:tc>
        <w:tc>
          <w:tcPr>
            <w:tcW w:type="dxa" w:w="1686"/>
            <w:tcBorders>
              <w:top w:val="nil"/>
              <w:left w:val="nil"/>
              <w:bottom w:val="single" w:sz="6" w:space="0" w:color="000000"/>
              <w:right w:val="nil"/>
            </w:tcBorders>
          </w:tcPr>
          <w:p>
            <w:pPr>
              <w:pStyle w:val="Compact"/>
              <w:jc w:val="left"/>
            </w:pPr>
            <w:r>
              <w:t xml:space="preserve">Central</w:t>
            </w:r>
          </w:p>
        </w:tc>
        <w:tc>
          <w:tcPr>
            <w:tcW w:type="dxa" w:w="2083"/>
            <w:tcBorders>
              <w:top w:val="nil"/>
              <w:left w:val="nil"/>
              <w:bottom w:val="single" w:sz="6" w:space="0" w:color="000000"/>
              <w:right w:val="nil"/>
            </w:tcBorders>
          </w:tcPr>
          <w:p>
            <w:pPr>
              <w:pStyle w:val="Compact"/>
              <w:jc w:val="left"/>
            </w:pPr>
            <w:r>
              <w:t xml:space="preserve">Eccentric</w:t>
            </w:r>
          </w:p>
        </w:tc>
      </w:tr>
      <w:tr>
        <w:tc>
          <w:tcPr>
            <w:tcW w:type="dxa" w:w="3215"/>
          </w:tcPr>
          <w:p>
            <w:pPr>
              <w:pStyle w:val="Compact"/>
              <w:jc w:val="left"/>
            </w:pPr>
            <w:r>
              <w:t xml:space="preserve">N8, side span, 0.4L from T8</w:t>
            </w:r>
          </w:p>
        </w:tc>
        <w:tc>
          <w:tcPr>
            <w:tcW w:type="dxa" w:w="2083"/>
          </w:tcPr>
          <w:p>
            <w:pPr>
              <w:pStyle w:val="Compact"/>
              <w:jc w:val="left"/>
            </w:pPr>
            <w:r>
              <w:t xml:space="preserve">right edge</w:t>
            </w:r>
          </w:p>
        </w:tc>
        <w:tc>
          <w:tcPr>
            <w:tcW w:type="dxa" w:w="1686"/>
          </w:tcPr>
          <w:p>
            <w:pPr>
              <w:pStyle w:val="Compact"/>
              <w:jc w:val="left"/>
            </w:pPr>
            <w:r>
              <w:t xml:space="preserve">5.32</w:t>
            </w:r>
          </w:p>
        </w:tc>
        <w:tc>
          <w:tcPr>
            <w:tcW w:type="dxa" w:w="2083"/>
          </w:tcPr>
          <w:p>
            <w:pPr>
              <w:pStyle w:val="Compact"/>
              <w:jc w:val="left"/>
            </w:pPr>
            <w:r>
              <w:t xml:space="preserve">5.91</w:t>
            </w:r>
          </w:p>
        </w:tc>
      </w:tr>
      <w:tr>
        <w:tc>
          <w:tcPr>
            <w:tcW w:type="dxa" w:w="3215"/>
          </w:tcPr>
          <w:p>
            <w:pPr>
              <w:pStyle w:val="Compact"/>
              <w:jc w:val="left"/>
            </w:pPr>
            <w:r>
              <w:t xml:space="preserve">N8, side span, 0.4L from T8</w:t>
            </w:r>
          </w:p>
        </w:tc>
        <w:tc>
          <w:tcPr>
            <w:tcW w:type="dxa" w:w="2083"/>
          </w:tcPr>
          <w:p>
            <w:pPr>
              <w:pStyle w:val="Compact"/>
              <w:jc w:val="left"/>
            </w:pPr>
            <w:r>
              <w:t xml:space="preserve">axis</w:t>
            </w:r>
          </w:p>
        </w:tc>
        <w:tc>
          <w:tcPr>
            <w:tcW w:type="dxa" w:w="1686"/>
          </w:tcPr>
          <w:p>
            <w:pPr>
              <w:pStyle w:val="Compact"/>
              <w:jc w:val="left"/>
            </w:pPr>
            <w:r>
              <w:t xml:space="preserve">5.56</w:t>
            </w:r>
          </w:p>
        </w:tc>
        <w:tc>
          <w:tcPr>
            <w:tcW w:type="dxa" w:w="2083"/>
          </w:tcPr>
          <w:p>
            <w:pPr>
              <w:pStyle w:val="Compact"/>
              <w:jc w:val="left"/>
            </w:pPr>
            <w:r>
              <w:t xml:space="preserve">5.55</w:t>
            </w:r>
          </w:p>
        </w:tc>
      </w:tr>
      <w:tr>
        <w:tc>
          <w:tcPr>
            <w:tcW w:type="dxa" w:w="3215"/>
          </w:tcPr>
          <w:p>
            <w:pPr>
              <w:pStyle w:val="Compact"/>
              <w:jc w:val="left"/>
            </w:pPr>
            <w:r>
              <w:t xml:space="preserve">N8, side span, 0.4L from T8</w:t>
            </w:r>
          </w:p>
        </w:tc>
        <w:tc>
          <w:tcPr>
            <w:tcW w:type="dxa" w:w="2083"/>
          </w:tcPr>
          <w:p>
            <w:pPr>
              <w:pStyle w:val="Compact"/>
              <w:jc w:val="left"/>
            </w:pPr>
            <w:r>
              <w:t xml:space="preserve">left edge</w:t>
            </w:r>
          </w:p>
        </w:tc>
        <w:tc>
          <w:tcPr>
            <w:tcW w:type="dxa" w:w="1686"/>
          </w:tcPr>
          <w:p>
            <w:pPr>
              <w:pStyle w:val="Compact"/>
              <w:jc w:val="left"/>
            </w:pPr>
            <w:r>
              <w:t xml:space="preserve">5.76</w:t>
            </w:r>
          </w:p>
        </w:tc>
        <w:tc>
          <w:tcPr>
            <w:tcW w:type="dxa" w:w="2083"/>
          </w:tcPr>
          <w:p>
            <w:pPr>
              <w:pStyle w:val="Compact"/>
              <w:jc w:val="left"/>
            </w:pPr>
            <w:r>
              <w:t xml:space="preserve">5.22</w:t>
            </w:r>
          </w:p>
        </w:tc>
      </w:tr>
      <w:tr>
        <w:tc>
          <w:tcPr>
            <w:tcW w:type="dxa" w:w="3215"/>
          </w:tcPr>
          <w:p>
            <w:pPr>
              <w:pStyle w:val="Compact"/>
              <w:jc w:val="left"/>
            </w:pPr>
            <w:r>
              <w:t xml:space="preserve">N7, mid main span</w:t>
            </w:r>
          </w:p>
        </w:tc>
        <w:tc>
          <w:tcPr>
            <w:tcW w:type="dxa" w:w="2083"/>
          </w:tcPr>
          <w:p>
            <w:pPr>
              <w:pStyle w:val="Compact"/>
              <w:jc w:val="left"/>
            </w:pPr>
            <w:r>
              <w:t xml:space="preserve">right edge</w:t>
            </w:r>
          </w:p>
        </w:tc>
        <w:tc>
          <w:tcPr>
            <w:tcW w:type="dxa" w:w="1686"/>
          </w:tcPr>
          <w:p>
            <w:pPr>
              <w:pStyle w:val="Compact"/>
              <w:jc w:val="left"/>
            </w:pPr>
            <w:r>
              <w:t xml:space="preserve">14.68</w:t>
            </w:r>
          </w:p>
        </w:tc>
        <w:tc>
          <w:tcPr>
            <w:tcW w:type="dxa" w:w="2083"/>
          </w:tcPr>
          <w:p>
            <w:pPr>
              <w:pStyle w:val="Compact"/>
              <w:jc w:val="left"/>
            </w:pPr>
            <w:r>
              <w:t xml:space="preserve">14.62</w:t>
            </w:r>
          </w:p>
        </w:tc>
      </w:tr>
      <w:tr>
        <w:tc>
          <w:tcPr>
            <w:tcW w:type="dxa" w:w="3215"/>
          </w:tcPr>
          <w:p>
            <w:pPr>
              <w:pStyle w:val="Compact"/>
              <w:jc w:val="left"/>
            </w:pPr>
            <w:r>
              <w:t xml:space="preserve">N7, mid main span</w:t>
            </w:r>
          </w:p>
        </w:tc>
        <w:tc>
          <w:tcPr>
            <w:tcW w:type="dxa" w:w="2083"/>
          </w:tcPr>
          <w:p>
            <w:pPr>
              <w:pStyle w:val="Compact"/>
              <w:jc w:val="left"/>
            </w:pPr>
            <w:r>
              <w:t xml:space="preserve">axis</w:t>
            </w:r>
          </w:p>
        </w:tc>
        <w:tc>
          <w:tcPr>
            <w:tcW w:type="dxa" w:w="1686"/>
          </w:tcPr>
          <w:p>
            <w:pPr>
              <w:pStyle w:val="Compact"/>
              <w:jc w:val="left"/>
            </w:pPr>
            <w:r>
              <w:t xml:space="preserve">15.24</w:t>
            </w:r>
          </w:p>
        </w:tc>
        <w:tc>
          <w:tcPr>
            <w:tcW w:type="dxa" w:w="2083"/>
          </w:tcPr>
          <w:p>
            <w:pPr>
              <w:pStyle w:val="Compact"/>
              <w:jc w:val="left"/>
            </w:pPr>
            <w:r>
              <w:t xml:space="preserve">15.51</w:t>
            </w:r>
          </w:p>
        </w:tc>
      </w:tr>
      <w:tr>
        <w:tc>
          <w:tcPr>
            <w:tcW w:type="dxa" w:w="3215"/>
          </w:tcPr>
          <w:p>
            <w:pPr>
              <w:pStyle w:val="Compact"/>
              <w:jc w:val="left"/>
            </w:pPr>
            <w:r>
              <w:t xml:space="preserve">N7, mid main span</w:t>
            </w:r>
          </w:p>
        </w:tc>
        <w:tc>
          <w:tcPr>
            <w:tcW w:type="dxa" w:w="2083"/>
          </w:tcPr>
          <w:p>
            <w:pPr>
              <w:pStyle w:val="Compact"/>
              <w:jc w:val="left"/>
            </w:pPr>
            <w:r>
              <w:t xml:space="preserve">left edge</w:t>
            </w:r>
          </w:p>
        </w:tc>
        <w:tc>
          <w:tcPr>
            <w:tcW w:type="dxa" w:w="1686"/>
          </w:tcPr>
          <w:p>
            <w:pPr>
              <w:pStyle w:val="Compact"/>
              <w:jc w:val="left"/>
            </w:pPr>
            <w:r>
              <w:t xml:space="preserve">15.83</w:t>
            </w:r>
          </w:p>
        </w:tc>
        <w:tc>
          <w:tcPr>
            <w:tcW w:type="dxa" w:w="2083"/>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434"/>
        <w:gridCol w:w="4635"/>
      </w:tblGrid>
      <w:tr>
        <w:trPr>
          <w:tblHeader w:val="true"/>
        </w:trPr>
        <w:tc>
          <w:tcPr>
            <w:tcW w:type="dxa" w:w="4434"/>
            <w:tcBorders>
              <w:top w:val="nil"/>
              <w:left w:val="nil"/>
              <w:bottom w:val="single" w:sz="6" w:space="0" w:color="000000"/>
              <w:right w:val="nil"/>
            </w:tcBorders>
          </w:tcPr>
          <w:p>
            <w:pPr>
              <w:pStyle w:val="Compact"/>
              <w:jc w:val="left"/>
            </w:pPr>
            <w:r>
              <w:t xml:space="preserve">Span</w:t>
            </w:r>
          </w:p>
        </w:tc>
        <w:tc>
          <w:tcPr>
            <w:tcW w:type="dxa" w:w="4635"/>
            <w:tcBorders>
              <w:top w:val="nil"/>
              <w:left w:val="nil"/>
              <w:bottom w:val="single" w:sz="6" w:space="0" w:color="000000"/>
              <w:right w:val="nil"/>
            </w:tcBorders>
          </w:tcPr>
          <w:p>
            <w:pPr>
              <w:pStyle w:val="Compact"/>
              <w:jc w:val="left"/>
            </w:pPr>
            <w:r>
              <w:t xml:space="preserve">Vertical frequency (Hz)</w:t>
            </w:r>
          </w:p>
        </w:tc>
      </w:tr>
      <w:tr>
        <w:tc>
          <w:tcPr>
            <w:tcW w:type="dxa" w:w="4434"/>
          </w:tcPr>
          <w:p>
            <w:pPr>
              <w:pStyle w:val="Compact"/>
              <w:jc w:val="left"/>
            </w:pPr>
            <w:r>
              <w:t xml:space="preserve">Side span T5–T6 (55 m)</w:t>
            </w:r>
          </w:p>
        </w:tc>
        <w:tc>
          <w:tcPr>
            <w:tcW w:type="dxa" w:w="4635"/>
          </w:tcPr>
          <w:p>
            <w:pPr>
              <w:pStyle w:val="Compact"/>
              <w:jc w:val="left"/>
            </w:pPr>
            <w:r>
              <w:t xml:space="preserve">3.43</w:t>
            </w:r>
          </w:p>
        </w:tc>
      </w:tr>
      <w:tr>
        <w:tc>
          <w:tcPr>
            <w:tcW w:type="dxa" w:w="4434"/>
          </w:tcPr>
          <w:p>
            <w:pPr>
              <w:pStyle w:val="Compact"/>
              <w:jc w:val="left"/>
            </w:pPr>
            <w:r>
              <w:t xml:space="preserve">Main span T6–T7 (90 m)</w:t>
            </w:r>
          </w:p>
        </w:tc>
        <w:tc>
          <w:tcPr>
            <w:tcW w:type="dxa" w:w="4635"/>
          </w:tcPr>
          <w:p>
            <w:pPr>
              <w:pStyle w:val="Compact"/>
              <w:jc w:val="left"/>
            </w:pPr>
            <w:r>
              <w:t xml:space="preserve">3.64</w:t>
            </w:r>
          </w:p>
        </w:tc>
      </w:tr>
      <w:tr>
        <w:tc>
          <w:tcPr>
            <w:tcW w:type="dxa" w:w="4434"/>
          </w:tcPr>
          <w:p>
            <w:pPr>
              <w:pStyle w:val="Compact"/>
              <w:jc w:val="left"/>
            </w:pPr>
            <w:r>
              <w:t xml:space="preserve">Side span T7–T8 (55 m)</w:t>
            </w:r>
          </w:p>
        </w:tc>
        <w:tc>
          <w:tcPr>
            <w:tcW w:type="dxa" w:w="4635"/>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the integral estimator.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w:t>
      </w:r>
      <w:r>
        <w:t xml:space="preserve"> </w:t>
      </w:r>
      <w:r>
        <w:rPr>
          <w:rStyle w:val="VerbatimChar"/>
        </w:rPr>
        <w:t xml:space="preserve">run_all.sh</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 κ,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2026-10-19T09:36:56Z</dcterms:created>
  <dcterms:modified xsi:type="dcterms:W3CDTF">2026-10-19T09:36:56Z</dcterms:modified>
</cp:coreProperties>
</file>

<file path=docProps/custom.xml><?xml version="1.0" encoding="utf-8"?>
<Properties xmlns="http://schemas.openxmlformats.org/officeDocument/2006/custom-properties" xmlns:vt="http://schemas.openxmlformats.org/officeDocument/2006/docPropsVTypes"/>
</file>