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supplementary-material"/>
    <w:p>
      <w:pPr>
        <w:pStyle w:val="Heading1"/>
      </w:pPr>
      <w:r>
        <w:t xml:space="preserve">Supplementary Material</w:t>
      </w:r>
    </w:p>
    <w:p>
      <w:pPr>
        <w:pStyle w:val="FirstParagraph"/>
      </w:pPr>
      <w:r>
        <w:rPr>
          <w:bCs/>
          <w:b/>
        </w:rPr>
        <w:t xml:space="preserve">Observability and sensor layout for influence-area load monitoring of continuous girder bridges</w:t>
      </w:r>
    </w:p>
    <w:p>
      <w:pPr>
        <w:pStyle w:val="BodyText"/>
      </w:pPr>
      <w:r>
        <w:t xml:space="preserve">Quoc-Bao Nguyen, Thai-Son Vu, Hung-Son Nguyen</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h</m:t>
              </m:r>
            </m:oMath>
          </w:p>
        </w:tc>
        <w:tc>
          <w:tcPr>
            <w:tcW w:type="dxa" w:w="6177"/>
          </w:tcPr>
          <w:p>
            <w:pPr>
              <w:pStyle w:val="Compact"/>
              <w:jc w:val="left"/>
            </w:pPr>
            <w:r>
              <w:t xml:space="preserve">girder depth (m)</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1"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rPr>
        <w:tc>
          <w:tcPr>
            <w:tcW w:type="dxa" w:w="2093"/>
            <w:tcBorders>
              <w:top w:val="nil"/>
              <w:left w:val="nil"/>
              <w:bottom w:val="single" w:sz="6" w:space="0" w:color="000000"/>
              <w:right w:val="nil"/>
            </w:tcBorders>
          </w:tcPr>
          <w:p>
            <w:pPr>
              <w:pStyle w:val="Compact"/>
              <w:jc w:val="left"/>
            </w:pPr>
            <m:oMath>
              <m:r>
                <m:t>β</m:t>
              </m:r>
            </m:oMath>
          </w:p>
        </w:tc>
        <w:tc>
          <w:tcPr>
            <w:tcW w:type="dxa" w:w="1744"/>
            <w:tcBorders>
              <w:top w:val="nil"/>
              <w:left w:val="nil"/>
              <w:bottom w:val="single" w:sz="6" w:space="0" w:color="000000"/>
              <w:right w:val="nil"/>
            </w:tcBorders>
          </w:tcPr>
          <w:p>
            <w:pPr>
              <w:pStyle w:val="Compact"/>
              <w:jc w:val="left"/>
            </w:pPr>
            <m:oMath>
              <m:r>
                <m:t>μ</m:t>
              </m:r>
            </m:oMath>
          </w:p>
        </w:tc>
        <w:tc>
          <w:tcPr>
            <w:tcW w:type="dxa" w:w="1744"/>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2093"/>
          </w:tcPr>
          <w:p>
            <w:pPr>
              <w:pStyle w:val="Compact"/>
              <w:jc w:val="left"/>
            </w:pPr>
            <w:r>
              <w:t xml:space="preserve">1.0</w:t>
            </w:r>
          </w:p>
        </w:tc>
        <w:tc>
          <w:tcPr>
            <w:tcW w:type="dxa" w:w="1744"/>
          </w:tcPr>
          <w:p>
            <w:pPr>
              <w:pStyle w:val="Compact"/>
              <w:jc w:val="left"/>
            </w:pPr>
            <w:r>
              <w:t xml:space="preserve">0.800</w:t>
            </w:r>
          </w:p>
        </w:tc>
        <w:tc>
          <w:tcPr>
            <w:tcW w:type="dxa" w:w="1744"/>
          </w:tcPr>
          <w:p>
            <w:pPr>
              <w:pStyle w:val="Compact"/>
              <w:jc w:val="left"/>
            </w:pPr>
            <w:r>
              <w:t xml:space="preserve">0.4460</w:t>
            </w:r>
          </w:p>
        </w:tc>
        <w:tc>
          <w:tcPr>
            <w:tcW w:type="dxa" w:w="1744"/>
          </w:tcPr>
          <w:p>
            <w:pPr>
              <w:pStyle w:val="Compact"/>
              <w:jc w:val="left"/>
            </w:pPr>
            <w:r>
              <w:t xml:space="preserve">1.322</w:t>
            </w:r>
          </w:p>
        </w:tc>
        <w:tc>
          <w:tcPr>
            <w:tcW w:type="dxa" w:w="1744"/>
          </w:tcPr>
          <w:p>
            <w:pPr>
              <w:pStyle w:val="Compact"/>
              <w:jc w:val="left"/>
            </w:pPr>
            <w:r>
              <w:t xml:space="preserve">1.300</w:t>
            </w:r>
          </w:p>
        </w:tc>
      </w:tr>
      <w:tr>
        <w:tc>
          <w:tcPr>
            <w:tcW w:type="dxa" w:w="2093"/>
          </w:tcPr>
          <w:p>
            <w:pPr>
              <w:pStyle w:val="Compact"/>
              <w:jc w:val="left"/>
            </w:pPr>
            <w:r>
              <w:t xml:space="preserve">1.2</w:t>
            </w:r>
          </w:p>
        </w:tc>
        <w:tc>
          <w:tcPr>
            <w:tcW w:type="dxa" w:w="1744"/>
          </w:tcPr>
          <w:p>
            <w:pPr>
              <w:pStyle w:val="Compact"/>
              <w:jc w:val="left"/>
            </w:pPr>
            <w:r>
              <w:t xml:space="preserve">0.9743</w:t>
            </w:r>
          </w:p>
        </w:tc>
        <w:tc>
          <w:tcPr>
            <w:tcW w:type="dxa" w:w="1744"/>
          </w:tcPr>
          <w:p>
            <w:pPr>
              <w:pStyle w:val="Compact"/>
              <w:jc w:val="left"/>
            </w:pPr>
            <w:r>
              <w:t xml:space="preserve">0.4251</w:t>
            </w:r>
          </w:p>
        </w:tc>
        <w:tc>
          <w:tcPr>
            <w:tcW w:type="dxa" w:w="1744"/>
          </w:tcPr>
          <w:p>
            <w:pPr>
              <w:pStyle w:val="Compact"/>
              <w:jc w:val="left"/>
            </w:pPr>
            <w:r>
              <w:t xml:space="preserve">1.076</w:t>
            </w:r>
          </w:p>
        </w:tc>
        <w:tc>
          <w:tcPr>
            <w:tcW w:type="dxa" w:w="1744"/>
          </w:tcPr>
          <w:p>
            <w:pPr>
              <w:pStyle w:val="Compact"/>
              <w:jc w:val="left"/>
            </w:pPr>
            <w:r>
              <w:t xml:space="preserve">1.039</w:t>
            </w:r>
          </w:p>
        </w:tc>
      </w:tr>
      <w:tr>
        <w:tc>
          <w:tcPr>
            <w:tcW w:type="dxa" w:w="2093"/>
          </w:tcPr>
          <w:p>
            <w:pPr>
              <w:pStyle w:val="Compact"/>
              <w:jc w:val="left"/>
            </w:pPr>
            <w:r>
              <w:t xml:space="preserve">1.4</w:t>
            </w:r>
          </w:p>
        </w:tc>
        <w:tc>
          <w:tcPr>
            <w:tcW w:type="dxa" w:w="1744"/>
          </w:tcPr>
          <w:p>
            <w:pPr>
              <w:pStyle w:val="Compact"/>
              <w:jc w:val="left"/>
            </w:pPr>
            <w:r>
              <w:t xml:space="preserve">1.208</w:t>
            </w:r>
          </w:p>
        </w:tc>
        <w:tc>
          <w:tcPr>
            <w:tcW w:type="dxa" w:w="1744"/>
          </w:tcPr>
          <w:p>
            <w:pPr>
              <w:pStyle w:val="Compact"/>
              <w:jc w:val="left"/>
            </w:pPr>
            <w:r>
              <w:t xml:space="preserve">0.3875</w:t>
            </w:r>
          </w:p>
        </w:tc>
        <w:tc>
          <w:tcPr>
            <w:tcW w:type="dxa" w:w="1744"/>
          </w:tcPr>
          <w:p>
            <w:pPr>
              <w:pStyle w:val="Compact"/>
              <w:jc w:val="left"/>
            </w:pPr>
            <w:r>
              <w:t xml:space="preserve">0.7585</w:t>
            </w:r>
          </w:p>
        </w:tc>
        <w:tc>
          <w:tcPr>
            <w:tcW w:type="dxa" w:w="1744"/>
          </w:tcPr>
          <w:p>
            <w:pPr>
              <w:pStyle w:val="Compact"/>
              <w:jc w:val="left"/>
            </w:pPr>
            <w:r>
              <w:t xml:space="preserve">0.6884</w:t>
            </w:r>
          </w:p>
        </w:tc>
      </w:tr>
      <w:tr>
        <w:tc>
          <w:tcPr>
            <w:tcW w:type="dxa" w:w="2093"/>
          </w:tcPr>
          <w:p>
            <w:pPr>
              <w:pStyle w:val="Compact"/>
              <w:jc w:val="left"/>
            </w:pPr>
            <w:r>
              <w:t xml:space="preserve">1.5</w:t>
            </w:r>
          </w:p>
        </w:tc>
        <w:tc>
          <w:tcPr>
            <w:tcW w:type="dxa" w:w="1744"/>
          </w:tcPr>
          <w:p>
            <w:pPr>
              <w:pStyle w:val="Compact"/>
              <w:jc w:val="left"/>
            </w:pPr>
            <w:r>
              <w:t xml:space="preserve">1.346</w:t>
            </w:r>
          </w:p>
        </w:tc>
        <w:tc>
          <w:tcPr>
            <w:tcW w:type="dxa" w:w="1744"/>
          </w:tcPr>
          <w:p>
            <w:pPr>
              <w:pStyle w:val="Compact"/>
              <w:jc w:val="left"/>
            </w:pPr>
            <w:r>
              <w:t xml:space="preserve">0.3582</w:t>
            </w:r>
          </w:p>
        </w:tc>
        <w:tc>
          <w:tcPr>
            <w:tcW w:type="dxa" w:w="1744"/>
          </w:tcPr>
          <w:p>
            <w:pPr>
              <w:pStyle w:val="Compact"/>
              <w:jc w:val="left"/>
            </w:pPr>
            <w:r>
              <w:t xml:space="preserve">0.5807</w:t>
            </w:r>
          </w:p>
        </w:tc>
        <w:tc>
          <w:tcPr>
            <w:tcW w:type="dxa" w:w="1744"/>
          </w:tcPr>
          <w:p>
            <w:pPr>
              <w:pStyle w:val="Compact"/>
              <w:jc w:val="left"/>
            </w:pPr>
            <w:r>
              <w:t xml:space="preserve">0.4808</w:t>
            </w:r>
          </w:p>
        </w:tc>
      </w:tr>
      <w:tr>
        <w:tc>
          <w:tcPr>
            <w:tcW w:type="dxa" w:w="2093"/>
          </w:tcPr>
          <w:p>
            <w:pPr>
              <w:pStyle w:val="Compact"/>
              <w:jc w:val="left"/>
            </w:pPr>
            <w:r>
              <w:t xml:space="preserve">1.636 (= 90/55)</w:t>
            </w:r>
          </w:p>
        </w:tc>
        <w:tc>
          <w:tcPr>
            <w:tcW w:type="dxa" w:w="1744"/>
          </w:tcPr>
          <w:p>
            <w:pPr>
              <w:pStyle w:val="Compact"/>
              <w:jc w:val="left"/>
            </w:pPr>
            <w:r>
              <w:t xml:space="preserve">1.558</w:t>
            </w:r>
          </w:p>
        </w:tc>
        <w:tc>
          <w:tcPr>
            <w:tcW w:type="dxa" w:w="1744"/>
          </w:tcPr>
          <w:p>
            <w:pPr>
              <w:pStyle w:val="Compact"/>
              <w:jc w:val="left"/>
            </w:pPr>
            <w:r>
              <w:t xml:space="preserve">0.2994</w:t>
            </w:r>
          </w:p>
        </w:tc>
        <w:tc>
          <w:tcPr>
            <w:tcW w:type="dxa" w:w="1744"/>
          </w:tcPr>
          <w:p>
            <w:pPr>
              <w:pStyle w:val="Compact"/>
              <w:jc w:val="left"/>
            </w:pPr>
            <w:r>
              <w:t xml:space="preserve">0.3316</w:t>
            </w:r>
          </w:p>
        </w:tc>
        <w:tc>
          <w:tcPr>
            <w:tcW w:type="dxa" w:w="1744"/>
          </w:tcPr>
          <w:p>
            <w:pPr>
              <w:pStyle w:val="Compact"/>
              <w:jc w:val="left"/>
            </w:pPr>
            <w:r>
              <w:t xml:space="preserve">0.1632</w:t>
            </w:r>
          </w:p>
        </w:tc>
      </w:tr>
      <w:tr>
        <w:tc>
          <w:tcPr>
            <w:tcW w:type="dxa" w:w="2093"/>
          </w:tcPr>
          <w:p>
            <w:pPr>
              <w:pStyle w:val="Compact"/>
              <w:jc w:val="left"/>
            </w:pPr>
            <w:r>
              <w:t xml:space="preserve">1.7</w:t>
            </w:r>
          </w:p>
        </w:tc>
        <w:tc>
          <w:tcPr>
            <w:tcW w:type="dxa" w:w="1744"/>
          </w:tcPr>
          <w:p>
            <w:pPr>
              <w:pStyle w:val="Compact"/>
              <w:jc w:val="left"/>
            </w:pPr>
            <w:r>
              <w:t xml:space="preserve">1.666</w:t>
            </w:r>
          </w:p>
        </w:tc>
        <w:tc>
          <w:tcPr>
            <w:tcW w:type="dxa" w:w="1744"/>
          </w:tcPr>
          <w:p>
            <w:pPr>
              <w:pStyle w:val="Compact"/>
              <w:jc w:val="left"/>
            </w:pPr>
            <w:r>
              <w:t xml:space="preserve">0.2608</w:t>
            </w:r>
          </w:p>
        </w:tc>
        <w:tc>
          <w:tcPr>
            <w:tcW w:type="dxa" w:w="1744"/>
          </w:tcPr>
          <w:p>
            <w:pPr>
              <w:pStyle w:val="Compact"/>
              <w:jc w:val="left"/>
            </w:pPr>
            <w:r>
              <w:t xml:space="preserve">0.2202</w:t>
            </w:r>
          </w:p>
        </w:tc>
        <w:tc>
          <w:tcPr>
            <w:tcW w:type="dxa" w:w="1744"/>
          </w:tcPr>
          <w:p>
            <w:pPr>
              <w:pStyle w:val="Compact"/>
              <w:jc w:val="lef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bookmarkEnd w:id="21"/>
    <w:bookmarkStart w:id="22"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m:t>
            </m:r>
            <m:r>
              <m:rPr>
                <m:sty m:val="p"/>
              </m:rPr>
              <m:t>a</m:t>
            </m:r>
            <m:r>
              <m:rPr>
                <m:sty m:val="p"/>
              </m:rPr>
              <m:t>i</m:t>
            </m:r>
            <m:r>
              <m:rPr>
                <m:sty m:val="p"/>
              </m:rPr>
              <m:t>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bookmarkEnd w:id="22"/>
    <w:bookmarkStart w:id="23"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m:t>
            </m:r>
            <m:r>
              <m:rPr>
                <m:sty m:val="p"/>
              </m:rPr>
              <m:t>o</m:t>
            </m:r>
            <m:r>
              <m:rPr>
                <m:sty m:val="p"/>
              </m:rPr>
              <m:t>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bookmarkEnd w:id="23"/>
    <w:bookmarkStart w:id="24"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24"/>
    <w:bookmarkStart w:id="25"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rPr>
        <w:tc>
          <w:tcPr>
            <w:tcW w:type="dxa" w:w="1096"/>
            <w:tcBorders>
              <w:top w:val="nil"/>
              <w:left w:val="nil"/>
              <w:bottom w:val="single" w:sz="6" w:space="0" w:color="000000"/>
              <w:right w:val="nil"/>
            </w:tcBorders>
          </w:tcPr>
          <w:p>
            <w:pPr>
              <w:pStyle w:val="Compact"/>
              <w:jc w:val="lef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left"/>
            </w:pPr>
            <w:r>
              <w:t xml:space="preserve">Analytical, single</w:t>
            </w:r>
          </w:p>
        </w:tc>
        <w:tc>
          <w:tcPr>
            <w:tcW w:type="dxa" w:w="2093"/>
            <w:tcBorders>
              <w:top w:val="nil"/>
              <w:left w:val="nil"/>
              <w:bottom w:val="single" w:sz="6" w:space="0" w:color="000000"/>
              <w:right w:val="nil"/>
            </w:tcBorders>
          </w:tcPr>
          <w:p>
            <w:pPr>
              <w:pStyle w:val="Compact"/>
              <w:jc w:val="left"/>
            </w:pPr>
            <w:r>
              <w:t xml:space="preserve">Measured, single</w:t>
            </w:r>
          </w:p>
        </w:tc>
        <w:tc>
          <w:tcPr>
            <w:tcW w:type="dxa" w:w="1694"/>
            <w:tcBorders>
              <w:top w:val="nil"/>
              <w:left w:val="nil"/>
              <w:bottom w:val="single" w:sz="6" w:space="0" w:color="000000"/>
              <w:right w:val="nil"/>
            </w:tcBorders>
          </w:tcPr>
          <w:p>
            <w:pPr>
              <w:pStyle w:val="Compact"/>
              <w:jc w:val="left"/>
            </w:pPr>
            <w:r>
              <w:t xml:space="preserve">Two loads</w:t>
            </w:r>
          </w:p>
        </w:tc>
        <w:tc>
          <w:tcPr>
            <w:tcW w:type="dxa" w:w="1694"/>
            <w:tcBorders>
              <w:top w:val="nil"/>
              <w:left w:val="nil"/>
              <w:bottom w:val="single" w:sz="6" w:space="0" w:color="000000"/>
              <w:right w:val="nil"/>
            </w:tcBorders>
          </w:tcPr>
          <w:p>
            <w:pPr>
              <w:pStyle w:val="Compact"/>
              <w:jc w:val="left"/>
            </w:pPr>
            <w:r>
              <w:t xml:space="preserve">Three loads</w:t>
            </w:r>
          </w:p>
        </w:tc>
      </w:tr>
      <w:tr>
        <w:tc>
          <w:tcPr>
            <w:tcW w:type="dxa" w:w="1096"/>
          </w:tcPr>
          <w:p>
            <w:pPr>
              <w:pStyle w:val="Compact"/>
              <w:jc w:val="left"/>
            </w:pPr>
            <w:r>
              <w:t xml:space="preserve">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w:t>
            </w:r>
          </w:p>
        </w:tc>
        <w:tc>
          <w:tcPr>
            <w:tcW w:type="dxa" w:w="1694"/>
          </w:tcPr>
          <w:p>
            <w:pPr>
              <w:pStyle w:val="Compact"/>
              <w:jc w:val="left"/>
            </w:pPr>
            <w:r>
              <w:t xml:space="preserve">0</w:t>
            </w:r>
          </w:p>
        </w:tc>
      </w:tr>
      <w:tr>
        <w:tc>
          <w:tcPr>
            <w:tcW w:type="dxa" w:w="1096"/>
          </w:tcPr>
          <w:p>
            <w:pPr>
              <w:pStyle w:val="Compact"/>
              <w:jc w:val="left"/>
            </w:pPr>
            <w:r>
              <w:t xml:space="preserve">250</w:t>
            </w:r>
          </w:p>
        </w:tc>
        <w:tc>
          <w:tcPr>
            <w:tcW w:type="dxa" w:w="2491"/>
          </w:tcPr>
          <w:p>
            <w:pPr>
              <w:pStyle w:val="Compact"/>
              <w:jc w:val="left"/>
            </w:pPr>
            <w:r>
              <w:t xml:space="preserve">0.8874</w:t>
            </w:r>
          </w:p>
        </w:tc>
        <w:tc>
          <w:tcPr>
            <w:tcW w:type="dxa" w:w="2093"/>
          </w:tcPr>
          <w:p>
            <w:pPr>
              <w:pStyle w:val="Compact"/>
              <w:jc w:val="left"/>
            </w:pPr>
            <w:r>
              <w:t xml:space="preserve">0.8844</w:t>
            </w:r>
          </w:p>
        </w:tc>
        <w:tc>
          <w:tcPr>
            <w:tcW w:type="dxa" w:w="1694"/>
          </w:tcPr>
          <w:p>
            <w:pPr>
              <w:pStyle w:val="Compact"/>
              <w:jc w:val="left"/>
            </w:pPr>
            <w:r>
              <w:t xml:space="preserve">0.4625</w:t>
            </w:r>
          </w:p>
        </w:tc>
        <w:tc>
          <w:tcPr>
            <w:tcW w:type="dxa" w:w="1694"/>
          </w:tcPr>
          <w:p>
            <w:pPr>
              <w:pStyle w:val="Compact"/>
              <w:jc w:val="left"/>
            </w:pPr>
            <w:r>
              <w:t xml:space="preserve">0.5525</w:t>
            </w:r>
          </w:p>
        </w:tc>
      </w:tr>
      <w:tr>
        <w:tc>
          <w:tcPr>
            <w:tcW w:type="dxa" w:w="1096"/>
          </w:tcPr>
          <w:p>
            <w:pPr>
              <w:pStyle w:val="Compact"/>
              <w:jc w:val="left"/>
            </w:pPr>
            <w:r>
              <w:t xml:space="preserve">500</w:t>
            </w:r>
          </w:p>
        </w:tc>
        <w:tc>
          <w:tcPr>
            <w:tcW w:type="dxa" w:w="2491"/>
          </w:tcPr>
          <w:p>
            <w:pPr>
              <w:pStyle w:val="Compact"/>
              <w:jc w:val="left"/>
            </w:pPr>
            <w:r>
              <w:t xml:space="preserve">1.6968</w:t>
            </w:r>
          </w:p>
        </w:tc>
        <w:tc>
          <w:tcPr>
            <w:tcW w:type="dxa" w:w="2093"/>
          </w:tcPr>
          <w:p>
            <w:pPr>
              <w:pStyle w:val="Compact"/>
              <w:jc w:val="left"/>
            </w:pPr>
            <w:r>
              <w:t xml:space="preserve">1.6975</w:t>
            </w:r>
          </w:p>
        </w:tc>
        <w:tc>
          <w:tcPr>
            <w:tcW w:type="dxa" w:w="1694"/>
          </w:tcPr>
          <w:p>
            <w:pPr>
              <w:pStyle w:val="Compact"/>
              <w:jc w:val="left"/>
            </w:pPr>
            <w:r>
              <w:t xml:space="preserve">1.8813</w:t>
            </w:r>
          </w:p>
        </w:tc>
        <w:tc>
          <w:tcPr>
            <w:tcW w:type="dxa" w:w="1694"/>
          </w:tcPr>
          <w:p>
            <w:pPr>
              <w:pStyle w:val="Compact"/>
              <w:jc w:val="left"/>
            </w:pPr>
            <w:r>
              <w:t xml:space="preserve">1.0450</w:t>
            </w:r>
          </w:p>
        </w:tc>
      </w:tr>
      <w:tr>
        <w:tc>
          <w:tcPr>
            <w:tcW w:type="dxa" w:w="1096"/>
          </w:tcPr>
          <w:p>
            <w:pPr>
              <w:pStyle w:val="Compact"/>
              <w:jc w:val="left"/>
            </w:pPr>
            <w:r>
              <w:t xml:space="preserve">750</w:t>
            </w:r>
          </w:p>
        </w:tc>
        <w:tc>
          <w:tcPr>
            <w:tcW w:type="dxa" w:w="2491"/>
          </w:tcPr>
          <w:p>
            <w:pPr>
              <w:pStyle w:val="Compact"/>
              <w:jc w:val="left"/>
            </w:pPr>
            <w:r>
              <w:t xml:space="preserve">2.3501</w:t>
            </w:r>
          </w:p>
        </w:tc>
        <w:tc>
          <w:tcPr>
            <w:tcW w:type="dxa" w:w="2093"/>
          </w:tcPr>
          <w:p>
            <w:pPr>
              <w:pStyle w:val="Compact"/>
              <w:jc w:val="left"/>
            </w:pPr>
            <w:r>
              <w:t xml:space="preserve">2.3525</w:t>
            </w:r>
          </w:p>
        </w:tc>
        <w:tc>
          <w:tcPr>
            <w:tcW w:type="dxa" w:w="1694"/>
          </w:tcPr>
          <w:p>
            <w:pPr>
              <w:pStyle w:val="Compact"/>
              <w:jc w:val="left"/>
            </w:pPr>
            <w:r>
              <w:t xml:space="preserve">3.1413</w:t>
            </w:r>
          </w:p>
        </w:tc>
        <w:tc>
          <w:tcPr>
            <w:tcW w:type="dxa" w:w="1694"/>
          </w:tcPr>
          <w:p>
            <w:pPr>
              <w:pStyle w:val="Compact"/>
              <w:jc w:val="left"/>
            </w:pPr>
            <w:r>
              <w:t xml:space="preserve">2.5413</w:t>
            </w:r>
          </w:p>
        </w:tc>
      </w:tr>
      <w:tr>
        <w:tc>
          <w:tcPr>
            <w:tcW w:type="dxa" w:w="1096"/>
          </w:tcPr>
          <w:p>
            <w:pPr>
              <w:pStyle w:val="Compact"/>
              <w:jc w:val="left"/>
            </w:pPr>
            <w:r>
              <w:t xml:space="preserve">1000</w:t>
            </w:r>
          </w:p>
        </w:tc>
        <w:tc>
          <w:tcPr>
            <w:tcW w:type="dxa" w:w="2491"/>
          </w:tcPr>
          <w:p>
            <w:pPr>
              <w:pStyle w:val="Compact"/>
              <w:jc w:val="left"/>
            </w:pPr>
            <w:r>
              <w:t xml:space="preserve">2.7693</w:t>
            </w:r>
          </w:p>
        </w:tc>
        <w:tc>
          <w:tcPr>
            <w:tcW w:type="dxa" w:w="2093"/>
          </w:tcPr>
          <w:p>
            <w:pPr>
              <w:pStyle w:val="Compact"/>
              <w:jc w:val="left"/>
            </w:pPr>
            <w:r>
              <w:t xml:space="preserve">2.7738</w:t>
            </w:r>
          </w:p>
        </w:tc>
        <w:tc>
          <w:tcPr>
            <w:tcW w:type="dxa" w:w="1694"/>
          </w:tcPr>
          <w:p>
            <w:pPr>
              <w:pStyle w:val="Compact"/>
              <w:jc w:val="left"/>
            </w:pPr>
            <w:r>
              <w:t xml:space="preserve">4.0988</w:t>
            </w:r>
          </w:p>
        </w:tc>
        <w:tc>
          <w:tcPr>
            <w:tcW w:type="dxa" w:w="1694"/>
          </w:tcPr>
          <w:p>
            <w:pPr>
              <w:pStyle w:val="Compact"/>
              <w:jc w:val="left"/>
            </w:pPr>
            <w:r>
              <w:t xml:space="preserve">4.8700</w:t>
            </w:r>
          </w:p>
        </w:tc>
      </w:tr>
      <w:tr>
        <w:tc>
          <w:tcPr>
            <w:tcW w:type="dxa" w:w="1096"/>
          </w:tcPr>
          <w:p>
            <w:pPr>
              <w:pStyle w:val="Compact"/>
              <w:jc w:val="left"/>
            </w:pPr>
            <w:r>
              <w:t xml:space="preserve">1250</w:t>
            </w:r>
          </w:p>
        </w:tc>
        <w:tc>
          <w:tcPr>
            <w:tcW w:type="dxa" w:w="2491"/>
          </w:tcPr>
          <w:p>
            <w:pPr>
              <w:pStyle w:val="Compact"/>
              <w:jc w:val="left"/>
            </w:pPr>
            <w:r>
              <w:t xml:space="preserve">2.8764</w:t>
            </w:r>
          </w:p>
        </w:tc>
        <w:tc>
          <w:tcPr>
            <w:tcW w:type="dxa" w:w="2093"/>
          </w:tcPr>
          <w:p>
            <w:pPr>
              <w:pStyle w:val="Compact"/>
              <w:jc w:val="left"/>
            </w:pPr>
            <w:r>
              <w:t xml:space="preserve">2.8827</w:t>
            </w:r>
          </w:p>
        </w:tc>
        <w:tc>
          <w:tcPr>
            <w:tcW w:type="dxa" w:w="1694"/>
          </w:tcPr>
          <w:p>
            <w:pPr>
              <w:pStyle w:val="Compact"/>
              <w:jc w:val="left"/>
            </w:pPr>
            <w:r>
              <w:t xml:space="preserve">4.6350</w:t>
            </w:r>
          </w:p>
        </w:tc>
        <w:tc>
          <w:tcPr>
            <w:tcW w:type="dxa" w:w="1694"/>
          </w:tcPr>
          <w:p>
            <w:pPr>
              <w:pStyle w:val="Compact"/>
              <w:jc w:val="left"/>
            </w:pPr>
            <w:r>
              <w:t xml:space="preserve">6.7588</w:t>
            </w:r>
          </w:p>
        </w:tc>
      </w:tr>
      <w:tr>
        <w:tc>
          <w:tcPr>
            <w:tcW w:type="dxa" w:w="1096"/>
          </w:tcPr>
          <w:p>
            <w:pPr>
              <w:pStyle w:val="Compact"/>
              <w:jc w:val="left"/>
            </w:pPr>
            <w:r>
              <w:t xml:space="preserve">1500</w:t>
            </w:r>
          </w:p>
        </w:tc>
        <w:tc>
          <w:tcPr>
            <w:tcW w:type="dxa" w:w="2491"/>
          </w:tcPr>
          <w:p>
            <w:pPr>
              <w:pStyle w:val="Compact"/>
              <w:jc w:val="left"/>
            </w:pPr>
            <w:r>
              <w:t xml:space="preserve">2.6253</w:t>
            </w:r>
          </w:p>
        </w:tc>
        <w:tc>
          <w:tcPr>
            <w:tcW w:type="dxa" w:w="2093"/>
          </w:tcPr>
          <w:p>
            <w:pPr>
              <w:pStyle w:val="Compact"/>
              <w:jc w:val="left"/>
            </w:pPr>
            <w:r>
              <w:t xml:space="preserve">2.6363</w:t>
            </w:r>
          </w:p>
        </w:tc>
        <w:tc>
          <w:tcPr>
            <w:tcW w:type="dxa" w:w="1694"/>
          </w:tcPr>
          <w:p>
            <w:pPr>
              <w:pStyle w:val="Compact"/>
              <w:jc w:val="left"/>
            </w:pPr>
            <w:r>
              <w:t xml:space="preserve">4.6238</w:t>
            </w:r>
          </w:p>
        </w:tc>
        <w:tc>
          <w:tcPr>
            <w:tcW w:type="dxa" w:w="1694"/>
          </w:tcPr>
          <w:p>
            <w:pPr>
              <w:pStyle w:val="Compact"/>
              <w:jc w:val="left"/>
            </w:pPr>
            <w:r>
              <w:t xml:space="preserve">7.9350</w:t>
            </w:r>
          </w:p>
        </w:tc>
      </w:tr>
      <w:tr>
        <w:tc>
          <w:tcPr>
            <w:tcW w:type="dxa" w:w="1096"/>
          </w:tcPr>
          <w:p>
            <w:pPr>
              <w:pStyle w:val="Compact"/>
              <w:jc w:val="left"/>
            </w:pPr>
            <w:r>
              <w:t xml:space="preserve">1750</w:t>
            </w:r>
          </w:p>
        </w:tc>
        <w:tc>
          <w:tcPr>
            <w:tcW w:type="dxa" w:w="2491"/>
          </w:tcPr>
          <w:p>
            <w:pPr>
              <w:pStyle w:val="Compact"/>
              <w:jc w:val="left"/>
            </w:pPr>
            <w:r>
              <w:t xml:space="preserve">2.0980</w:t>
            </w:r>
          </w:p>
        </w:tc>
        <w:tc>
          <w:tcPr>
            <w:tcW w:type="dxa" w:w="2093"/>
          </w:tcPr>
          <w:p>
            <w:pPr>
              <w:pStyle w:val="Compact"/>
              <w:jc w:val="left"/>
            </w:pPr>
            <w:r>
              <w:t xml:space="preserve">2.1100</w:t>
            </w:r>
          </w:p>
        </w:tc>
        <w:tc>
          <w:tcPr>
            <w:tcW w:type="dxa" w:w="1694"/>
          </w:tcPr>
          <w:p>
            <w:pPr>
              <w:pStyle w:val="Compact"/>
              <w:jc w:val="left"/>
            </w:pPr>
            <w:r>
              <w:t xml:space="preserve">4.0688</w:t>
            </w:r>
          </w:p>
        </w:tc>
        <w:tc>
          <w:tcPr>
            <w:tcW w:type="dxa" w:w="1694"/>
          </w:tcPr>
          <w:p>
            <w:pPr>
              <w:pStyle w:val="Compact"/>
              <w:jc w:val="left"/>
            </w:pPr>
            <w:r>
              <w:t xml:space="preserve">8.2775</w:t>
            </w:r>
          </w:p>
        </w:tc>
      </w:tr>
      <w:tr>
        <w:tc>
          <w:tcPr>
            <w:tcW w:type="dxa" w:w="1096"/>
          </w:tcPr>
          <w:p>
            <w:pPr>
              <w:pStyle w:val="Compact"/>
              <w:jc w:val="left"/>
            </w:pPr>
            <w:r>
              <w:t xml:space="preserve">2000</w:t>
            </w:r>
          </w:p>
        </w:tc>
        <w:tc>
          <w:tcPr>
            <w:tcW w:type="dxa" w:w="2491"/>
          </w:tcPr>
          <w:p>
            <w:pPr>
              <w:pStyle w:val="Compact"/>
              <w:jc w:val="left"/>
            </w:pPr>
            <w:r>
              <w:t xml:space="preserve">1.4087</w:t>
            </w:r>
          </w:p>
        </w:tc>
        <w:tc>
          <w:tcPr>
            <w:tcW w:type="dxa" w:w="2093"/>
          </w:tcPr>
          <w:p>
            <w:pPr>
              <w:pStyle w:val="Compact"/>
              <w:jc w:val="left"/>
            </w:pPr>
            <w:r>
              <w:t xml:space="preserve">1.4213</w:t>
            </w:r>
          </w:p>
        </w:tc>
        <w:tc>
          <w:tcPr>
            <w:tcW w:type="dxa" w:w="1694"/>
          </w:tcPr>
          <w:p>
            <w:pPr>
              <w:pStyle w:val="Compact"/>
              <w:jc w:val="left"/>
            </w:pPr>
            <w:r>
              <w:t xml:space="preserve">3.1375</w:t>
            </w:r>
          </w:p>
        </w:tc>
        <w:tc>
          <w:tcPr>
            <w:tcW w:type="dxa" w:w="1694"/>
          </w:tcPr>
          <w:p>
            <w:pPr>
              <w:pStyle w:val="Compact"/>
              <w:jc w:val="left"/>
            </w:pPr>
            <w:r>
              <w:t xml:space="preserve">7.6825</w:t>
            </w:r>
          </w:p>
        </w:tc>
      </w:tr>
      <w:tr>
        <w:tc>
          <w:tcPr>
            <w:tcW w:type="dxa" w:w="1096"/>
          </w:tcPr>
          <w:p>
            <w:pPr>
              <w:pStyle w:val="Compact"/>
              <w:jc w:val="left"/>
            </w:pPr>
            <w:r>
              <w:t xml:space="preserve">2250</w:t>
            </w:r>
          </w:p>
        </w:tc>
        <w:tc>
          <w:tcPr>
            <w:tcW w:type="dxa" w:w="2491"/>
          </w:tcPr>
          <w:p>
            <w:pPr>
              <w:pStyle w:val="Compact"/>
              <w:jc w:val="left"/>
            </w:pPr>
            <w:r>
              <w:t xml:space="preserve">0.6713</w:t>
            </w:r>
          </w:p>
        </w:tc>
        <w:tc>
          <w:tcPr>
            <w:tcW w:type="dxa" w:w="2093"/>
          </w:tcPr>
          <w:p>
            <w:pPr>
              <w:pStyle w:val="Compact"/>
              <w:jc w:val="left"/>
            </w:pPr>
            <w:r>
              <w:t xml:space="preserve">0.6838</w:t>
            </w:r>
          </w:p>
        </w:tc>
        <w:tc>
          <w:tcPr>
            <w:tcW w:type="dxa" w:w="1694"/>
          </w:tcPr>
          <w:p>
            <w:pPr>
              <w:pStyle w:val="Compact"/>
              <w:jc w:val="left"/>
            </w:pPr>
            <w:r>
              <w:t xml:space="preserve">1.9600</w:t>
            </w:r>
          </w:p>
        </w:tc>
        <w:tc>
          <w:tcPr>
            <w:tcW w:type="dxa" w:w="1694"/>
          </w:tcPr>
          <w:p>
            <w:pPr>
              <w:pStyle w:val="Compact"/>
              <w:jc w:val="left"/>
            </w:pPr>
            <w:r>
              <w:t xml:space="preserve">6.2800</w:t>
            </w:r>
          </w:p>
        </w:tc>
      </w:tr>
      <w:tr>
        <w:tc>
          <w:tcPr>
            <w:tcW w:type="dxa" w:w="1096"/>
          </w:tcPr>
          <w:p>
            <w:pPr>
              <w:pStyle w:val="Compact"/>
              <w:jc w:val="left"/>
            </w:pPr>
            <w:r>
              <w:t xml:space="preserve">2500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0.7715</w:t>
            </w:r>
          </w:p>
        </w:tc>
        <w:tc>
          <w:tcPr>
            <w:tcW w:type="dxa" w:w="1694"/>
          </w:tcPr>
          <w:p>
            <w:pPr>
              <w:pStyle w:val="Compact"/>
              <w:jc w:val="left"/>
            </w:pPr>
            <w:r>
              <w:t xml:space="preserve">4.3725</w:t>
            </w:r>
          </w:p>
        </w:tc>
      </w:tr>
      <w:tr>
        <w:tc>
          <w:tcPr>
            <w:tcW w:type="dxa" w:w="1096"/>
          </w:tcPr>
          <w:p>
            <w:pPr>
              <w:pStyle w:val="Compact"/>
              <w:jc w:val="left"/>
            </w:pPr>
            <w:r>
              <w:t xml:space="preserve">2750</w:t>
            </w:r>
          </w:p>
        </w:tc>
        <w:tc>
          <w:tcPr>
            <w:tcW w:type="dxa" w:w="2491"/>
          </w:tcPr>
          <w:p>
            <w:pPr>
              <w:pStyle w:val="Compact"/>
              <w:jc w:val="left"/>
            </w:pPr>
            <w:r>
              <w:t xml:space="preserve">−0.5132</w:t>
            </w:r>
          </w:p>
        </w:tc>
        <w:tc>
          <w:tcPr>
            <w:tcW w:type="dxa" w:w="2093"/>
          </w:tcPr>
          <w:p>
            <w:pPr>
              <w:pStyle w:val="Compact"/>
              <w:jc w:val="left"/>
            </w:pPr>
            <w:r>
              <w:t xml:space="preserve">−0.5069</w:t>
            </w:r>
          </w:p>
        </w:tc>
        <w:tc>
          <w:tcPr>
            <w:tcW w:type="dxa" w:w="1694"/>
          </w:tcPr>
          <w:p>
            <w:pPr>
              <w:pStyle w:val="Compact"/>
              <w:jc w:val="left"/>
            </w:pPr>
            <w:r>
              <w:t xml:space="preserve">−0.2689</w:t>
            </w:r>
          </w:p>
        </w:tc>
        <w:tc>
          <w:tcPr>
            <w:tcW w:type="dxa" w:w="1694"/>
          </w:tcPr>
          <w:p>
            <w:pPr>
              <w:pStyle w:val="Compact"/>
              <w:jc w:val="left"/>
            </w:pPr>
            <w:r>
              <w:t xml:space="preserve">2.2975</w:t>
            </w:r>
          </w:p>
        </w:tc>
      </w:tr>
      <w:tr>
        <w:tc>
          <w:tcPr>
            <w:tcW w:type="dxa" w:w="1096"/>
          </w:tcPr>
          <w:p>
            <w:pPr>
              <w:pStyle w:val="Compact"/>
              <w:jc w:val="left"/>
            </w:pPr>
            <w:r>
              <w:t xml:space="preserve">3000</w:t>
            </w:r>
          </w:p>
        </w:tc>
        <w:tc>
          <w:tcPr>
            <w:tcW w:type="dxa" w:w="2491"/>
          </w:tcPr>
          <w:p>
            <w:pPr>
              <w:pStyle w:val="Compact"/>
              <w:jc w:val="left"/>
            </w:pPr>
            <w:r>
              <w:t xml:space="preserve">−0.8644</w:t>
            </w:r>
          </w:p>
        </w:tc>
        <w:tc>
          <w:tcPr>
            <w:tcW w:type="dxa" w:w="2093"/>
          </w:tcPr>
          <w:p>
            <w:pPr>
              <w:pStyle w:val="Compact"/>
              <w:jc w:val="left"/>
            </w:pPr>
            <w:r>
              <w:t xml:space="preserve">−0.8556</w:t>
            </w:r>
          </w:p>
        </w:tc>
        <w:tc>
          <w:tcPr>
            <w:tcW w:type="dxa" w:w="1694"/>
          </w:tcPr>
          <w:p>
            <w:pPr>
              <w:pStyle w:val="Compact"/>
              <w:jc w:val="left"/>
            </w:pPr>
            <w:r>
              <w:t xml:space="preserve">−1.0063</w:t>
            </w:r>
          </w:p>
        </w:tc>
        <w:tc>
          <w:tcPr>
            <w:tcW w:type="dxa" w:w="1694"/>
          </w:tcPr>
          <w:p>
            <w:pPr>
              <w:pStyle w:val="Compact"/>
              <w:jc w:val="left"/>
            </w:pPr>
            <w:r>
              <w:t xml:space="preserve">0.3021</w:t>
            </w:r>
          </w:p>
        </w:tc>
      </w:tr>
      <w:tr>
        <w:tc>
          <w:tcPr>
            <w:tcW w:type="dxa" w:w="1096"/>
          </w:tcPr>
          <w:p>
            <w:pPr>
              <w:pStyle w:val="Compact"/>
              <w:jc w:val="left"/>
            </w:pPr>
            <w:r>
              <w:t xml:space="preserve">3250</w:t>
            </w:r>
          </w:p>
        </w:tc>
        <w:tc>
          <w:tcPr>
            <w:tcW w:type="dxa" w:w="2491"/>
          </w:tcPr>
          <w:p>
            <w:pPr>
              <w:pStyle w:val="Compact"/>
              <w:jc w:val="left"/>
            </w:pPr>
            <w:r>
              <w:t xml:space="preserve">−1.0715</w:t>
            </w:r>
          </w:p>
        </w:tc>
        <w:tc>
          <w:tcPr>
            <w:tcW w:type="dxa" w:w="2093"/>
          </w:tcPr>
          <w:p>
            <w:pPr>
              <w:pStyle w:val="Compact"/>
              <w:jc w:val="left"/>
            </w:pPr>
            <w:r>
              <w:t xml:space="preserve">−1.0600</w:t>
            </w:r>
          </w:p>
        </w:tc>
        <w:tc>
          <w:tcPr>
            <w:tcW w:type="dxa" w:w="1694"/>
          </w:tcPr>
          <w:p>
            <w:pPr>
              <w:pStyle w:val="Compact"/>
              <w:jc w:val="left"/>
            </w:pPr>
            <w:r>
              <w:t xml:space="preserve">−1.4988</w:t>
            </w:r>
          </w:p>
        </w:tc>
        <w:tc>
          <w:tcPr>
            <w:tcW w:type="dxa" w:w="1694"/>
          </w:tcPr>
          <w:p>
            <w:pPr>
              <w:pStyle w:val="Compact"/>
              <w:jc w:val="left"/>
            </w:pPr>
            <w:r>
              <w:t xml:space="preserve">−1.2588</w:t>
            </w:r>
          </w:p>
        </w:tc>
      </w:tr>
      <w:tr>
        <w:tc>
          <w:tcPr>
            <w:tcW w:type="dxa" w:w="1096"/>
          </w:tcPr>
          <w:p>
            <w:pPr>
              <w:pStyle w:val="Compact"/>
              <w:jc w:val="left"/>
            </w:pPr>
            <w:r>
              <w:t xml:space="preserve">3500</w:t>
            </w:r>
          </w:p>
        </w:tc>
        <w:tc>
          <w:tcPr>
            <w:tcW w:type="dxa" w:w="2491"/>
          </w:tcPr>
          <w:p>
            <w:pPr>
              <w:pStyle w:val="Compact"/>
              <w:jc w:val="left"/>
            </w:pPr>
            <w:r>
              <w:t xml:space="preserve">−1.1526</w:t>
            </w:r>
          </w:p>
        </w:tc>
        <w:tc>
          <w:tcPr>
            <w:tcW w:type="dxa" w:w="2093"/>
          </w:tcPr>
          <w:p>
            <w:pPr>
              <w:pStyle w:val="Compact"/>
              <w:jc w:val="left"/>
            </w:pPr>
            <w:r>
              <w:t xml:space="preserve">−1.1438</w:t>
            </w:r>
          </w:p>
        </w:tc>
        <w:tc>
          <w:tcPr>
            <w:tcW w:type="dxa" w:w="1694"/>
          </w:tcPr>
          <w:p>
            <w:pPr>
              <w:pStyle w:val="Compact"/>
              <w:jc w:val="left"/>
            </w:pPr>
            <w:r>
              <w:t xml:space="preserve">−1.7813</w:t>
            </w:r>
          </w:p>
        </w:tc>
        <w:tc>
          <w:tcPr>
            <w:tcW w:type="dxa" w:w="1694"/>
          </w:tcPr>
          <w:p>
            <w:pPr>
              <w:pStyle w:val="Compact"/>
              <w:jc w:val="left"/>
            </w:pPr>
            <w:r>
              <w:t xml:space="preserve">−2.3650</w:t>
            </w:r>
          </w:p>
        </w:tc>
      </w:tr>
      <w:tr>
        <w:tc>
          <w:tcPr>
            <w:tcW w:type="dxa" w:w="1096"/>
          </w:tcPr>
          <w:p>
            <w:pPr>
              <w:pStyle w:val="Compact"/>
              <w:jc w:val="left"/>
            </w:pPr>
            <w:r>
              <w:t xml:space="preserve">3750</w:t>
            </w:r>
          </w:p>
        </w:tc>
        <w:tc>
          <w:tcPr>
            <w:tcW w:type="dxa" w:w="2491"/>
          </w:tcPr>
          <w:p>
            <w:pPr>
              <w:pStyle w:val="Compact"/>
              <w:jc w:val="left"/>
            </w:pPr>
            <w:r>
              <w:t xml:space="preserve">−1.1255</w:t>
            </w:r>
          </w:p>
        </w:tc>
        <w:tc>
          <w:tcPr>
            <w:tcW w:type="dxa" w:w="2093"/>
          </w:tcPr>
          <w:p>
            <w:pPr>
              <w:pStyle w:val="Compact"/>
              <w:jc w:val="left"/>
            </w:pPr>
            <w:r>
              <w:t xml:space="preserve">−1.1200</w:t>
            </w:r>
          </w:p>
        </w:tc>
        <w:tc>
          <w:tcPr>
            <w:tcW w:type="dxa" w:w="1694"/>
          </w:tcPr>
          <w:p>
            <w:pPr>
              <w:pStyle w:val="Compact"/>
              <w:jc w:val="left"/>
            </w:pPr>
            <w:r>
              <w:t xml:space="preserve">−1.8600</w:t>
            </w:r>
          </w:p>
        </w:tc>
        <w:tc>
          <w:tcPr>
            <w:tcW w:type="dxa" w:w="1694"/>
          </w:tcPr>
          <w:p>
            <w:pPr>
              <w:pStyle w:val="Compact"/>
              <w:jc w:val="left"/>
            </w:pPr>
            <w:r>
              <w:t xml:space="preserve">−3.0363</w:t>
            </w:r>
          </w:p>
        </w:tc>
      </w:tr>
      <w:tr>
        <w:tc>
          <w:tcPr>
            <w:tcW w:type="dxa" w:w="1096"/>
          </w:tcPr>
          <w:p>
            <w:pPr>
              <w:pStyle w:val="Compact"/>
              <w:jc w:val="left"/>
            </w:pPr>
            <w:r>
              <w:t xml:space="preserve">4000</w:t>
            </w:r>
          </w:p>
        </w:tc>
        <w:tc>
          <w:tcPr>
            <w:tcW w:type="dxa" w:w="2491"/>
          </w:tcPr>
          <w:p>
            <w:pPr>
              <w:pStyle w:val="Compact"/>
              <w:jc w:val="left"/>
            </w:pPr>
            <w:r>
              <w:t xml:space="preserve">−1.0085</w:t>
            </w:r>
          </w:p>
        </w:tc>
        <w:tc>
          <w:tcPr>
            <w:tcW w:type="dxa" w:w="2093"/>
          </w:tcPr>
          <w:p>
            <w:pPr>
              <w:pStyle w:val="Compact"/>
              <w:jc w:val="left"/>
            </w:pPr>
            <w:r>
              <w:t xml:space="preserve">−1.0013</w:t>
            </w:r>
          </w:p>
        </w:tc>
        <w:tc>
          <w:tcPr>
            <w:tcW w:type="dxa" w:w="1694"/>
          </w:tcPr>
          <w:p>
            <w:pPr>
              <w:pStyle w:val="Compact"/>
              <w:jc w:val="left"/>
            </w:pPr>
            <w:r>
              <w:t xml:space="preserve">−1.7738</w:t>
            </w:r>
          </w:p>
        </w:tc>
        <w:tc>
          <w:tcPr>
            <w:tcW w:type="dxa" w:w="1694"/>
          </w:tcPr>
          <w:p>
            <w:pPr>
              <w:pStyle w:val="Compact"/>
              <w:jc w:val="left"/>
            </w:pPr>
            <w:r>
              <w:t xml:space="preserve">−3.3300</w:t>
            </w:r>
          </w:p>
        </w:tc>
      </w:tr>
      <w:tr>
        <w:tc>
          <w:tcPr>
            <w:tcW w:type="dxa" w:w="1096"/>
          </w:tcPr>
          <w:p>
            <w:pPr>
              <w:pStyle w:val="Compact"/>
              <w:jc w:val="left"/>
            </w:pPr>
            <w:r>
              <w:t xml:space="preserve">4250</w:t>
            </w:r>
          </w:p>
        </w:tc>
        <w:tc>
          <w:tcPr>
            <w:tcW w:type="dxa" w:w="2491"/>
          </w:tcPr>
          <w:p>
            <w:pPr>
              <w:pStyle w:val="Compact"/>
              <w:jc w:val="left"/>
            </w:pPr>
            <w:r>
              <w:t xml:space="preserve">−0.8194</w:t>
            </w:r>
          </w:p>
        </w:tc>
        <w:tc>
          <w:tcPr>
            <w:tcW w:type="dxa" w:w="2093"/>
          </w:tcPr>
          <w:p>
            <w:pPr>
              <w:pStyle w:val="Compact"/>
              <w:jc w:val="left"/>
            </w:pPr>
            <w:r>
              <w:t xml:space="preserve">−0.8175</w:t>
            </w:r>
          </w:p>
        </w:tc>
        <w:tc>
          <w:tcPr>
            <w:tcW w:type="dxa" w:w="1694"/>
          </w:tcPr>
          <w:p>
            <w:pPr>
              <w:pStyle w:val="Compact"/>
              <w:jc w:val="left"/>
            </w:pPr>
            <w:r>
              <w:t xml:space="preserve">−1.5525</w:t>
            </w:r>
          </w:p>
        </w:tc>
        <w:tc>
          <w:tcPr>
            <w:tcW w:type="dxa" w:w="1694"/>
          </w:tcPr>
          <w:p>
            <w:pPr>
              <w:pStyle w:val="Compact"/>
              <w:jc w:val="left"/>
            </w:pPr>
            <w:r>
              <w:t xml:space="preserve">−3.2663</w:t>
            </w:r>
          </w:p>
        </w:tc>
      </w:tr>
      <w:tr>
        <w:tc>
          <w:tcPr>
            <w:tcW w:type="dxa" w:w="1096"/>
          </w:tcPr>
          <w:p>
            <w:pPr>
              <w:pStyle w:val="Compact"/>
              <w:jc w:val="left"/>
            </w:pPr>
            <w:r>
              <w:t xml:space="preserve">4500</w:t>
            </w:r>
          </w:p>
        </w:tc>
        <w:tc>
          <w:tcPr>
            <w:tcW w:type="dxa" w:w="2491"/>
          </w:tcPr>
          <w:p>
            <w:pPr>
              <w:pStyle w:val="Compact"/>
              <w:jc w:val="left"/>
            </w:pPr>
            <w:r>
              <w:t xml:space="preserve">−0.5763</w:t>
            </w:r>
          </w:p>
        </w:tc>
        <w:tc>
          <w:tcPr>
            <w:tcW w:type="dxa" w:w="2093"/>
          </w:tcPr>
          <w:p>
            <w:pPr>
              <w:pStyle w:val="Compact"/>
              <w:jc w:val="left"/>
            </w:pPr>
            <w:r>
              <w:t xml:space="preserve">−0.5816</w:t>
            </w:r>
          </w:p>
        </w:tc>
        <w:tc>
          <w:tcPr>
            <w:tcW w:type="dxa" w:w="1694"/>
          </w:tcPr>
          <w:p>
            <w:pPr>
              <w:pStyle w:val="Compact"/>
              <w:jc w:val="left"/>
            </w:pPr>
            <w:r>
              <w:t xml:space="preserve">−1.2213</w:t>
            </w:r>
          </w:p>
        </w:tc>
        <w:tc>
          <w:tcPr>
            <w:tcW w:type="dxa" w:w="1694"/>
          </w:tcPr>
          <w:p>
            <w:pPr>
              <w:pStyle w:val="Compact"/>
              <w:jc w:val="left"/>
            </w:pPr>
            <w:r>
              <w:t xml:space="preserve">−2.9450</w:t>
            </w:r>
          </w:p>
        </w:tc>
      </w:tr>
      <w:tr>
        <w:tc>
          <w:tcPr>
            <w:tcW w:type="dxa" w:w="1096"/>
          </w:tcPr>
          <w:p>
            <w:pPr>
              <w:pStyle w:val="Compact"/>
              <w:jc w:val="left"/>
            </w:pPr>
            <w:r>
              <w:t xml:space="preserve">4750</w:t>
            </w:r>
          </w:p>
        </w:tc>
        <w:tc>
          <w:tcPr>
            <w:tcW w:type="dxa" w:w="2491"/>
          </w:tcPr>
          <w:p>
            <w:pPr>
              <w:pStyle w:val="Compact"/>
              <w:jc w:val="left"/>
            </w:pPr>
            <w:r>
              <w:t xml:space="preserve">−0.2971</w:t>
            </w:r>
          </w:p>
        </w:tc>
        <w:tc>
          <w:tcPr>
            <w:tcW w:type="dxa" w:w="2093"/>
          </w:tcPr>
          <w:p>
            <w:pPr>
              <w:pStyle w:val="Compact"/>
              <w:jc w:val="left"/>
            </w:pPr>
            <w:r>
              <w:t xml:space="preserve">−0.3019</w:t>
            </w:r>
          </w:p>
        </w:tc>
        <w:tc>
          <w:tcPr>
            <w:tcW w:type="dxa" w:w="1694"/>
          </w:tcPr>
          <w:p>
            <w:pPr>
              <w:pStyle w:val="Compact"/>
              <w:jc w:val="left"/>
            </w:pPr>
            <w:r>
              <w:t xml:space="preserve">−0.8125</w:t>
            </w:r>
          </w:p>
        </w:tc>
        <w:tc>
          <w:tcPr>
            <w:tcW w:type="dxa" w:w="1694"/>
          </w:tcPr>
          <w:p>
            <w:pPr>
              <w:pStyle w:val="Compact"/>
              <w:jc w:val="left"/>
            </w:pPr>
            <w:r>
              <w:t xml:space="preserve">−2.4125</w:t>
            </w:r>
          </w:p>
        </w:tc>
      </w:tr>
      <w:tr>
        <w:tc>
          <w:tcPr>
            <w:tcW w:type="dxa" w:w="1096"/>
          </w:tcPr>
          <w:p>
            <w:pPr>
              <w:pStyle w:val="Compact"/>
              <w:jc w:val="left"/>
            </w:pPr>
            <w:r>
              <w:t xml:space="preserve">5000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−0.3325</w:t>
            </w:r>
          </w:p>
        </w:tc>
        <w:tc>
          <w:tcPr>
            <w:tcW w:type="dxa" w:w="1694"/>
          </w:tcPr>
          <w:p>
            <w:pPr>
              <w:pStyle w:val="Compact"/>
              <w:jc w:val="left"/>
            </w:pPr>
            <w:r>
              <w:t xml:space="preserve">−1.7088</w:t>
            </w:r>
          </w:p>
        </w:tc>
      </w:tr>
      <w:tr>
        <w:tc>
          <w:tcPr>
            <w:tcW w:type="dxa" w:w="1096"/>
          </w:tcPr>
          <w:p>
            <w:pPr>
              <w:pStyle w:val="Compact"/>
              <w:jc w:val="left"/>
            </w:pPr>
            <w:r>
              <w:t xml:space="preserve">5250</w:t>
            </w:r>
          </w:p>
        </w:tc>
        <w:tc>
          <w:tcPr>
            <w:tcW w:type="dxa" w:w="2491"/>
          </w:tcPr>
          <w:p>
            <w:pPr>
              <w:pStyle w:val="Compact"/>
            </w:pPr>
          </w:p>
        </w:tc>
        <w:tc>
          <w:tcPr>
            <w:tcW w:type="dxa" w:w="2093"/>
          </w:tcPr>
          <w:p>
            <w:pPr>
              <w:pStyle w:val="Compact"/>
            </w:pPr>
          </w:p>
        </w:tc>
        <w:tc>
          <w:tcPr>
            <w:tcW w:type="dxa" w:w="1694"/>
          </w:tcPr>
          <w:p>
            <w:pPr>
              <w:pStyle w:val="Compact"/>
              <w:jc w:val="left"/>
            </w:pPr>
            <w:r>
              <w:t xml:space="preserve">0</w:t>
            </w:r>
          </w:p>
        </w:tc>
        <w:tc>
          <w:tcPr>
            <w:tcW w:type="dxa" w:w="1694"/>
          </w:tcPr>
          <w:p>
            <w:pPr>
              <w:pStyle w:val="Compact"/>
              <w:jc w:val="left"/>
            </w:pPr>
            <w:r>
              <w:t xml:space="preserve">−1.0713</w:t>
            </w:r>
          </w:p>
        </w:tc>
      </w:tr>
      <w:tr>
        <w:tc>
          <w:tcPr>
            <w:tcW w:type="dxa" w:w="1096"/>
          </w:tcPr>
          <w:p>
            <w:pPr>
              <w:pStyle w:val="Compact"/>
              <w:jc w:val="left"/>
            </w:pPr>
            <w:r>
              <w:t xml:space="preserve">5500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−0.3650</w:t>
            </w:r>
          </w:p>
        </w:tc>
      </w:tr>
      <w:tr>
        <w:tc>
          <w:tcPr>
            <w:tcW w:type="dxa" w:w="1096"/>
          </w:tcPr>
          <w:p>
            <w:pPr>
              <w:pStyle w:val="Compact"/>
              <w:jc w:val="left"/>
            </w:pPr>
            <w:r>
              <w:t xml:space="preserve">5750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w:t>
            </w:r>
          </w:p>
        </w:tc>
      </w:tr>
    </w:tbl>
    <w:bookmarkEnd w:id="25"/>
    <w:bookmarkStart w:id="26"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 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BodyText"/>
      </w:pPr>
      <w:r>
        <w:t xml:space="preserve">Lanes, superposition and gauges. In lane B, the channels that fail the χ² test have CV 31–40 % (χ² p = 0.016–0.027). In lane B, the st36 ratio is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BodyText"/>
      </w:pPr>
      <w:r>
        <w:t xml:space="preserve">Beam model and limits. The beam model of the five-span girder (Euler–Bernoulli, parabolic haunch, second moment proportional to h²)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 R =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BodyT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left"/>
            </w:pPr>
            <w:r>
              <w:t xml:space="preserve">Runs</w:t>
            </w:r>
          </w:p>
        </w:tc>
        <w:tc>
          <w:tcPr>
            <w:tcW w:type="dxa" w:w="1755"/>
            <w:tcBorders>
              <w:top w:val="nil"/>
              <w:left w:val="nil"/>
              <w:bottom w:val="single" w:sz="6" w:space="0" w:color="000000"/>
              <w:right w:val="nil"/>
            </w:tcBorders>
          </w:tcPr>
          <w:p>
            <w:pPr>
              <w:pStyle w:val="Compact"/>
              <w:jc w:val="lef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left"/>
            </w:pPr>
            <w:r>
              <w:t xml:space="preserve">CV observed (%)</w:t>
            </w:r>
          </w:p>
        </w:tc>
        <w:tc>
          <w:tcPr>
            <w:tcW w:type="dxa" w:w="1389"/>
            <w:tcBorders>
              <w:top w:val="nil"/>
              <w:left w:val="nil"/>
              <w:bottom w:val="single" w:sz="6" w:space="0" w:color="000000"/>
              <w:right w:val="nil"/>
            </w:tcBorders>
          </w:tcPr>
          <w:p>
            <w:pPr>
              <w:pStyle w:val="Compact"/>
              <w:jc w:val="left"/>
            </w:pPr>
            <w:r>
              <w:t xml:space="preserve">CV expected (%)</w:t>
            </w:r>
          </w:p>
        </w:tc>
        <w:tc>
          <w:tcPr>
            <w:tcW w:type="dxa" w:w="950"/>
            <w:tcBorders>
              <w:top w:val="nil"/>
              <w:left w:val="nil"/>
              <w:bottom w:val="single" w:sz="6" w:space="0" w:color="000000"/>
              <w:right w:val="nil"/>
            </w:tcBorders>
          </w:tcPr>
          <w:p>
            <w:pPr>
              <w:pStyle w:val="Compact"/>
              <w:jc w:val="left"/>
            </w:pPr>
            <w:r>
              <w:t xml:space="preserve">χ² p</w:t>
            </w:r>
          </w:p>
        </w:tc>
      </w:tr>
      <w:tr>
        <w:tc>
          <w:tcPr>
            <w:tcW w:type="dxa" w:w="2633"/>
          </w:tcPr>
          <w:p>
            <w:pPr>
              <w:pStyle w:val="Compact"/>
              <w:jc w:val="left"/>
            </w:pPr>
            <w:r>
              <w:t xml:space="preserve">1, ch11 (best)</w:t>
            </w:r>
          </w:p>
        </w:tc>
        <w:tc>
          <w:tcPr>
            <w:tcW w:type="dxa" w:w="804"/>
          </w:tcPr>
          <w:p>
            <w:pPr>
              <w:pStyle w:val="Compact"/>
              <w:jc w:val="left"/>
            </w:pPr>
            <w:r>
              <w:t xml:space="preserve">7</w:t>
            </w:r>
          </w:p>
        </w:tc>
        <w:tc>
          <w:tcPr>
            <w:tcW w:type="dxa" w:w="1755"/>
          </w:tcPr>
          <w:p>
            <w:pPr>
              <w:pStyle w:val="Compact"/>
              <w:jc w:val="left"/>
            </w:pPr>
            <w:r>
              <w:t xml:space="preserve">−5.85 (−6.17, −5.53)</w:t>
            </w:r>
          </w:p>
        </w:tc>
        <w:tc>
          <w:tcPr>
            <w:tcW w:type="dxa" w:w="1536"/>
          </w:tcPr>
          <w:p>
            <w:pPr>
              <w:pStyle w:val="Compact"/>
              <w:jc w:val="left"/>
            </w:pPr>
            <w:r>
              <w:t xml:space="preserve">5.8</w:t>
            </w:r>
          </w:p>
        </w:tc>
        <w:tc>
          <w:tcPr>
            <w:tcW w:type="dxa" w:w="1389"/>
          </w:tcPr>
          <w:p>
            <w:pPr>
              <w:pStyle w:val="Compact"/>
              <w:jc w:val="left"/>
            </w:pPr>
            <w:r>
              <w:t xml:space="preserve">6.8</w:t>
            </w:r>
          </w:p>
        </w:tc>
        <w:tc>
          <w:tcPr>
            <w:tcW w:type="dxa" w:w="950"/>
          </w:tcPr>
          <w:p>
            <w:pPr>
              <w:pStyle w:val="Compact"/>
              <w:jc w:val="left"/>
            </w:pPr>
            <w:r>
              <w:t xml:space="preserve">0.60</w:t>
            </w:r>
          </w:p>
        </w:tc>
      </w:tr>
      <w:tr>
        <w:tc>
          <w:tcPr>
            <w:tcW w:type="dxa" w:w="2633"/>
          </w:tcPr>
          <w:p>
            <w:pPr>
              <w:pStyle w:val="Compact"/>
              <w:jc w:val="left"/>
            </w:pPr>
            <w:r>
              <w:t xml:space="preserve">1, gauge average (4 wheel-path gauges)</w:t>
            </w:r>
          </w:p>
        </w:tc>
        <w:tc>
          <w:tcPr>
            <w:tcW w:type="dxa" w:w="804"/>
          </w:tcPr>
          <w:p>
            <w:pPr>
              <w:pStyle w:val="Compact"/>
              <w:jc w:val="left"/>
            </w:pPr>
            <w:r>
              <w:t xml:space="preserve">7</w:t>
            </w:r>
          </w:p>
        </w:tc>
        <w:tc>
          <w:tcPr>
            <w:tcW w:type="dxa" w:w="1755"/>
          </w:tcPr>
          <w:p>
            <w:pPr>
              <w:pStyle w:val="Compact"/>
              <w:jc w:val="left"/>
            </w:pPr>
            <w:r>
              <w:t xml:space="preserve">−4.03 (−4.24, −3.82)</w:t>
            </w:r>
          </w:p>
        </w:tc>
        <w:tc>
          <w:tcPr>
            <w:tcW w:type="dxa" w:w="1536"/>
          </w:tcPr>
          <w:p>
            <w:pPr>
              <w:pStyle w:val="Compact"/>
              <w:jc w:val="left"/>
            </w:pPr>
            <w:r>
              <w:t xml:space="preserve">5.6</w:t>
            </w:r>
          </w:p>
        </w:tc>
        <w:tc>
          <w:tcPr>
            <w:tcW w:type="dxa" w:w="1389"/>
          </w:tcPr>
          <w:p>
            <w:pPr>
              <w:pStyle w:val="Compact"/>
              <w:jc w:val="left"/>
            </w:pPr>
            <w:r>
              <w:t xml:space="preserve">6.1</w:t>
            </w:r>
          </w:p>
        </w:tc>
        <w:tc>
          <w:tcPr>
            <w:tcW w:type="dxa" w:w="950"/>
          </w:tcPr>
          <w:p>
            <w:pPr>
              <w:pStyle w:val="Compact"/>
              <w:jc w:val="left"/>
            </w:pPr>
            <w:r>
              <w:t xml:space="preserve">0.53</w:t>
            </w:r>
          </w:p>
        </w:tc>
      </w:tr>
      <w:tr>
        <w:tc>
          <w:tcPr>
            <w:tcW w:type="dxa" w:w="2633"/>
          </w:tcPr>
          <w:p>
            <w:pPr>
              <w:pStyle w:val="Compact"/>
              <w:jc w:val="left"/>
            </w:pPr>
            <w:r>
              <w:t xml:space="preserve">1, ch1, ch2, ch8, ch9</w:t>
            </w:r>
          </w:p>
        </w:tc>
        <w:tc>
          <w:tcPr>
            <w:tcW w:type="dxa" w:w="804"/>
          </w:tcPr>
          <w:p>
            <w:pPr>
              <w:pStyle w:val="Compact"/>
              <w:jc w:val="left"/>
            </w:pPr>
            <w:r>
              <w:t xml:space="preserve">7</w:t>
            </w:r>
          </w:p>
        </w:tc>
        <w:tc>
          <w:tcPr>
            <w:tcW w:type="dxa" w:w="1755"/>
          </w:tcPr>
          <w:p>
            <w:pPr>
              <w:pStyle w:val="Compact"/>
              <w:jc w:val="left"/>
            </w:pPr>
            <w:r>
              <w:t xml:space="preserve">−1.49 to −2.38</w:t>
            </w:r>
          </w:p>
        </w:tc>
        <w:tc>
          <w:tcPr>
            <w:tcW w:type="dxa" w:w="1536"/>
          </w:tcPr>
          <w:p>
            <w:pPr>
              <w:pStyle w:val="Compact"/>
              <w:jc w:val="left"/>
            </w:pPr>
            <w:r>
              <w:t xml:space="preserve">17.2–19.1</w:t>
            </w:r>
          </w:p>
        </w:tc>
        <w:tc>
          <w:tcPr>
            <w:tcW w:type="dxa" w:w="1389"/>
          </w:tcPr>
          <w:p>
            <w:pPr>
              <w:pStyle w:val="Compact"/>
              <w:jc w:val="left"/>
            </w:pPr>
            <w:r>
              <w:t xml:space="preserve">7.8–11.0</w:t>
            </w:r>
          </w:p>
        </w:tc>
        <w:tc>
          <w:tcPr>
            <w:tcW w:type="dxa" w:w="950"/>
          </w:tcPr>
          <w:p>
            <w:pPr>
              <w:pStyle w:val="Compact"/>
              <w:jc w:val="left"/>
            </w:pPr>
            <w:r>
              <w:t xml:space="preserve">≤ 0.012</w:t>
            </w:r>
          </w:p>
        </w:tc>
      </w:tr>
      <w:tr>
        <w:tc>
          <w:tcPr>
            <w:tcW w:type="dxa" w:w="2633"/>
          </w:tcPr>
          <w:p>
            <w:pPr>
              <w:pStyle w:val="Compact"/>
              <w:jc w:val="left"/>
            </w:pPr>
            <w:r>
              <w:t xml:space="preserve">2, st36</w:t>
            </w:r>
          </w:p>
        </w:tc>
        <w:tc>
          <w:tcPr>
            <w:tcW w:type="dxa" w:w="804"/>
          </w:tcPr>
          <w:p>
            <w:pPr>
              <w:pStyle w:val="Compact"/>
              <w:jc w:val="left"/>
            </w:pPr>
            <w:r>
              <w:t xml:space="preserve">8</w:t>
            </w:r>
          </w:p>
        </w:tc>
        <w:tc>
          <w:tcPr>
            <w:tcW w:type="dxa" w:w="1755"/>
          </w:tcPr>
          <w:p>
            <w:pPr>
              <w:pStyle w:val="Compact"/>
              <w:jc w:val="left"/>
            </w:pPr>
            <w:r>
              <w:t xml:space="preserve">−5.97 (−6.57, −5.38)</w:t>
            </w:r>
          </w:p>
        </w:tc>
        <w:tc>
          <w:tcPr>
            <w:tcW w:type="dxa" w:w="1536"/>
          </w:tcPr>
          <w:p>
            <w:pPr>
              <w:pStyle w:val="Compact"/>
              <w:jc w:val="left"/>
            </w:pPr>
            <w:r>
              <w:t xml:space="preserve">12.0</w:t>
            </w:r>
          </w:p>
        </w:tc>
        <w:tc>
          <w:tcPr>
            <w:tcW w:type="dxa" w:w="1389"/>
          </w:tcPr>
          <w:p>
            <w:pPr>
              <w:pStyle w:val="Compact"/>
              <w:jc w:val="left"/>
            </w:pPr>
            <w:r>
              <w:t xml:space="preserve">16.5</w:t>
            </w:r>
          </w:p>
        </w:tc>
        <w:tc>
          <w:tcPr>
            <w:tcW w:type="dxa" w:w="950"/>
          </w:tcPr>
          <w:p>
            <w:pPr>
              <w:pStyle w:val="Compact"/>
              <w:jc w:val="left"/>
            </w:pPr>
            <w:r>
              <w:t xml:space="preserve">0.73</w:t>
            </w:r>
          </w:p>
        </w:tc>
      </w:tr>
      <w:tr>
        <w:tc>
          <w:tcPr>
            <w:tcW w:type="dxa" w:w="2633"/>
          </w:tcPr>
          <w:p>
            <w:pPr>
              <w:pStyle w:val="Compact"/>
              <w:jc w:val="left"/>
            </w:pPr>
            <w:r>
              <w:t xml:space="preserve">2, gauge average (4 gauges)</w:t>
            </w:r>
          </w:p>
        </w:tc>
        <w:tc>
          <w:tcPr>
            <w:tcW w:type="dxa" w:w="804"/>
          </w:tcPr>
          <w:p>
            <w:pPr>
              <w:pStyle w:val="Compact"/>
              <w:jc w:val="left"/>
            </w:pPr>
            <w:r>
              <w:t xml:space="preserve">8</w:t>
            </w:r>
          </w:p>
        </w:tc>
        <w:tc>
          <w:tcPr>
            <w:tcW w:type="dxa" w:w="1755"/>
          </w:tcPr>
          <w:p>
            <w:pPr>
              <w:pStyle w:val="Compact"/>
              <w:jc w:val="left"/>
            </w:pPr>
            <w:r>
              <w:t xml:space="preserve">−4.12 (−4.62, −3.63)</w:t>
            </w:r>
          </w:p>
        </w:tc>
        <w:tc>
          <w:tcPr>
            <w:tcW w:type="dxa" w:w="1536"/>
          </w:tcPr>
          <w:p>
            <w:pPr>
              <w:pStyle w:val="Compact"/>
              <w:jc w:val="left"/>
            </w:pPr>
            <w:r>
              <w:t xml:space="preserve">14.4</w:t>
            </w:r>
          </w:p>
        </w:tc>
        <w:tc>
          <w:tcPr>
            <w:tcW w:type="dxa" w:w="1389"/>
          </w:tcPr>
          <w:p>
            <w:pPr>
              <w:pStyle w:val="Compact"/>
              <w:jc w:val="left"/>
            </w:pPr>
            <w:r>
              <w:t xml:space="preserve">20.2</w:t>
            </w:r>
          </w:p>
        </w:tc>
        <w:tc>
          <w:tcPr>
            <w:tcW w:type="dxa" w:w="950"/>
          </w:tcPr>
          <w:p>
            <w:pPr>
              <w:pStyle w:val="Compact"/>
              <w:jc w:val="left"/>
            </w:pPr>
            <w:r>
              <w:t xml:space="preserve">0.79</w:t>
            </w:r>
          </w:p>
        </w:tc>
      </w:tr>
      <w:tr>
        <w:tc>
          <w:tcPr>
            <w:tcW w:type="dxa" w:w="2633"/>
          </w:tcPr>
          <w:p>
            <w:pPr>
              <w:pStyle w:val="Compact"/>
              <w:jc w:val="left"/>
            </w:pPr>
            <w:r>
              <w:t xml:space="preserve">2, lane B, average</w:t>
            </w:r>
          </w:p>
        </w:tc>
        <w:tc>
          <w:tcPr>
            <w:tcW w:type="dxa" w:w="804"/>
          </w:tcPr>
          <w:p>
            <w:pPr>
              <w:pStyle w:val="Compact"/>
              <w:jc w:val="left"/>
            </w:pPr>
            <w:r>
              <w:t xml:space="preserve">8</w:t>
            </w:r>
          </w:p>
        </w:tc>
        <w:tc>
          <w:tcPr>
            <w:tcW w:type="dxa" w:w="1755"/>
          </w:tcPr>
          <w:p>
            <w:pPr>
              <w:pStyle w:val="Compact"/>
              <w:jc w:val="left"/>
            </w:pPr>
            <w:r>
              <w:t xml:space="preserve">−3.27 (−4.19, −2.35)</w:t>
            </w:r>
          </w:p>
        </w:tc>
        <w:tc>
          <w:tcPr>
            <w:tcW w:type="dxa" w:w="1536"/>
          </w:tcPr>
          <w:p>
            <w:pPr>
              <w:pStyle w:val="Compact"/>
              <w:jc w:val="left"/>
            </w:pPr>
            <w:r>
              <w:t xml:space="preserve">33.7</w:t>
            </w:r>
          </w:p>
        </w:tc>
        <w:tc>
          <w:tcPr>
            <w:tcW w:type="dxa" w:w="1389"/>
          </w:tcPr>
          <w:p>
            <w:pPr>
              <w:pStyle w:val="Compact"/>
              <w:jc w:val="left"/>
            </w:pPr>
            <w:r>
              <w:t xml:space="preserve">23.2</w:t>
            </w:r>
          </w:p>
        </w:tc>
        <w:tc>
          <w:tcPr>
            <w:tcW w:type="dxa" w:w="950"/>
          </w:tcPr>
          <w:p>
            <w:pPr>
              <w:pStyle w:val="Compact"/>
              <w:jc w:val="left"/>
            </w:pPr>
            <w:r>
              <w:t xml:space="preserve">0.027</w:t>
            </w:r>
          </w:p>
        </w:tc>
      </w:tr>
    </w:tbl>
    <w:p>
      <w:pPr>
        <w:pStyle w:val="BodyT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lef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c>
          <w:tcPr>
            <w:tcW w:type="dxa" w:w="3232"/>
          </w:tcPr>
          <w:p>
            <w:pPr>
              <w:pStyle w:val="Compact"/>
              <w:jc w:val="left"/>
            </w:pPr>
            <w:r>
              <w:t xml:space="preserve">1, ch11 (best)</w:t>
            </w:r>
          </w:p>
        </w:tc>
        <w:tc>
          <w:tcPr>
            <w:tcW w:type="dxa" w:w="2604"/>
          </w:tcPr>
          <w:p>
            <w:pPr>
              <w:pStyle w:val="Compact"/>
              <w:jc w:val="left"/>
            </w:pPr>
            <w:r>
              <w:t xml:space="preserve">0.996 (0.874–1.136)</w:t>
            </w:r>
          </w:p>
        </w:tc>
        <w:tc>
          <w:tcPr>
            <w:tcW w:type="dxa" w:w="3232"/>
          </w:tcPr>
          <w:p>
            <w:pPr>
              <w:pStyle w:val="Compact"/>
              <w:jc w:val="left"/>
            </w:pPr>
            <w:r>
              <w:t xml:space="preserve">shown within ±10 %</w:t>
            </w:r>
          </w:p>
        </w:tc>
      </w:tr>
      <w:tr>
        <w:tc>
          <w:tcPr>
            <w:tcW w:type="dxa" w:w="3232"/>
          </w:tcPr>
          <w:p>
            <w:pPr>
              <w:pStyle w:val="Compact"/>
              <w:jc w:val="left"/>
            </w:pPr>
            <w:r>
              <w:t xml:space="preserve">1, gauge average (4 wheel-path gauges)</w:t>
            </w:r>
          </w:p>
        </w:tc>
        <w:tc>
          <w:tcPr>
            <w:tcW w:type="dxa" w:w="2604"/>
          </w:tcPr>
          <w:p>
            <w:pPr>
              <w:pStyle w:val="Compact"/>
              <w:jc w:val="left"/>
            </w:pPr>
            <w:r>
              <w:t xml:space="preserve">0.955 (0.863–1.057)</w:t>
            </w:r>
          </w:p>
        </w:tc>
        <w:tc>
          <w:tcPr>
            <w:tcW w:type="dxa" w:w="3232"/>
          </w:tcPr>
          <w:p>
            <w:pPr>
              <w:pStyle w:val="Compact"/>
              <w:jc w:val="left"/>
            </w:pPr>
            <w:r>
              <w:t xml:space="preserve">shown only within ±11.8 %</w:t>
            </w:r>
          </w:p>
        </w:tc>
      </w:tr>
      <w:tr>
        <w:tc>
          <w:tcPr>
            <w:tcW w:type="dxa" w:w="3232"/>
          </w:tcPr>
          <w:p>
            <w:pPr>
              <w:pStyle w:val="Compact"/>
              <w:jc w:val="left"/>
            </w:pPr>
            <w:r>
              <w:t xml:space="preserve">1, ch1, ch2, ch8, ch9</w:t>
            </w:r>
          </w:p>
        </w:tc>
        <w:tc>
          <w:tcPr>
            <w:tcW w:type="dxa" w:w="2604"/>
          </w:tcPr>
          <w:p>
            <w:pPr>
              <w:pStyle w:val="Compact"/>
              <w:jc w:val="left"/>
            </w:pPr>
            <w:r>
              <w:t xml:space="preserve">0.740–0.783</w:t>
            </w:r>
          </w:p>
        </w:tc>
        <w:tc>
          <w:tcPr>
            <w:tcW w:type="dxa" w:w="3232"/>
          </w:tcPr>
          <w:p>
            <w:pPr>
              <w:pStyle w:val="Compact"/>
              <w:jc w:val="left"/>
            </w:pPr>
            <w:r>
              <w:t xml:space="preserve">invariance rejected (CIs exclude 1)</w:t>
            </w:r>
          </w:p>
        </w:tc>
      </w:tr>
      <w:tr>
        <w:tc>
          <w:tcPr>
            <w:tcW w:type="dxa" w:w="3232"/>
          </w:tcPr>
          <w:p>
            <w:pPr>
              <w:pStyle w:val="Compact"/>
              <w:jc w:val="left"/>
            </w:pPr>
            <w:r>
              <w:t xml:space="preserve">2, st36</w:t>
            </w:r>
          </w:p>
        </w:tc>
        <w:tc>
          <w:tcPr>
            <w:tcW w:type="dxa" w:w="2604"/>
          </w:tcPr>
          <w:p>
            <w:pPr>
              <w:pStyle w:val="Compact"/>
              <w:jc w:val="left"/>
            </w:pPr>
            <w:r>
              <w:t xml:space="preserve">1.005 (0.735–1.375)</w:t>
            </w:r>
          </w:p>
        </w:tc>
        <w:tc>
          <w:tcPr>
            <w:tcW w:type="dxa" w:w="3232"/>
          </w:tcPr>
          <w:p>
            <w:pPr>
              <w:pStyle w:val="Compact"/>
              <w:jc w:val="left"/>
            </w:pPr>
            <w:r>
              <w:t xml:space="preserve">not shown</w:t>
            </w:r>
          </w:p>
        </w:tc>
      </w:tr>
      <w:tr>
        <w:tc>
          <w:tcPr>
            <w:tcW w:type="dxa" w:w="3232"/>
          </w:tcPr>
          <w:p>
            <w:pPr>
              <w:pStyle w:val="Compact"/>
              <w:jc w:val="left"/>
            </w:pPr>
            <w:r>
              <w:t xml:space="preserve">2, gauge average (4 gauges)</w:t>
            </w:r>
          </w:p>
        </w:tc>
        <w:tc>
          <w:tcPr>
            <w:tcW w:type="dxa" w:w="2604"/>
          </w:tcPr>
          <w:p>
            <w:pPr>
              <w:pStyle w:val="Compact"/>
              <w:jc w:val="left"/>
            </w:pPr>
            <w:r>
              <w:t xml:space="preserve">0.978 (0.697–1.374)</w:t>
            </w:r>
          </w:p>
        </w:tc>
        <w:tc>
          <w:tcPr>
            <w:tcW w:type="dxa" w:w="3232"/>
          </w:tcPr>
          <w:p>
            <w:pPr>
              <w:pStyle w:val="Compact"/>
              <w:jc w:val="left"/>
            </w:pPr>
            <w:r>
              <w:t xml:space="preserve">shown only within ±26.7 %</w:t>
            </w:r>
          </w:p>
        </w:tc>
      </w:tr>
      <w:tr>
        <w:tc>
          <w:tcPr>
            <w:tcW w:type="dxa" w:w="3232"/>
          </w:tcPr>
          <w:p>
            <w:pPr>
              <w:pStyle w:val="Compact"/>
              <w:jc w:val="left"/>
            </w:pPr>
            <w:r>
              <w:t xml:space="preserve">2, lane B, average</w:t>
            </w:r>
          </w:p>
        </w:tc>
        <w:tc>
          <w:tcPr>
            <w:tcW w:type="dxa" w:w="2604"/>
          </w:tcPr>
          <w:p>
            <w:pPr>
              <w:pStyle w:val="Compact"/>
              <w:jc w:val="left"/>
            </w:pPr>
            <w:r>
              <w:t xml:space="preserve">0.749 (0.440–1.276)</w:t>
            </w:r>
          </w:p>
        </w:tc>
        <w:tc>
          <w:tcPr>
            <w:tcW w:type="dxa" w:w="3232"/>
          </w:tcPr>
          <w:p>
            <w:pPr>
              <w:pStyle w:val="Compact"/>
              <w:jc w:val="left"/>
            </w:pPr>
            <w:r>
              <w:t xml:space="preserve">– (constants fail the χ² test, Table S5)</w:t>
            </w:r>
          </w:p>
        </w:tc>
      </w:tr>
    </w:tbl>
    <w:p>
      <w:pPr>
        <w:pStyle w:val="BodyT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vehicle-free noise, non-overlapping windows</w:t>
            </w:r>
          </w:p>
        </w:tc>
        <w:tc>
          <w:tcPr>
            <w:tcW w:type="dxa" w:w="2636"/>
          </w:tcPr>
          <w:p>
            <w:pPr>
              <w:pStyle w:val="Compact"/>
              <w:jc w:val="left"/>
            </w:pPr>
            <w:r>
              <w:t xml:space="preserve">0.92 (0.83–0.96)</w:t>
            </w:r>
          </w:p>
        </w:tc>
        <w:tc>
          <w:tcPr>
            <w:tcW w:type="dxa" w:w="2636"/>
          </w:tcPr>
          <w:p>
            <w:pPr>
              <w:pStyle w:val="Compact"/>
              <w:jc w:val="left"/>
            </w:pPr>
            <w:r>
              <w:t xml:space="preserve">0.42 (0.26–0.54)</w:t>
            </w:r>
          </w:p>
        </w:tc>
      </w:tr>
      <w:tr>
        <w:tc>
          <w:tcPr>
            <w:tcW w:type="dxa" w:w="3796"/>
          </w:tcPr>
          <w:p>
            <w:pPr>
              <w:pStyle w:val="Compact"/>
              <w:jc w:val="left"/>
            </w:pPr>
            <w:r>
              <w:t xml:space="preserve">vehicle-free noise, window length of each crossing</w:t>
            </w:r>
          </w:p>
        </w:tc>
        <w:tc>
          <w:tcPr>
            <w:tcW w:type="dxa" w:w="2636"/>
          </w:tcPr>
          <w:p>
            <w:pPr>
              <w:pStyle w:val="Compact"/>
              <w:jc w:val="left"/>
            </w:pPr>
            <w:r>
              <w:t xml:space="preserve">0.90</w:t>
            </w:r>
          </w:p>
        </w:tc>
        <w:tc>
          <w:tcPr>
            <w:tcW w:type="dxa" w:w="2636"/>
          </w:tcPr>
          <w:p>
            <w:pPr>
              <w:pStyle w:val="Compact"/>
              <w:jc w:val="left"/>
            </w:pPr>
            <w:r>
              <w:t xml:space="preserve">–</w:t>
            </w:r>
          </w:p>
        </w:tc>
      </w:tr>
      <w:tr>
        <w:tc>
          <w:tcPr>
            <w:tcW w:type="dxa" w:w="3796"/>
          </w:tcPr>
          <w:p>
            <w:pPr>
              <w:pStyle w:val="Compact"/>
              <w:jc w:val="left"/>
            </w:pPr>
            <w:r>
              <w:t xml:space="preserve">crossing residuals</w:t>
            </w:r>
          </w:p>
        </w:tc>
        <w:tc>
          <w:tcPr>
            <w:tcW w:type="dxa" w:w="2636"/>
          </w:tcPr>
          <w:p>
            <w:pPr>
              <w:pStyle w:val="Compact"/>
              <w:jc w:val="left"/>
            </w:pPr>
            <w:r>
              <w:t xml:space="preserve">0.63</w:t>
            </w:r>
          </w:p>
        </w:tc>
        <w:tc>
          <w:tcPr>
            <w:tcW w:type="dxa" w:w="2636"/>
          </w:tcPr>
          <w:p>
            <w:pPr>
              <w:pStyle w:val="Compact"/>
              <w:jc w:val="left"/>
            </w:pPr>
            <w:r>
              <w:t xml:space="preserve">–</w:t>
            </w:r>
          </w:p>
        </w:tc>
      </w:tr>
      <w:tr>
        <w:tc>
          <w:tcPr>
            <w:tcW w:type="dxa" w:w="3796"/>
          </w:tcPr>
          <w:p>
            <w:pPr>
              <w:pStyle w:val="Compact"/>
              <w:jc w:val="left"/>
            </w:pPr>
            <w:r>
              <w:t xml:space="preserve">crossing residuals, st40 with its neighbours</w:t>
            </w:r>
          </w:p>
        </w:tc>
        <w:tc>
          <w:tcPr>
            <w:tcW w:type="dxa" w:w="2636"/>
          </w:tcPr>
          <w:p>
            <w:pPr>
              <w:pStyle w:val="Compact"/>
              <w:jc w:val="left"/>
            </w:pPr>
            <w:r>
              <w:t xml:space="preserve">0.30–0.37</w:t>
            </w:r>
          </w:p>
        </w:tc>
        <w:tc>
          <w:tcPr>
            <w:tcW w:type="dxa" w:w="2636"/>
          </w:tcPr>
          <w:p>
            <w:pPr>
              <w:pStyle w:val="Compact"/>
              <w:jc w:val="left"/>
            </w:pPr>
            <w:r>
              <w:t xml:space="preserve">–</w:t>
            </w:r>
          </w:p>
        </w:tc>
      </w:tr>
    </w:tbl>
    <w:p>
      <w:pPr>
        <w:pStyle w:val="BodyT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left"/>
            </w:pPr>
            <w:r>
              <w:t xml:space="preserve">Day 2, leave-one-run-out</w:t>
            </w:r>
          </w:p>
        </w:tc>
        <w:tc>
          <w:tcPr>
            <w:tcW w:type="dxa" w:w="840"/>
            <w:tcBorders>
              <w:top w:val="nil"/>
              <w:left w:val="nil"/>
              <w:bottom w:val="single" w:sz="6" w:space="0" w:color="000000"/>
              <w:right w:val="nil"/>
            </w:tcBorders>
          </w:tcPr>
          <w:p>
            <w:pPr>
              <w:pStyle w:val="Compact"/>
              <w:jc w:val="left"/>
            </w:pPr>
            <w:r>
              <w:t xml:space="preserve">Day 2, LOTO</w:t>
            </w:r>
          </w:p>
        </w:tc>
        <w:tc>
          <w:tcPr>
            <w:tcW w:type="dxa" w:w="1592"/>
            <w:tcBorders>
              <w:top w:val="nil"/>
              <w:left w:val="nil"/>
              <w:bottom w:val="single" w:sz="6" w:space="0" w:color="000000"/>
              <w:right w:val="nil"/>
            </w:tcBorders>
          </w:tcPr>
          <w:p>
            <w:pPr>
              <w:pStyle w:val="Compact"/>
              <w:jc w:val="left"/>
            </w:pPr>
            <w:r>
              <w:t xml:space="preserve">Day 1, 12 gauges</w:t>
            </w:r>
          </w:p>
        </w:tc>
        <w:tc>
          <w:tcPr>
            <w:tcW w:type="dxa" w:w="1987"/>
            <w:tcBorders>
              <w:top w:val="nil"/>
              <w:left w:val="nil"/>
              <w:bottom w:val="single" w:sz="6" w:space="0" w:color="000000"/>
              <w:right w:val="nil"/>
            </w:tcBorders>
          </w:tcPr>
          <w:p>
            <w:pPr>
              <w:pStyle w:val="Compact"/>
              <w:jc w:val="left"/>
            </w:pPr>
            <w:r>
              <w:t xml:space="preserve">Day 1, 4 wheel-path gauges</w:t>
            </w:r>
          </w:p>
        </w:tc>
      </w:tr>
      <w:tr>
        <w:tc>
          <w:tcPr>
            <w:tcW w:type="dxa" w:w="2292"/>
          </w:tcPr>
          <w:p>
            <w:pPr>
              <w:pStyle w:val="Compact"/>
              <w:jc w:val="left"/>
            </w:pPr>
            <w:r>
              <w:t xml:space="preserve">Best single gauge (chosen after the fact)</w:t>
            </w:r>
          </w:p>
        </w:tc>
        <w:tc>
          <w:tcPr>
            <w:tcW w:type="dxa" w:w="2356"/>
          </w:tcPr>
          <w:p>
            <w:pPr>
              <w:pStyle w:val="Compact"/>
              <w:jc w:val="left"/>
            </w:pPr>
            <w:r>
              <w:t xml:space="preserve">8.4 (2.9–15.3)</w:t>
            </w:r>
          </w:p>
        </w:tc>
        <w:tc>
          <w:tcPr>
            <w:tcW w:type="dxa" w:w="840"/>
          </w:tcPr>
          <w:p>
            <w:pPr>
              <w:pStyle w:val="Compact"/>
              <w:jc w:val="left"/>
            </w:pPr>
            <w:r>
              <w:t xml:space="preserve">7.6</w:t>
            </w:r>
          </w:p>
        </w:tc>
        <w:tc>
          <w:tcPr>
            <w:tcW w:type="dxa" w:w="1592"/>
          </w:tcPr>
          <w:p>
            <w:pPr>
              <w:pStyle w:val="Compact"/>
              <w:jc w:val="left"/>
            </w:pPr>
            <w:r>
              <w:t xml:space="preserve">4.8 (1.8–7.9)</w:t>
            </w:r>
          </w:p>
        </w:tc>
        <w:tc>
          <w:tcPr>
            <w:tcW w:type="dxa" w:w="1987"/>
          </w:tcPr>
          <w:p>
            <w:pPr>
              <w:pStyle w:val="Compact"/>
              <w:jc w:val="left"/>
            </w:pPr>
            <w:r>
              <w:t xml:space="preserve">4.8 (1.8–7.9)</w:t>
            </w:r>
          </w:p>
        </w:tc>
      </w:tr>
      <w:tr>
        <w:tc>
          <w:tcPr>
            <w:tcW w:type="dxa" w:w="2292"/>
          </w:tcPr>
          <w:p>
            <w:pPr>
              <w:pStyle w:val="Compact"/>
              <w:jc w:val="left"/>
            </w:pPr>
            <w:r>
              <w:t xml:space="preserve">Worst single gauge</w:t>
            </w:r>
          </w:p>
        </w:tc>
        <w:tc>
          <w:tcPr>
            <w:tcW w:type="dxa" w:w="2356"/>
          </w:tcPr>
          <w:p>
            <w:pPr>
              <w:pStyle w:val="Compact"/>
              <w:jc w:val="left"/>
            </w:pPr>
            <w:r>
              <w:t xml:space="preserve">27.9 (12.9–44.5)</w:t>
            </w:r>
          </w:p>
        </w:tc>
        <w:tc>
          <w:tcPr>
            <w:tcW w:type="dxa" w:w="840"/>
          </w:tcPr>
          <w:p>
            <w:pPr>
              <w:pStyle w:val="Compact"/>
              <w:jc w:val="left"/>
            </w:pPr>
            <w:r>
              <w:t xml:space="preserve">24.3</w:t>
            </w:r>
          </w:p>
        </w:tc>
        <w:tc>
          <w:tcPr>
            <w:tcW w:type="dxa" w:w="1592"/>
          </w:tcPr>
          <w:p>
            <w:pPr>
              <w:pStyle w:val="Compact"/>
              <w:jc w:val="left"/>
            </w:pPr>
            <w:r>
              <w:t xml:space="preserve">17.6 (11.0–23.4)</w:t>
            </w:r>
          </w:p>
        </w:tc>
        <w:tc>
          <w:tcPr>
            <w:tcW w:type="dxa" w:w="1987"/>
          </w:tcPr>
          <w:p>
            <w:pPr>
              <w:pStyle w:val="Compact"/>
              <w:jc w:val="left"/>
            </w:pPr>
            <w:r>
              <w:t xml:space="preserve">12.1</w:t>
            </w:r>
          </w:p>
        </w:tc>
      </w:tr>
      <w:tr>
        <w:tc>
          <w:tcPr>
            <w:tcW w:type="dxa" w:w="2292"/>
          </w:tcPr>
          <w:p>
            <w:pPr>
              <w:pStyle w:val="Compact"/>
              <w:jc w:val="left"/>
            </w:pPr>
            <w:r>
              <w:t xml:space="preserve">Gauge average</w:t>
            </w:r>
          </w:p>
        </w:tc>
        <w:tc>
          <w:tcPr>
            <w:tcW w:type="dxa" w:w="2356"/>
          </w:tcPr>
          <w:p>
            <w:pPr>
              <w:pStyle w:val="Compact"/>
              <w:jc w:val="left"/>
            </w:pPr>
            <w:r>
              <w:t xml:space="preserve">11.9 (6.0–18.6)</w:t>
            </w:r>
          </w:p>
        </w:tc>
        <w:tc>
          <w:tcPr>
            <w:tcW w:type="dxa" w:w="840"/>
          </w:tcPr>
          <w:p>
            <w:pPr>
              <w:pStyle w:val="Compact"/>
              <w:jc w:val="left"/>
            </w:pPr>
            <w:r>
              <w:t xml:space="preserve">11.1</w:t>
            </w:r>
          </w:p>
        </w:tc>
        <w:tc>
          <w:tcPr>
            <w:tcW w:type="dxa" w:w="1592"/>
          </w:tcPr>
          <w:p>
            <w:pPr>
              <w:pStyle w:val="Compact"/>
              <w:jc w:val="left"/>
            </w:pPr>
            <w:r>
              <w:t xml:space="preserve">5.3 (2.5–7.8)</w:t>
            </w:r>
          </w:p>
        </w:tc>
        <w:tc>
          <w:tcPr>
            <w:tcW w:type="dxa" w:w="1987"/>
          </w:tcPr>
          <w:p>
            <w:pPr>
              <w:pStyle w:val="Compact"/>
              <w:jc w:val="left"/>
            </w:pPr>
            <w:r>
              <w:t xml:space="preserve">5.4 (3.3–7.4)</w:t>
            </w:r>
          </w:p>
        </w:tc>
      </w:tr>
      <w:tr>
        <w:tc>
          <w:tcPr>
            <w:tcW w:type="dxa" w:w="2292"/>
          </w:tcPr>
          <w:p>
            <w:pPr>
              <w:pStyle w:val="Compact"/>
              <w:jc w:val="left"/>
            </w:pPr>
            <w:r>
              <w:t xml:space="preserve">GLS, diagonal</w:t>
            </w:r>
            <w:r>
              <w:t xml:space="preserve"> </w:t>
            </w:r>
            <m:oMath>
              <m:r>
                <m:t>Σ</m:t>
              </m:r>
            </m:oMath>
          </w:p>
        </w:tc>
        <w:tc>
          <w:tcPr>
            <w:tcW w:type="dxa" w:w="2356"/>
          </w:tcPr>
          <w:p>
            <w:pPr>
              <w:pStyle w:val="Compact"/>
              <w:jc w:val="left"/>
            </w:pPr>
            <w:r>
              <w:t xml:space="preserve">11.4 (6.0–18.0)</w:t>
            </w:r>
          </w:p>
        </w:tc>
        <w:tc>
          <w:tcPr>
            <w:tcW w:type="dxa" w:w="840"/>
          </w:tcPr>
          <w:p>
            <w:pPr>
              <w:pStyle w:val="Compact"/>
              <w:jc w:val="left"/>
            </w:pPr>
            <w:r>
              <w:t xml:space="preserve">10.8</w:t>
            </w:r>
          </w:p>
        </w:tc>
        <w:tc>
          <w:tcPr>
            <w:tcW w:type="dxa" w:w="1592"/>
          </w:tcPr>
          <w:p>
            <w:pPr>
              <w:pStyle w:val="Compact"/>
              <w:jc w:val="left"/>
            </w:pPr>
            <w:r>
              <w:t xml:space="preserve">5.3 (2.5–8.0)</w:t>
            </w:r>
          </w:p>
        </w:tc>
        <w:tc>
          <w:tcPr>
            <w:tcW w:type="dxa" w:w="1987"/>
          </w:tcPr>
          <w:p>
            <w:pPr>
              <w:pStyle w:val="Compact"/>
              <w:jc w:val="left"/>
            </w:pPr>
            <w:r>
              <w:t xml:space="preserve">5.2 (3.3–7.1)</w:t>
            </w:r>
          </w:p>
        </w:tc>
      </w:tr>
      <w:tr>
        <w:tc>
          <w:tcPr>
            <w:tcW w:type="dxa" w:w="2292"/>
          </w:tcPr>
          <w:p>
            <w:pPr>
              <w:pStyle w:val="Compact"/>
              <w:jc w:val="left"/>
            </w:pPr>
            <w:r>
              <w:t xml:space="preserve">GLS, measured</w:t>
            </w:r>
            <w:r>
              <w:t xml:space="preserve"> </w:t>
            </w:r>
            <m:oMath>
              <m:r>
                <m:t>Σ</m:t>
              </m:r>
            </m:oMath>
          </w:p>
        </w:tc>
        <w:tc>
          <w:tcPr>
            <w:tcW w:type="dxa" w:w="2356"/>
          </w:tcPr>
          <w:p>
            <w:pPr>
              <w:pStyle w:val="Compact"/>
              <w:jc w:val="left"/>
            </w:pPr>
            <w:r>
              <w:t xml:space="preserve">20.4 (12.3–28.8)</w:t>
            </w:r>
          </w:p>
        </w:tc>
        <w:tc>
          <w:tcPr>
            <w:tcW w:type="dxa" w:w="840"/>
          </w:tcPr>
          <w:p>
            <w:pPr>
              <w:pStyle w:val="Compact"/>
              <w:jc w:val="left"/>
            </w:pPr>
            <w:r>
              <w:t xml:space="preserve">17.7</w:t>
            </w:r>
          </w:p>
        </w:tc>
        <w:tc>
          <w:tcPr>
            <w:tcW w:type="dxa" w:w="1592"/>
          </w:tcPr>
          <w:p>
            <w:pPr>
              <w:pStyle w:val="Compact"/>
              <w:jc w:val="left"/>
            </w:pPr>
            <w:r>
              <w:t xml:space="preserve">5.8 (3.5–8.1)</w:t>
            </w:r>
          </w:p>
        </w:tc>
        <w:tc>
          <w:tcPr>
            <w:tcW w:type="dxa" w:w="1987"/>
          </w:tcPr>
          <w:p>
            <w:pPr>
              <w:pStyle w:val="Compact"/>
              <w:jc w:val="left"/>
            </w:pPr>
            <w:r>
              <w:t xml:space="preserve">4.9 (3.0–6.9)</w:t>
            </w:r>
          </w:p>
        </w:tc>
      </w:tr>
      <w:tr>
        <w:tc>
          <w:tcPr>
            <w:tcW w:type="dxa" w:w="2292"/>
          </w:tcPr>
          <w:p>
            <w:pPr>
              <w:pStyle w:val="Compact"/>
              <w:jc w:val="left"/>
            </w:pPr>
            <w:r>
              <w:t xml:space="preserve">Zero-sum, measured</w:t>
            </w:r>
            <w:r>
              <w:t xml:space="preserve"> </w:t>
            </w:r>
            <m:oMath>
              <m:r>
                <m:t>Σ</m:t>
              </m:r>
            </m:oMath>
          </w:p>
        </w:tc>
        <w:tc>
          <w:tcPr>
            <w:tcW w:type="dxa" w:w="2356"/>
          </w:tcPr>
          <w:p>
            <w:pPr>
              <w:pStyle w:val="Compact"/>
              <w:jc w:val="left"/>
            </w:pPr>
            <w:r>
              <w:t xml:space="preserve">20.3 (12.4–28.6)</w:t>
            </w:r>
          </w:p>
        </w:tc>
        <w:tc>
          <w:tcPr>
            <w:tcW w:type="dxa" w:w="840"/>
          </w:tcPr>
          <w:p>
            <w:pPr>
              <w:pStyle w:val="Compact"/>
              <w:jc w:val="left"/>
            </w:pPr>
            <w:r>
              <w:t xml:space="preserve">18.0</w:t>
            </w:r>
          </w:p>
        </w:tc>
        <w:tc>
          <w:tcPr>
            <w:tcW w:type="dxa" w:w="1592"/>
          </w:tcPr>
          <w:p>
            <w:pPr>
              <w:pStyle w:val="Compact"/>
              <w:jc w:val="left"/>
            </w:pPr>
            <w:r>
              <w:t xml:space="preserve">6.0 (2.9–9.3)</w:t>
            </w:r>
          </w:p>
        </w:tc>
        <w:tc>
          <w:tcPr>
            <w:tcW w:type="dxa" w:w="1987"/>
          </w:tcPr>
          <w:p>
            <w:pPr>
              <w:pStyle w:val="Compact"/>
              <w:jc w:val="left"/>
            </w:pPr>
            <w:r>
              <w:t xml:space="preserve">8.3 (3.9–13.4)</w:t>
            </w:r>
          </w:p>
        </w:tc>
      </w:tr>
      <w:t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left"/>
            </w:pPr>
            <w:r>
              <w:t xml:space="preserve">12.3 (6.1–20.2)</w:t>
            </w:r>
          </w:p>
        </w:tc>
        <w:tc>
          <w:tcPr>
            <w:tcW w:type="dxa" w:w="840"/>
          </w:tcPr>
          <w:p>
            <w:pPr>
              <w:pStyle w:val="Compact"/>
              <w:jc w:val="left"/>
            </w:pPr>
            <w:r>
              <w:t xml:space="preserve">10.8</w:t>
            </w:r>
          </w:p>
        </w:tc>
        <w:tc>
          <w:tcPr>
            <w:tcW w:type="dxa" w:w="1592"/>
          </w:tcPr>
          <w:p>
            <w:pPr>
              <w:pStyle w:val="Compact"/>
              <w:jc w:val="left"/>
            </w:pPr>
            <w:r>
              <w:t xml:space="preserve">13.0 (7.1–19.0)</w:t>
            </w:r>
          </w:p>
        </w:tc>
        <w:tc>
          <w:tcPr>
            <w:tcW w:type="dxa" w:w="1987"/>
          </w:tcPr>
          <w:p>
            <w:pPr>
              <w:pStyle w:val="Compact"/>
              <w:jc w:val="left"/>
            </w:pPr>
            <w:r>
              <w:t xml:space="preserve">8.4 (4.6–12.9)</w:t>
            </w:r>
          </w:p>
        </w:tc>
      </w:tr>
      <w:tr>
        <w:tc>
          <w:tcPr>
            <w:tcW w:type="dxa" w:w="2292"/>
          </w:tcPr>
          <w:p>
            <w:pPr>
              <w:pStyle w:val="Compact"/>
              <w:jc w:val="left"/>
            </w:pPr>
            <w:r>
              <w:t xml:space="preserve">Mean weight of the calibration runs</w:t>
            </w:r>
          </w:p>
        </w:tc>
        <w:tc>
          <w:tcPr>
            <w:tcW w:type="dxa" w:w="2356"/>
          </w:tcPr>
          <w:p>
            <w:pPr>
              <w:pStyle w:val="Compact"/>
              <w:jc w:val="left"/>
            </w:pPr>
            <w:r>
              <w:t xml:space="preserve">2.0 (1.9–2.0)</w:t>
            </w:r>
          </w:p>
        </w:tc>
        <w:tc>
          <w:tcPr>
            <w:tcW w:type="dxa" w:w="840"/>
          </w:tcPr>
          <w:p>
            <w:pPr>
              <w:pStyle w:val="Compact"/>
              <w:jc w:val="left"/>
            </w:pPr>
            <w:r>
              <w:t xml:space="preserve">3.4</w:t>
            </w:r>
          </w:p>
        </w:tc>
        <w:tc>
          <w:tcPr>
            <w:tcW w:type="dxa" w:w="1592"/>
          </w:tcPr>
          <w:p>
            <w:pPr>
              <w:pStyle w:val="Compact"/>
              <w:jc w:val="left"/>
            </w:pPr>
            <w:r>
              <w:t xml:space="preserve">2.2 (1.1–3.5)</w:t>
            </w:r>
          </w:p>
        </w:tc>
        <w:tc>
          <w:tcPr>
            <w:tcW w:type="dxa" w:w="1987"/>
          </w:tcPr>
          <w:p>
            <w:pPr>
              <w:pStyle w:val="Compact"/>
              <w:jc w:val="left"/>
            </w:pPr>
            <w:r>
              <w:t xml:space="preserve">2.2 (1.1–3.5)</w:t>
            </w:r>
          </w:p>
        </w:tc>
      </w:tr>
    </w:tbl>
    <w:p>
      <w:pPr>
        <w:pStyle w:val="BodyT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lef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left"/>
            </w:pPr>
            <w:r>
              <w:t xml:space="preserve">Gauge average</w:t>
            </w:r>
          </w:p>
        </w:tc>
      </w:tr>
      <w:tr>
        <w:tc>
          <w:tcPr>
            <w:tcW w:type="dxa" w:w="4597"/>
          </w:tcPr>
          <w:p>
            <w:pPr>
              <w:pStyle w:val="Compact"/>
              <w:jc w:val="left"/>
            </w:pPr>
            <w:r>
              <w:t xml:space="preserve">SD predicted from the vehicle-free covariance</w:t>
            </w:r>
          </w:p>
        </w:tc>
        <w:tc>
          <w:tcPr>
            <w:tcW w:type="dxa" w:w="2360"/>
          </w:tcPr>
          <w:p>
            <w:pPr>
              <w:pStyle w:val="Compact"/>
              <w:jc w:val="left"/>
            </w:pPr>
            <w:r>
              <w:t xml:space="preserve">12.7</w:t>
            </w:r>
          </w:p>
        </w:tc>
        <w:tc>
          <w:tcPr>
            <w:tcW w:type="dxa" w:w="2112"/>
          </w:tcPr>
          <w:p>
            <w:pPr>
              <w:pStyle w:val="Compact"/>
              <w:jc w:val="left"/>
            </w:pPr>
            <w:r>
              <w:t xml:space="preserve">19.8</w:t>
            </w:r>
          </w:p>
        </w:tc>
      </w:tr>
      <w:tr>
        <w:tc>
          <w:tcPr>
            <w:tcW w:type="dxa" w:w="4597"/>
          </w:tcPr>
          <w:p>
            <w:pPr>
              <w:pStyle w:val="Compact"/>
              <w:jc w:val="left"/>
            </w:pPr>
            <w:r>
              <w:t xml:space="preserve">SD predicted from the covariance of the crossing residuals</w:t>
            </w:r>
          </w:p>
        </w:tc>
        <w:tc>
          <w:tcPr>
            <w:tcW w:type="dxa" w:w="2360"/>
          </w:tcPr>
          <w:p>
            <w:pPr>
              <w:pStyle w:val="Compact"/>
              <w:jc w:val="left"/>
            </w:pPr>
            <w:r>
              <w:t xml:space="preserve">21.0</w:t>
            </w:r>
          </w:p>
        </w:tc>
        <w:tc>
          <w:tcPr>
            <w:tcW w:type="dxa" w:w="2112"/>
          </w:tcPr>
          <w:p>
            <w:pPr>
              <w:pStyle w:val="Compact"/>
              <w:jc w:val="left"/>
            </w:pPr>
            <w:r>
              <w:t xml:space="preserve">14.6</w:t>
            </w:r>
          </w:p>
        </w:tc>
      </w:tr>
      <w:tr>
        <w:tc>
          <w:tcPr>
            <w:tcW w:type="dxa" w:w="4597"/>
          </w:tcPr>
          <w:p>
            <w:pPr>
              <w:pStyle w:val="Compact"/>
              <w:jc w:val="left"/>
            </w:pPr>
            <w:r>
              <w:t xml:space="preserve">Observed MAE, leave-one-run-out (main text Table 2)</w:t>
            </w:r>
          </w:p>
        </w:tc>
        <w:tc>
          <w:tcPr>
            <w:tcW w:type="dxa" w:w="2360"/>
          </w:tcPr>
          <w:p>
            <w:pPr>
              <w:pStyle w:val="Compact"/>
              <w:jc w:val="left"/>
            </w:pPr>
            <w:r>
              <w:t xml:space="preserve">20.4</w:t>
            </w:r>
          </w:p>
        </w:tc>
        <w:tc>
          <w:tcPr>
            <w:tcW w:type="dxa" w:w="2112"/>
          </w:tcPr>
          <w:p>
            <w:pPr>
              <w:pStyle w:val="Compact"/>
              <w:jc w:val="left"/>
            </w:pPr>
            <w:r>
              <w:t xml:space="preserve">11.9</w:t>
            </w:r>
          </w:p>
        </w:tc>
      </w:tr>
    </w:tbl>
    <w:bookmarkEnd w:id="26"/>
    <w:bookmarkStart w:id="27"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weighed mean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S10). The conclusions depend on the tolerance. At</w:t>
      </w:r>
      <w:r>
        <w:t xml:space="preserve"> </w:t>
      </w:r>
      <m:oMath>
        <m:r>
          <m:t>τ</m:t>
        </m:r>
      </m:oMath>
      <w:r>
        <w:t xml:space="preserve"> </w:t>
      </w:r>
      <w:r>
        <w:t xml:space="preserve">= 3 % the admissible set shrinks and excludes the design rigidity, α =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 α and k 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pPr>
      <w:r>
        <w:rPr>
          <w:bCs/>
          <w:b/>
        </w:rPr>
        <w:t xml:space="preserve">Table S10.</w:t>
      </w:r>
      <w:r>
        <w:t xml:space="preserve"> </w:t>
      </w:r>
      <w:r>
        <w:t xml:space="preserve">Admissible set of the Cầu Mây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left"/>
            </w:pPr>
            <w:r>
              <w:t xml:space="preserve">α</w:t>
            </w:r>
          </w:p>
        </w:tc>
        <w:tc>
          <w:tcPr>
            <w:tcW w:type="dxa" w:w="1358"/>
            <w:tcBorders>
              <w:top w:val="nil"/>
              <w:left w:val="nil"/>
              <w:bottom w:val="single" w:sz="6" w:space="0" w:color="000000"/>
              <w:right w:val="nil"/>
            </w:tcBorders>
          </w:tcPr>
          <w:p>
            <w:pPr>
              <w:pStyle w:val="Compact"/>
              <w:jc w:val="left"/>
            </w:pPr>
            <w:r>
              <w:t xml:space="preserve">N8 indicator,</w:t>
            </w:r>
            <w:r>
              <w:t xml:space="preserve"> </w:t>
            </w:r>
            <m:oMath>
              <m:r>
                <m:t>α</m:t>
              </m:r>
              <m:r>
                <m:t>E</m:t>
              </m:r>
              <m:sSub>
                <m:e>
                  <m:r>
                    <m:t>I</m:t>
                  </m:r>
                </m:e>
                <m:sub>
                  <m:r>
                    <m:rPr>
                      <m:sty m:val="p"/>
                    </m:rPr>
                    <m:t>m</m:t>
                  </m:r>
                  <m:r>
                    <m:rPr>
                      <m:sty m:val="p"/>
                    </m:rPr>
                    <m:t>i</m:t>
                  </m:r>
                  <m:r>
                    <m:rPr>
                      <m:sty m:val="p"/>
                    </m:rPr>
                    <m:t>d</m:t>
                  </m:r>
                </m:sub>
              </m:sSub>
            </m:oMath>
          </w:p>
        </w:tc>
        <w:tc>
          <w:tcPr>
            <w:tcW w:type="dxa" w:w="1766"/>
            <w:tcBorders>
              <w:top w:val="nil"/>
              <w:left w:val="nil"/>
              <w:bottom w:val="single" w:sz="6" w:space="0" w:color="000000"/>
              <w:right w:val="nil"/>
            </w:tcBorders>
          </w:tcPr>
          <w:p>
            <w:pPr>
              <w:pStyle w:val="Compact"/>
              <w:jc w:val="left"/>
            </w:pPr>
            <w:r>
              <w:t xml:space="preserve">N8 indicator, design</w:t>
            </w:r>
            <w:r>
              <w:t xml:space="preserve"> </w:t>
            </w:r>
            <m:oMath>
              <m:r>
                <m:t>E</m:t>
              </m:r>
              <m:sSub>
                <m:e>
                  <m:r>
                    <m:t>I</m:t>
                  </m:r>
                </m:e>
                <m:sub>
                  <m:r>
                    <m:rPr>
                      <m:sty m:val="p"/>
                    </m:rPr>
                    <m:t>m</m:t>
                  </m:r>
                  <m:r>
                    <m:rPr>
                      <m:sty m:val="p"/>
                    </m:rPr>
                    <m:t>i</m:t>
                  </m:r>
                  <m:r>
                    <m:rPr>
                      <m:sty m:val="p"/>
                    </m:rPr>
                    <m:t>d</m:t>
                  </m:r>
                </m:sub>
              </m:sSub>
            </m:oMath>
          </w:p>
        </w:tc>
        <w:tc>
          <w:tcPr>
            <w:tcW w:type="dxa" w:w="1426"/>
            <w:tcBorders>
              <w:top w:val="nil"/>
              <w:left w:val="nil"/>
              <w:bottom w:val="single" w:sz="6" w:space="0" w:color="000000"/>
              <w:right w:val="nil"/>
            </w:tcBorders>
          </w:tcPr>
          <w:p>
            <w:pPr>
              <w:pStyle w:val="Compact"/>
              <w:jc w:val="left"/>
            </w:pPr>
            <m:oMath>
              <m:sSub>
                <m:e>
                  <m:r>
                    <m:t>C</m:t>
                  </m:r>
                </m:e>
                <m:sub>
                  <m:r>
                    <m:t>8</m:t>
                  </m:r>
                </m:sub>
              </m:sSub>
            </m:oMath>
            <w:r>
              <w:t xml:space="preserve"> </w:t>
            </w:r>
            <w:r>
              <w:t xml:space="preserve">(m²/kN)</w:t>
            </w:r>
          </w:p>
        </w:tc>
      </w:tr>
      <w:t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left"/>
            </w:pPr>
            <w:r>
              <w:t xml:space="preserve">0.64–0.80</w:t>
            </w:r>
          </w:p>
        </w:tc>
        <w:tc>
          <w:tcPr>
            <w:tcW w:type="dxa" w:w="1358"/>
          </w:tcPr>
          <w:p>
            <w:pPr>
              <w:pStyle w:val="Compact"/>
              <w:jc w:val="left"/>
            </w:pPr>
            <w:r>
              <w:t xml:space="preserve">–</w:t>
            </w:r>
          </w:p>
        </w:tc>
        <w:tc>
          <w:tcPr>
            <w:tcW w:type="dxa" w:w="1766"/>
          </w:tcPr>
          <w:p>
            <w:pPr>
              <w:pStyle w:val="Compact"/>
              <w:jc w:val="left"/>
            </w:pPr>
            <w:r>
              <w:t xml:space="preserve">–</w:t>
            </w:r>
          </w:p>
        </w:tc>
        <w:tc>
          <w:tcPr>
            <w:tcW w:type="dxa" w:w="1426"/>
          </w:tcPr>
          <w:p>
            <w:pPr>
              <w:pStyle w:val="Compact"/>
              <w:jc w:val="left"/>
            </w:pPr>
            <w:r>
              <w:t xml:space="preserve">–</w:t>
            </w:r>
          </w:p>
        </w:tc>
      </w:tr>
      <w:t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left"/>
            </w:pPr>
            <w:r>
              <w:t xml:space="preserve">0.54–0.98</w:t>
            </w:r>
          </w:p>
        </w:tc>
        <w:tc>
          <w:tcPr>
            <w:tcW w:type="dxa" w:w="1358"/>
          </w:tcPr>
          <w:p>
            <w:pPr>
              <w:pStyle w:val="Compact"/>
              <w:jc w:val="left"/>
            </w:pPr>
            <w:r>
              <w:t xml:space="preserve">–</w:t>
            </w:r>
          </w:p>
        </w:tc>
        <w:tc>
          <w:tcPr>
            <w:tcW w:type="dxa" w:w="1766"/>
          </w:tcPr>
          <w:p>
            <w:pPr>
              <w:pStyle w:val="Compact"/>
              <w:jc w:val="left"/>
            </w:pPr>
            <w:r>
              <w:t xml:space="preserve">–</w:t>
            </w:r>
          </w:p>
        </w:tc>
        <w:tc>
          <w:tcPr>
            <w:tcW w:type="dxa" w:w="1426"/>
          </w:tcPr>
          <w:p>
            <w:pPr>
              <w:pStyle w:val="Compact"/>
              <w:jc w:val="left"/>
            </w:pPr>
            <w:r>
              <w:t xml:space="preserve">–</w:t>
            </w:r>
          </w:p>
        </w:tc>
      </w:tr>
      <w:t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left"/>
            </w:pPr>
            <w:r>
              <w:t xml:space="preserve">0.51–1.15</w:t>
            </w:r>
          </w:p>
        </w:tc>
        <w:tc>
          <w:tcPr>
            <w:tcW w:type="dxa" w:w="1358"/>
          </w:tcPr>
          <w:p>
            <w:pPr>
              <w:pStyle w:val="Compact"/>
              <w:jc w:val="left"/>
            </w:pPr>
            <w:r>
              <w:t xml:space="preserve">0.14–0.42</w:t>
            </w:r>
          </w:p>
        </w:tc>
        <w:tc>
          <w:tcPr>
            <w:tcW w:type="dxa" w:w="1766"/>
          </w:tcPr>
          <w:p>
            <w:pPr>
              <w:pStyle w:val="Compact"/>
              <w:jc w:val="left"/>
            </w:pPr>
            <w:r>
              <w:t xml:space="preserve">0.12–0.82</w:t>
            </w:r>
          </w:p>
        </w:tc>
        <w:tc>
          <w:tcPr>
            <w:tcW w:type="dxa" w:w="1426"/>
          </w:tcPr>
          <w:p>
            <w:pPr>
              <w:pStyle w:val="Compact"/>
              <w:jc w:val="left"/>
            </w:pPr>
            <w:r>
              <w:t xml:space="preserve">3.0 × 10⁻⁵–2.0 × 10⁻⁴</w:t>
            </w:r>
          </w:p>
        </w:tc>
      </w:tr>
      <w:tr>
        <w:tc>
          <w:tcPr>
            <w:tcW w:type="dxa" w:w="2038"/>
          </w:tcPr>
          <w:p>
            <w:pPr>
              <w:pStyle w:val="Compact"/>
              <w:jc w:val="left"/>
            </w:pPr>
            <m:oMath>
              <m:r>
                <m:t>τ</m:t>
              </m:r>
            </m:oMath>
            <w:r>
              <w:t xml:space="preserve"> </w:t>
            </w:r>
            <w:r>
              <w:t xml:space="preserve">= 5.3 %, prior α ∈ [0.9, 1.3]</w:t>
            </w:r>
          </w:p>
        </w:tc>
        <w:tc>
          <w:tcPr>
            <w:tcW w:type="dxa" w:w="1290"/>
          </w:tcPr>
          <w:p>
            <w:pPr>
              <w:pStyle w:val="Compact"/>
              <w:jc w:val="left"/>
            </w:pPr>
            <w:r>
              <w:t xml:space="preserve">–</w:t>
            </w:r>
          </w:p>
        </w:tc>
        <w:tc>
          <w:tcPr>
            <w:tcW w:type="dxa" w:w="1188"/>
          </w:tcPr>
          <w:p>
            <w:pPr>
              <w:pStyle w:val="Compact"/>
              <w:jc w:val="left"/>
            </w:pPr>
            <w:r>
              <w:t xml:space="preserve">–</w:t>
            </w:r>
          </w:p>
        </w:tc>
        <w:tc>
          <w:tcPr>
            <w:tcW w:type="dxa" w:w="1358"/>
          </w:tcPr>
          <w:p>
            <w:pPr>
              <w:pStyle w:val="Compact"/>
              <w:jc w:val="left"/>
            </w:pPr>
            <w:r>
              <w:t xml:space="preserve">0.14–0.27</w:t>
            </w:r>
          </w:p>
        </w:tc>
        <w:tc>
          <w:tcPr>
            <w:tcW w:type="dxa" w:w="1766"/>
          </w:tcPr>
          <w:p>
            <w:pPr>
              <w:pStyle w:val="Compact"/>
              <w:jc w:val="left"/>
            </w:pPr>
            <w:r>
              <w:t xml:space="preserve">0.12–0.30</w:t>
            </w:r>
          </w:p>
        </w:tc>
        <w:tc>
          <w:tcPr>
            <w:tcW w:type="dxa" w:w="1426"/>
          </w:tcPr>
          <w:p>
            <w:pPr>
              <w:pStyle w:val="Compact"/>
              <w:jc w:val="left"/>
            </w:pPr>
            <w:r>
              <w:t xml:space="preserve">–</w:t>
            </w:r>
          </w:p>
        </w:tc>
      </w:tr>
    </w:tbl>
    <w:p>
      <w:pPr>
        <w:pStyle w:val="BodyT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15"/>
        <w:gridCol w:w="2083"/>
        <w:gridCol w:w="1686"/>
        <w:gridCol w:w="2083"/>
      </w:tblGrid>
      <w:tr>
        <w:trPr>
          <w:tblHeader w:val="true"/>
        </w:trPr>
        <w:tc>
          <w:tcPr>
            <w:tcW w:type="dxa" w:w="3215"/>
            <w:tcBorders>
              <w:top w:val="nil"/>
              <w:left w:val="nil"/>
              <w:bottom w:val="single" w:sz="6" w:space="0" w:color="000000"/>
              <w:right w:val="nil"/>
            </w:tcBorders>
          </w:tcPr>
          <w:p>
            <w:pPr>
              <w:pStyle w:val="Compact"/>
              <w:jc w:val="left"/>
            </w:pPr>
            <w:r>
              <w:t xml:space="preserve">Section</w:t>
            </w:r>
          </w:p>
        </w:tc>
        <w:tc>
          <w:tcPr>
            <w:tcW w:type="dxa" w:w="2083"/>
            <w:tcBorders>
              <w:top w:val="nil"/>
              <w:left w:val="nil"/>
              <w:bottom w:val="single" w:sz="6" w:space="0" w:color="000000"/>
              <w:right w:val="nil"/>
            </w:tcBorders>
          </w:tcPr>
          <w:p>
            <w:pPr>
              <w:pStyle w:val="Compact"/>
              <w:jc w:val="left"/>
            </w:pPr>
            <w:r>
              <w:t xml:space="preserve">Measuring point</w:t>
            </w:r>
          </w:p>
        </w:tc>
        <w:tc>
          <w:tcPr>
            <w:tcW w:type="dxa" w:w="1686"/>
            <w:tcBorders>
              <w:top w:val="nil"/>
              <w:left w:val="nil"/>
              <w:bottom w:val="single" w:sz="6" w:space="0" w:color="000000"/>
              <w:right w:val="nil"/>
            </w:tcBorders>
          </w:tcPr>
          <w:p>
            <w:pPr>
              <w:pStyle w:val="Compact"/>
              <w:jc w:val="left"/>
            </w:pPr>
            <w:r>
              <w:t xml:space="preserve">Central</w:t>
            </w:r>
          </w:p>
        </w:tc>
        <w:tc>
          <w:tcPr>
            <w:tcW w:type="dxa" w:w="2083"/>
            <w:tcBorders>
              <w:top w:val="nil"/>
              <w:left w:val="nil"/>
              <w:bottom w:val="single" w:sz="6" w:space="0" w:color="000000"/>
              <w:right w:val="nil"/>
            </w:tcBorders>
          </w:tcPr>
          <w:p>
            <w:pPr>
              <w:pStyle w:val="Compact"/>
              <w:jc w:val="left"/>
            </w:pPr>
            <w:r>
              <w:t xml:space="preserve">Eccentric</w:t>
            </w:r>
          </w:p>
        </w:tc>
      </w:tr>
      <w:tr>
        <w:tc>
          <w:tcPr>
            <w:tcW w:type="dxa" w:w="3215"/>
          </w:tcPr>
          <w:p>
            <w:pPr>
              <w:pStyle w:val="Compact"/>
              <w:jc w:val="left"/>
            </w:pPr>
            <w:r>
              <w:t xml:space="preserve">N8, side span, 0.4L from T8</w:t>
            </w:r>
          </w:p>
        </w:tc>
        <w:tc>
          <w:tcPr>
            <w:tcW w:type="dxa" w:w="2083"/>
          </w:tcPr>
          <w:p>
            <w:pPr>
              <w:pStyle w:val="Compact"/>
              <w:jc w:val="left"/>
            </w:pPr>
            <w:r>
              <w:t xml:space="preserve">right edge</w:t>
            </w:r>
          </w:p>
        </w:tc>
        <w:tc>
          <w:tcPr>
            <w:tcW w:type="dxa" w:w="1686"/>
          </w:tcPr>
          <w:p>
            <w:pPr>
              <w:pStyle w:val="Compact"/>
              <w:jc w:val="left"/>
            </w:pPr>
            <w:r>
              <w:t xml:space="preserve">5.32</w:t>
            </w:r>
          </w:p>
        </w:tc>
        <w:tc>
          <w:tcPr>
            <w:tcW w:type="dxa" w:w="2083"/>
          </w:tcPr>
          <w:p>
            <w:pPr>
              <w:pStyle w:val="Compact"/>
              <w:jc w:val="left"/>
            </w:pPr>
            <w:r>
              <w:t xml:space="preserve">5.91</w:t>
            </w:r>
          </w:p>
        </w:tc>
      </w:tr>
      <w:tr>
        <w:tc>
          <w:tcPr>
            <w:tcW w:type="dxa" w:w="3215"/>
          </w:tcPr>
          <w:p>
            <w:pPr>
              <w:pStyle w:val="Compact"/>
              <w:jc w:val="left"/>
            </w:pPr>
            <w:r>
              <w:t xml:space="preserve">N8, side span, 0.4L from T8</w:t>
            </w:r>
          </w:p>
        </w:tc>
        <w:tc>
          <w:tcPr>
            <w:tcW w:type="dxa" w:w="2083"/>
          </w:tcPr>
          <w:p>
            <w:pPr>
              <w:pStyle w:val="Compact"/>
              <w:jc w:val="left"/>
            </w:pPr>
            <w:r>
              <w:t xml:space="preserve">axis</w:t>
            </w:r>
          </w:p>
        </w:tc>
        <w:tc>
          <w:tcPr>
            <w:tcW w:type="dxa" w:w="1686"/>
          </w:tcPr>
          <w:p>
            <w:pPr>
              <w:pStyle w:val="Compact"/>
              <w:jc w:val="left"/>
            </w:pPr>
            <w:r>
              <w:t xml:space="preserve">5.56</w:t>
            </w:r>
          </w:p>
        </w:tc>
        <w:tc>
          <w:tcPr>
            <w:tcW w:type="dxa" w:w="2083"/>
          </w:tcPr>
          <w:p>
            <w:pPr>
              <w:pStyle w:val="Compact"/>
              <w:jc w:val="left"/>
            </w:pPr>
            <w:r>
              <w:t xml:space="preserve">5.55</w:t>
            </w:r>
          </w:p>
        </w:tc>
      </w:tr>
      <w:tr>
        <w:tc>
          <w:tcPr>
            <w:tcW w:type="dxa" w:w="3215"/>
          </w:tcPr>
          <w:p>
            <w:pPr>
              <w:pStyle w:val="Compact"/>
              <w:jc w:val="left"/>
            </w:pPr>
            <w:r>
              <w:t xml:space="preserve">N8, side span, 0.4L from T8</w:t>
            </w:r>
          </w:p>
        </w:tc>
        <w:tc>
          <w:tcPr>
            <w:tcW w:type="dxa" w:w="2083"/>
          </w:tcPr>
          <w:p>
            <w:pPr>
              <w:pStyle w:val="Compact"/>
              <w:jc w:val="left"/>
            </w:pPr>
            <w:r>
              <w:t xml:space="preserve">left edge</w:t>
            </w:r>
          </w:p>
        </w:tc>
        <w:tc>
          <w:tcPr>
            <w:tcW w:type="dxa" w:w="1686"/>
          </w:tcPr>
          <w:p>
            <w:pPr>
              <w:pStyle w:val="Compact"/>
              <w:jc w:val="left"/>
            </w:pPr>
            <w:r>
              <w:t xml:space="preserve">5.76</w:t>
            </w:r>
          </w:p>
        </w:tc>
        <w:tc>
          <w:tcPr>
            <w:tcW w:type="dxa" w:w="2083"/>
          </w:tcPr>
          <w:p>
            <w:pPr>
              <w:pStyle w:val="Compact"/>
              <w:jc w:val="left"/>
            </w:pPr>
            <w:r>
              <w:t xml:space="preserve">5.22</w:t>
            </w:r>
          </w:p>
        </w:tc>
      </w:tr>
      <w:tr>
        <w:tc>
          <w:tcPr>
            <w:tcW w:type="dxa" w:w="3215"/>
          </w:tcPr>
          <w:p>
            <w:pPr>
              <w:pStyle w:val="Compact"/>
              <w:jc w:val="left"/>
            </w:pPr>
            <w:r>
              <w:t xml:space="preserve">N7, mid main span</w:t>
            </w:r>
          </w:p>
        </w:tc>
        <w:tc>
          <w:tcPr>
            <w:tcW w:type="dxa" w:w="2083"/>
          </w:tcPr>
          <w:p>
            <w:pPr>
              <w:pStyle w:val="Compact"/>
              <w:jc w:val="left"/>
            </w:pPr>
            <w:r>
              <w:t xml:space="preserve">right edge</w:t>
            </w:r>
          </w:p>
        </w:tc>
        <w:tc>
          <w:tcPr>
            <w:tcW w:type="dxa" w:w="1686"/>
          </w:tcPr>
          <w:p>
            <w:pPr>
              <w:pStyle w:val="Compact"/>
              <w:jc w:val="left"/>
            </w:pPr>
            <w:r>
              <w:t xml:space="preserve">14.68</w:t>
            </w:r>
          </w:p>
        </w:tc>
        <w:tc>
          <w:tcPr>
            <w:tcW w:type="dxa" w:w="2083"/>
          </w:tcPr>
          <w:p>
            <w:pPr>
              <w:pStyle w:val="Compact"/>
              <w:jc w:val="left"/>
            </w:pPr>
            <w:r>
              <w:t xml:space="preserve">14.62</w:t>
            </w:r>
          </w:p>
        </w:tc>
      </w:tr>
      <w:tr>
        <w:tc>
          <w:tcPr>
            <w:tcW w:type="dxa" w:w="3215"/>
          </w:tcPr>
          <w:p>
            <w:pPr>
              <w:pStyle w:val="Compact"/>
              <w:jc w:val="left"/>
            </w:pPr>
            <w:r>
              <w:t xml:space="preserve">N7, mid main span</w:t>
            </w:r>
          </w:p>
        </w:tc>
        <w:tc>
          <w:tcPr>
            <w:tcW w:type="dxa" w:w="2083"/>
          </w:tcPr>
          <w:p>
            <w:pPr>
              <w:pStyle w:val="Compact"/>
              <w:jc w:val="left"/>
            </w:pPr>
            <w:r>
              <w:t xml:space="preserve">axis</w:t>
            </w:r>
          </w:p>
        </w:tc>
        <w:tc>
          <w:tcPr>
            <w:tcW w:type="dxa" w:w="1686"/>
          </w:tcPr>
          <w:p>
            <w:pPr>
              <w:pStyle w:val="Compact"/>
              <w:jc w:val="left"/>
            </w:pPr>
            <w:r>
              <w:t xml:space="preserve">15.24</w:t>
            </w:r>
          </w:p>
        </w:tc>
        <w:tc>
          <w:tcPr>
            <w:tcW w:type="dxa" w:w="2083"/>
          </w:tcPr>
          <w:p>
            <w:pPr>
              <w:pStyle w:val="Compact"/>
              <w:jc w:val="left"/>
            </w:pPr>
            <w:r>
              <w:t xml:space="preserve">15.51</w:t>
            </w:r>
          </w:p>
        </w:tc>
      </w:tr>
      <w:tr>
        <w:tc>
          <w:tcPr>
            <w:tcW w:type="dxa" w:w="3215"/>
          </w:tcPr>
          <w:p>
            <w:pPr>
              <w:pStyle w:val="Compact"/>
              <w:jc w:val="left"/>
            </w:pPr>
            <w:r>
              <w:t xml:space="preserve">N7, mid main span</w:t>
            </w:r>
          </w:p>
        </w:tc>
        <w:tc>
          <w:tcPr>
            <w:tcW w:type="dxa" w:w="2083"/>
          </w:tcPr>
          <w:p>
            <w:pPr>
              <w:pStyle w:val="Compact"/>
              <w:jc w:val="left"/>
            </w:pPr>
            <w:r>
              <w:t xml:space="preserve">left edge</w:t>
            </w:r>
          </w:p>
        </w:tc>
        <w:tc>
          <w:tcPr>
            <w:tcW w:type="dxa" w:w="1686"/>
          </w:tcPr>
          <w:p>
            <w:pPr>
              <w:pStyle w:val="Compact"/>
              <w:jc w:val="left"/>
            </w:pPr>
            <w:r>
              <w:t xml:space="preserve">15.83</w:t>
            </w:r>
          </w:p>
        </w:tc>
        <w:tc>
          <w:tcPr>
            <w:tcW w:type="dxa" w:w="2083"/>
          </w:tcPr>
          <w:p>
            <w:pPr>
              <w:pStyle w:val="Compact"/>
              <w:jc w:val="left"/>
            </w:pPr>
            <w:r>
              <w:t xml:space="preserve">16.67</w:t>
            </w:r>
          </w:p>
        </w:tc>
      </w:tr>
    </w:tbl>
    <w:p>
      <w:pPr>
        <w:pStyle w:val="BodyT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rPr>
        <w:tc>
          <w:tcPr>
            <w:tcW w:type="dxa" w:w="1218"/>
            <w:tcBorders>
              <w:top w:val="nil"/>
              <w:left w:val="nil"/>
              <w:bottom w:val="single" w:sz="6" w:space="0" w:color="000000"/>
              <w:right w:val="nil"/>
            </w:tcBorders>
          </w:tcPr>
          <w:p>
            <w:pPr>
              <w:pStyle w:val="Compact"/>
              <w:jc w:val="left"/>
            </w:pPr>
            <w:r>
              <w:t xml:space="preserve">Truck</w:t>
            </w:r>
          </w:p>
        </w:tc>
        <w:tc>
          <w:tcPr>
            <w:tcW w:type="dxa" w:w="1799"/>
            <w:tcBorders>
              <w:top w:val="nil"/>
              <w:left w:val="nil"/>
              <w:bottom w:val="single" w:sz="6" w:space="0" w:color="000000"/>
              <w:right w:val="nil"/>
            </w:tcBorders>
          </w:tcPr>
          <w:p>
            <w:pPr>
              <w:pStyle w:val="Compact"/>
              <w:jc w:val="left"/>
            </w:pPr>
            <w:r>
              <w:t xml:space="preserve">Gross weight (t)</w:t>
            </w:r>
          </w:p>
        </w:tc>
        <w:tc>
          <w:tcPr>
            <w:tcW w:type="dxa" w:w="2473"/>
            <w:tcBorders>
              <w:top w:val="nil"/>
              <w:left w:val="nil"/>
              <w:bottom w:val="single" w:sz="6" w:space="0" w:color="000000"/>
              <w:right w:val="nil"/>
            </w:tcBorders>
          </w:tcPr>
          <w:p>
            <w:pPr>
              <w:pStyle w:val="Compact"/>
              <w:jc w:val="left"/>
            </w:pPr>
            <w:r>
              <w:t xml:space="preserve">Front axle spacing (m)</w:t>
            </w:r>
          </w:p>
        </w:tc>
        <w:tc>
          <w:tcPr>
            <w:tcW w:type="dxa" w:w="2361"/>
            <w:tcBorders>
              <w:top w:val="nil"/>
              <w:left w:val="nil"/>
              <w:bottom w:val="single" w:sz="6" w:space="0" w:color="000000"/>
              <w:right w:val="nil"/>
            </w:tcBorders>
          </w:tcPr>
          <w:p>
            <w:pPr>
              <w:pStyle w:val="Compact"/>
              <w:jc w:val="left"/>
            </w:pPr>
            <w:r>
              <w:t xml:space="preserve">Rear axle spacing (m)</w:t>
            </w:r>
          </w:p>
        </w:tc>
        <w:tc>
          <w:tcPr>
            <w:tcW w:type="dxa" w:w="1218"/>
            <w:tcBorders>
              <w:top w:val="nil"/>
              <w:left w:val="nil"/>
              <w:bottom w:val="single" w:sz="6" w:space="0" w:color="000000"/>
              <w:right w:val="nil"/>
            </w:tcBorders>
          </w:tcPr>
          <w:p>
            <w:pPr>
              <w:pStyle w:val="Compact"/>
              <w:jc w:val="left"/>
            </w:pPr>
            <w:r>
              <w:t xml:space="preserve">Track (m)</w:t>
            </w:r>
          </w:p>
        </w:tc>
      </w:tr>
      <w:tr>
        <w:tc>
          <w:tcPr>
            <w:tcW w:type="dxa" w:w="1218"/>
          </w:tcPr>
          <w:p>
            <w:pPr>
              <w:pStyle w:val="Compact"/>
              <w:jc w:val="left"/>
            </w:pPr>
            <w:r>
              <w:t xml:space="preserve">1</w:t>
            </w:r>
          </w:p>
        </w:tc>
        <w:tc>
          <w:tcPr>
            <w:tcW w:type="dxa" w:w="1799"/>
          </w:tcPr>
          <w:p>
            <w:pPr>
              <w:pStyle w:val="Compact"/>
              <w:jc w:val="left"/>
            </w:pPr>
            <w:r>
              <w:t xml:space="preserve">24.7</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1.9</w:t>
            </w:r>
          </w:p>
        </w:tc>
      </w:tr>
      <w:tr>
        <w:tc>
          <w:tcPr>
            <w:tcW w:type="dxa" w:w="1218"/>
          </w:tcPr>
          <w:p>
            <w:pPr>
              <w:pStyle w:val="Compact"/>
              <w:jc w:val="left"/>
            </w:pPr>
            <w:r>
              <w:t xml:space="preserve">2</w:t>
            </w:r>
          </w:p>
        </w:tc>
        <w:tc>
          <w:tcPr>
            <w:tcW w:type="dxa" w:w="1799"/>
          </w:tcPr>
          <w:p>
            <w:pPr>
              <w:pStyle w:val="Compact"/>
              <w:jc w:val="left"/>
            </w:pPr>
            <w:r>
              <w:t xml:space="preserve">25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3</w:t>
            </w:r>
          </w:p>
        </w:tc>
        <w:tc>
          <w:tcPr>
            <w:tcW w:type="dxa" w:w="1799"/>
          </w:tcPr>
          <w:p>
            <w:pPr>
              <w:pStyle w:val="Compact"/>
              <w:jc w:val="left"/>
            </w:pPr>
            <w:r>
              <w:t xml:space="preserve">25.66</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4</w:t>
            </w:r>
          </w:p>
        </w:tc>
        <w:tc>
          <w:tcPr>
            <w:tcW w:type="dxa" w:w="1799"/>
          </w:tcPr>
          <w:p>
            <w:pPr>
              <w:pStyle w:val="Compact"/>
              <w:jc w:val="left"/>
            </w:pPr>
            <w:r>
              <w:t xml:space="preserve">25.06</w:t>
            </w:r>
          </w:p>
        </w:tc>
        <w:tc>
          <w:tcPr>
            <w:tcW w:type="dxa" w:w="2473"/>
          </w:tcPr>
          <w:p>
            <w:pPr>
              <w:pStyle w:val="Compact"/>
              <w:jc w:val="left"/>
            </w:pPr>
            <w:r>
              <w:t xml:space="preserve">3.85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5</w:t>
            </w:r>
          </w:p>
        </w:tc>
        <w:tc>
          <w:tcPr>
            <w:tcW w:type="dxa" w:w="1799"/>
          </w:tcPr>
          <w:p>
            <w:pPr>
              <w:pStyle w:val="Compact"/>
              <w:jc w:val="left"/>
            </w:pPr>
            <w:r>
              <w:t xml:space="preserve">25.05</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6</w:t>
            </w:r>
          </w:p>
        </w:tc>
        <w:tc>
          <w:tcPr>
            <w:tcW w:type="dxa" w:w="1799"/>
          </w:tcPr>
          <w:p>
            <w:pPr>
              <w:pStyle w:val="Compact"/>
              <w:jc w:val="left"/>
            </w:pPr>
            <w:r>
              <w:t xml:space="preserve">25.3</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7</w:t>
            </w:r>
          </w:p>
        </w:tc>
        <w:tc>
          <w:tcPr>
            <w:tcW w:type="dxa" w:w="1799"/>
          </w:tcPr>
          <w:p>
            <w:pPr>
              <w:pStyle w:val="Compact"/>
              <w:jc w:val="left"/>
            </w:pPr>
            <w:r>
              <w:t xml:space="preserve">25.1</w:t>
            </w:r>
          </w:p>
        </w:tc>
        <w:tc>
          <w:tcPr>
            <w:tcW w:type="dxa" w:w="2473"/>
          </w:tcPr>
          <w:p>
            <w:pPr>
              <w:pStyle w:val="Compact"/>
              <w:jc w:val="left"/>
            </w:pPr>
            <w:r>
              <w:t xml:space="preserve">3.7</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8</w:t>
            </w:r>
          </w:p>
        </w:tc>
        <w:tc>
          <w:tcPr>
            <w:tcW w:type="dxa" w:w="1799"/>
          </w:tcPr>
          <w:p>
            <w:pPr>
              <w:pStyle w:val="Compact"/>
              <w:jc w:val="left"/>
            </w:pPr>
            <w:r>
              <w:t xml:space="preserve">25.5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9</w:t>
            </w:r>
          </w:p>
        </w:tc>
        <w:tc>
          <w:tcPr>
            <w:tcW w:type="dxa" w:w="1799"/>
          </w:tcPr>
          <w:p>
            <w:pPr>
              <w:pStyle w:val="Compact"/>
              <w:jc w:val="left"/>
            </w:pPr>
            <w:r>
              <w:t xml:space="preserve">24.6</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10</w:t>
            </w:r>
          </w:p>
        </w:tc>
        <w:tc>
          <w:tcPr>
            <w:tcW w:type="dxa" w:w="1799"/>
          </w:tcPr>
          <w:p>
            <w:pPr>
              <w:pStyle w:val="Compact"/>
              <w:jc w:val="left"/>
            </w:pPr>
            <w:r>
              <w:t xml:space="preserve">24.6</w:t>
            </w:r>
          </w:p>
        </w:tc>
        <w:tc>
          <w:tcPr>
            <w:tcW w:type="dxa" w:w="2473"/>
          </w:tcPr>
          <w:p>
            <w:pPr>
              <w:pStyle w:val="Compact"/>
              <w:jc w:val="left"/>
            </w:pPr>
            <w:r>
              <w:t xml:space="preserve">3.6</w:t>
            </w:r>
          </w:p>
        </w:tc>
        <w:tc>
          <w:tcPr>
            <w:tcW w:type="dxa" w:w="2361"/>
          </w:tcPr>
          <w:p>
            <w:pPr>
              <w:pStyle w:val="Compact"/>
              <w:jc w:val="left"/>
            </w:pPr>
            <w:r>
              <w:t xml:space="preserve">1.45</w:t>
            </w:r>
          </w:p>
        </w:tc>
        <w:tc>
          <w:tcPr>
            <w:tcW w:type="dxa" w:w="1218"/>
          </w:tcPr>
          <w:p>
            <w:pPr>
              <w:pStyle w:val="Compact"/>
              <w:jc w:val="left"/>
            </w:pPr>
            <w:r>
              <w:t xml:space="preserve">1.85</w:t>
            </w:r>
          </w:p>
        </w:tc>
      </w:tr>
    </w:tbl>
    <w:p>
      <w:pPr>
        <w:pStyle w:val="BodyT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434"/>
        <w:gridCol w:w="4635"/>
      </w:tblGrid>
      <w:tr>
        <w:trPr>
          <w:tblHeader w:val="true"/>
        </w:trPr>
        <w:tc>
          <w:tcPr>
            <w:tcW w:type="dxa" w:w="4434"/>
            <w:tcBorders>
              <w:top w:val="nil"/>
              <w:left w:val="nil"/>
              <w:bottom w:val="single" w:sz="6" w:space="0" w:color="000000"/>
              <w:right w:val="nil"/>
            </w:tcBorders>
          </w:tcPr>
          <w:p>
            <w:pPr>
              <w:pStyle w:val="Compact"/>
              <w:jc w:val="left"/>
            </w:pPr>
            <w:r>
              <w:t xml:space="preserve">Span</w:t>
            </w:r>
          </w:p>
        </w:tc>
        <w:tc>
          <w:tcPr>
            <w:tcW w:type="dxa" w:w="4635"/>
            <w:tcBorders>
              <w:top w:val="nil"/>
              <w:left w:val="nil"/>
              <w:bottom w:val="single" w:sz="6" w:space="0" w:color="000000"/>
              <w:right w:val="nil"/>
            </w:tcBorders>
          </w:tcPr>
          <w:p>
            <w:pPr>
              <w:pStyle w:val="Compact"/>
              <w:jc w:val="left"/>
            </w:pPr>
            <w:r>
              <w:t xml:space="preserve">Vertical frequency (Hz)</w:t>
            </w:r>
          </w:p>
        </w:tc>
      </w:tr>
      <w:tr>
        <w:tc>
          <w:tcPr>
            <w:tcW w:type="dxa" w:w="4434"/>
          </w:tcPr>
          <w:p>
            <w:pPr>
              <w:pStyle w:val="Compact"/>
              <w:jc w:val="left"/>
            </w:pPr>
            <w:r>
              <w:t xml:space="preserve">Side span T5–T6 (55 m)</w:t>
            </w:r>
          </w:p>
        </w:tc>
        <w:tc>
          <w:tcPr>
            <w:tcW w:type="dxa" w:w="4635"/>
          </w:tcPr>
          <w:p>
            <w:pPr>
              <w:pStyle w:val="Compact"/>
              <w:jc w:val="left"/>
            </w:pPr>
            <w:r>
              <w:t xml:space="preserve">3.43</w:t>
            </w:r>
          </w:p>
        </w:tc>
      </w:tr>
      <w:tr>
        <w:tc>
          <w:tcPr>
            <w:tcW w:type="dxa" w:w="4434"/>
          </w:tcPr>
          <w:p>
            <w:pPr>
              <w:pStyle w:val="Compact"/>
              <w:jc w:val="left"/>
            </w:pPr>
            <w:r>
              <w:t xml:space="preserve">Main span T6–T7 (90 m)</w:t>
            </w:r>
          </w:p>
        </w:tc>
        <w:tc>
          <w:tcPr>
            <w:tcW w:type="dxa" w:w="4635"/>
          </w:tcPr>
          <w:p>
            <w:pPr>
              <w:pStyle w:val="Compact"/>
              <w:jc w:val="left"/>
            </w:pPr>
            <w:r>
              <w:t xml:space="preserve">3.64</w:t>
            </w:r>
          </w:p>
        </w:tc>
      </w:tr>
      <w:tr>
        <w:tc>
          <w:tcPr>
            <w:tcW w:type="dxa" w:w="4434"/>
          </w:tcPr>
          <w:p>
            <w:pPr>
              <w:pStyle w:val="Compact"/>
              <w:jc w:val="left"/>
            </w:pPr>
            <w:r>
              <w:t xml:space="preserve">Side span T7–T8 (55 m)</w:t>
            </w:r>
          </w:p>
        </w:tc>
        <w:tc>
          <w:tcPr>
            <w:tcW w:type="dxa" w:w="4635"/>
          </w:tcPr>
          <w:p>
            <w:pPr>
              <w:pStyle w:val="Compact"/>
              <w:jc w:val="left"/>
            </w:pPr>
            <w:r>
              <w:t xml:space="preserve">3.63</w:t>
            </w:r>
          </w:p>
        </w:tc>
      </w:tr>
    </w:tbl>
    <w:p>
      <w:pPr>
        <w:pStyle w:val="BodyT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lef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lef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lef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left"/>
            </w:pPr>
            <m:oMath>
              <m:r>
                <m:t>R</m:t>
              </m:r>
            </m:oMath>
            <w:r>
              <w:t xml:space="preserve">, N8 at 0.4L</w:t>
            </w:r>
          </w:p>
        </w:tc>
        <w:tc>
          <w:tcPr>
            <w:tcW w:type="dxa" w:w="1272"/>
            <w:tcBorders>
              <w:top w:val="nil"/>
              <w:left w:val="nil"/>
              <w:bottom w:val="single" w:sz="6" w:space="0" w:color="000000"/>
              <w:right w:val="nil"/>
            </w:tcBorders>
          </w:tcPr>
          <w:p>
            <w:pPr>
              <w:pStyle w:val="Compact"/>
              <w:jc w:val="left"/>
            </w:pPr>
            <m:oMath>
              <m:r>
                <m:t>R</m:t>
              </m:r>
            </m:oMath>
            <w:r>
              <w:t xml:space="preserve">, N8 at mid side span</w:t>
            </w:r>
          </w:p>
        </w:tc>
        <w:tc>
          <w:tcPr>
            <w:tcW w:type="dxa" w:w="1012"/>
            <w:tcBorders>
              <w:top w:val="nil"/>
              <w:left w:val="nil"/>
              <w:bottom w:val="single" w:sz="6" w:space="0" w:color="000000"/>
              <w:right w:val="nil"/>
            </w:tcBorders>
          </w:tcPr>
          <w:p>
            <w:pPr>
              <w:pStyle w:val="Compact"/>
              <w:jc w:val="left"/>
            </w:pPr>
            <m:oMath>
              <m:r>
                <m:t>R</m:t>
              </m:r>
            </m:oMath>
            <w:r>
              <w:t xml:space="preserve">, N7</w:t>
            </w:r>
          </w:p>
        </w:tc>
      </w:tr>
      <w:tr>
        <w:tc>
          <w:tcPr>
            <w:tcW w:type="dxa" w:w="1734"/>
          </w:tcPr>
          <w:p>
            <w:pPr>
              <w:pStyle w:val="Compact"/>
              <w:jc w:val="left"/>
            </w:pPr>
            <w:r>
              <w:t xml:space="preserve">Prismatic beam, pinned piers</w:t>
            </w:r>
          </w:p>
        </w:tc>
        <w:tc>
          <w:tcPr>
            <w:tcW w:type="dxa" w:w="1503"/>
          </w:tcPr>
          <w:p>
            <w:pPr>
              <w:pStyle w:val="Compact"/>
              <w:jc w:val="left"/>
            </w:pPr>
            <w:r>
              <w:t xml:space="preserve">0.287</w:t>
            </w:r>
          </w:p>
        </w:tc>
        <w:tc>
          <w:tcPr>
            <w:tcW w:type="dxa" w:w="1330"/>
          </w:tcPr>
          <w:p>
            <w:pPr>
              <w:pStyle w:val="Compact"/>
              <w:jc w:val="left"/>
            </w:pPr>
            <w:r>
              <w:t xml:space="preserve">0.163</w:t>
            </w:r>
          </w:p>
        </w:tc>
        <w:tc>
          <w:tcPr>
            <w:tcW w:type="dxa" w:w="1204"/>
          </w:tcPr>
          <w:p>
            <w:pPr>
              <w:pStyle w:val="Compact"/>
              <w:jc w:val="left"/>
            </w:pPr>
            <w:r>
              <w:t xml:space="preserve">0.755</w:t>
            </w:r>
          </w:p>
        </w:tc>
        <w:tc>
          <w:tcPr>
            <w:tcW w:type="dxa" w:w="1012"/>
          </w:tcPr>
          <w:p>
            <w:pPr>
              <w:pStyle w:val="Compact"/>
              <w:jc w:val="left"/>
            </w:pPr>
            <w:r>
              <w:t xml:space="preserve">0.14</w:t>
            </w:r>
          </w:p>
        </w:tc>
        <w:tc>
          <w:tcPr>
            <w:tcW w:type="dxa" w:w="1272"/>
          </w:tcPr>
          <w:p>
            <w:pPr>
              <w:pStyle w:val="Compact"/>
              <w:jc w:val="left"/>
            </w:pPr>
            <w:r>
              <w:t xml:space="preserve">0.08</w:t>
            </w:r>
          </w:p>
        </w:tc>
        <w:tc>
          <w:tcPr>
            <w:tcW w:type="dxa" w:w="1012"/>
          </w:tcPr>
          <w:p>
            <w:pPr>
              <w:pStyle w:val="Compact"/>
              <w:jc w:val="left"/>
            </w:pPr>
            <w:r>
              <w:t xml:space="preserve">0.70</w:t>
            </w:r>
          </w:p>
        </w:tc>
      </w:tr>
      <w:tr>
        <w:tc>
          <w:tcPr>
            <w:tcW w:type="dxa" w:w="1734"/>
          </w:tcPr>
          <w:p>
            <w:pPr>
              <w:pStyle w:val="Compact"/>
              <w:jc w:val="left"/>
            </w:pPr>
            <w:r>
              <w:t xml:space="preserve">Haunched, calibration A</w:t>
            </w:r>
          </w:p>
        </w:tc>
        <w:tc>
          <w:tcPr>
            <w:tcW w:type="dxa" w:w="1503"/>
          </w:tcPr>
          <w:p>
            <w:pPr>
              <w:pStyle w:val="Compact"/>
              <w:jc w:val="left"/>
            </w:pPr>
            <w:r>
              <w:t xml:space="preserve">0.181</w:t>
            </w:r>
          </w:p>
        </w:tc>
        <w:tc>
          <w:tcPr>
            <w:tcW w:type="dxa" w:w="1330"/>
          </w:tcPr>
          <w:p>
            <w:pPr>
              <w:pStyle w:val="Compact"/>
              <w:jc w:val="left"/>
            </w:pPr>
            <w:r>
              <w:t xml:space="preserve">0.105</w:t>
            </w:r>
          </w:p>
        </w:tc>
        <w:tc>
          <w:tcPr>
            <w:tcW w:type="dxa" w:w="1204"/>
          </w:tcPr>
          <w:p>
            <w:pPr>
              <w:pStyle w:val="Compact"/>
              <w:jc w:val="left"/>
            </w:pPr>
            <w:r>
              <w:t xml:space="preserve">0.209</w:t>
            </w:r>
          </w:p>
        </w:tc>
        <w:tc>
          <w:tcPr>
            <w:tcW w:type="dxa" w:w="1012"/>
          </w:tcPr>
          <w:p>
            <w:pPr>
              <w:pStyle w:val="Compact"/>
              <w:jc w:val="left"/>
            </w:pPr>
            <w:r>
              <w:t xml:space="preserve">0.18</w:t>
            </w:r>
          </w:p>
        </w:tc>
        <w:tc>
          <w:tcPr>
            <w:tcW w:type="dxa" w:w="1272"/>
          </w:tcPr>
          <w:p>
            <w:pPr>
              <w:pStyle w:val="Compact"/>
              <w:jc w:val="left"/>
            </w:pPr>
            <w:r>
              <w:t xml:space="preserve">0.11</w:t>
            </w:r>
          </w:p>
        </w:tc>
        <w:tc>
          <w:tcPr>
            <w:tcW w:type="dxa" w:w="1012"/>
          </w:tcPr>
          <w:p>
            <w:pPr>
              <w:pStyle w:val="Compact"/>
              <w:jc w:val="left"/>
            </w:pPr>
            <w:r>
              <w:t xml:space="preserve">0.59</w:t>
            </w:r>
          </w:p>
        </w:tc>
      </w:tr>
      <w:tr>
        <w:tc>
          <w:tcPr>
            <w:tcW w:type="dxa" w:w="1734"/>
          </w:tcPr>
          <w:p>
            <w:pPr>
              <w:pStyle w:val="Compact"/>
              <w:jc w:val="left"/>
            </w:pPr>
            <w:r>
              <w:t xml:space="preserve">Haunched, calibration B</w:t>
            </w:r>
          </w:p>
        </w:tc>
        <w:tc>
          <w:tcPr>
            <w:tcW w:type="dxa" w:w="1503"/>
          </w:tcPr>
          <w:p>
            <w:pPr>
              <w:pStyle w:val="Compact"/>
              <w:jc w:val="left"/>
            </w:pPr>
            <w:r>
              <w:t xml:space="preserve">0.476ᵃ</w:t>
            </w:r>
          </w:p>
        </w:tc>
        <w:tc>
          <w:tcPr>
            <w:tcW w:type="dxa" w:w="1330"/>
          </w:tcPr>
          <w:p>
            <w:pPr>
              <w:pStyle w:val="Compact"/>
              <w:jc w:val="left"/>
            </w:pPr>
            <w:r>
              <w:t xml:space="preserve">0.377</w:t>
            </w:r>
          </w:p>
        </w:tc>
        <w:tc>
          <w:tcPr>
            <w:tcW w:type="dxa" w:w="1204"/>
          </w:tcPr>
          <w:p>
            <w:pPr>
              <w:pStyle w:val="Compact"/>
              <w:jc w:val="left"/>
            </w:pPr>
            <w:r>
              <w:t xml:space="preserve">0.234</w:t>
            </w:r>
          </w:p>
        </w:tc>
        <w:tc>
          <w:tcPr>
            <w:tcW w:type="dxa" w:w="1012"/>
          </w:tcPr>
          <w:p>
            <w:pPr>
              <w:pStyle w:val="Compact"/>
              <w:jc w:val="left"/>
            </w:pPr>
            <w:r>
              <w:t xml:space="preserve">0.56</w:t>
            </w:r>
          </w:p>
        </w:tc>
        <w:tc>
          <w:tcPr>
            <w:tcW w:type="dxa" w:w="1272"/>
          </w:tcPr>
          <w:p>
            <w:pPr>
              <w:pStyle w:val="Compact"/>
              <w:jc w:val="left"/>
            </w:pPr>
            <w:r>
              <w:t xml:space="preserve">0.49</w:t>
            </w:r>
          </w:p>
        </w:tc>
        <w:tc>
          <w:tcPr>
            <w:tcW w:type="dxa" w:w="1012"/>
          </w:tcPr>
          <w:p>
            <w:pPr>
              <w:pStyle w:val="Compact"/>
              <w:jc w:val="left"/>
            </w:pPr>
            <w:r>
              <w:t xml:space="preserve">0.77</w:t>
            </w:r>
          </w:p>
        </w:tc>
      </w:tr>
      <w:t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left"/>
            </w:pPr>
            <w:r>
              <w:t xml:space="preserve">0.124–0.822ᵇ</w:t>
            </w:r>
          </w:p>
        </w:tc>
        <w:tc>
          <w:tcPr>
            <w:tcW w:type="dxa" w:w="1330"/>
          </w:tcPr>
          <w:p>
            <w:pPr>
              <w:pStyle w:val="Compact"/>
              <w:jc w:val="left"/>
            </w:pPr>
            <w:r>
              <w:t xml:space="preserve">–</w:t>
            </w:r>
          </w:p>
        </w:tc>
        <w:tc>
          <w:tcPr>
            <w:tcW w:type="dxa" w:w="1204"/>
          </w:tcPr>
          <w:p>
            <w:pPr>
              <w:pStyle w:val="Compact"/>
              <w:jc w:val="left"/>
            </w:pPr>
            <w:r>
              <w:t xml:space="preserve">0.190–0.286</w:t>
            </w:r>
          </w:p>
        </w:tc>
        <w:tc>
          <w:tcPr>
            <w:tcW w:type="dxa" w:w="1012"/>
          </w:tcPr>
          <w:p>
            <w:pPr>
              <w:pStyle w:val="Compact"/>
              <w:jc w:val="left"/>
            </w:pPr>
            <w:r>
              <w:t xml:space="preserve">0.13–1.00</w:t>
            </w:r>
          </w:p>
        </w:tc>
        <w:tc>
          <w:tcPr>
            <w:tcW w:type="dxa" w:w="1272"/>
          </w:tcPr>
          <w:p>
            <w:pPr>
              <w:pStyle w:val="Compact"/>
              <w:jc w:val="left"/>
            </w:pPr>
            <w:r>
              <w:t xml:space="preserve">–</w:t>
            </w:r>
          </w:p>
        </w:tc>
        <w:tc>
          <w:tcPr>
            <w:tcW w:type="dxa" w:w="1012"/>
          </w:tcPr>
          <w:p>
            <w:pPr>
              <w:pStyle w:val="Compact"/>
              <w:jc w:val="left"/>
            </w:pPr>
            <w:r>
              <w:t xml:space="preserve">0.56–1.00</w:t>
            </w:r>
          </w:p>
        </w:tc>
      </w:tr>
      <w:tr>
        <w:tc>
          <w:tcPr>
            <w:tcW w:type="dxa" w:w="1734"/>
          </w:tcPr>
          <w:p>
            <w:pPr>
              <w:pStyle w:val="Compact"/>
              <w:jc w:val="left"/>
            </w:pPr>
            <w:r>
              <w:t xml:space="preserve">Haunched, pinned piers</w:t>
            </w:r>
          </w:p>
        </w:tc>
        <w:tc>
          <w:tcPr>
            <w:tcW w:type="dxa" w:w="1503"/>
          </w:tcPr>
          <w:p>
            <w:pPr>
              <w:pStyle w:val="Compact"/>
              <w:jc w:val="left"/>
            </w:pPr>
            <w:r>
              <w:t xml:space="preserve">0.023</w:t>
            </w:r>
          </w:p>
        </w:tc>
        <w:tc>
          <w:tcPr>
            <w:tcW w:type="dxa" w:w="1330"/>
          </w:tcPr>
          <w:p>
            <w:pPr>
              <w:pStyle w:val="Compact"/>
              <w:jc w:val="left"/>
            </w:pPr>
            <w:r>
              <w:t xml:space="preserve">−0.066</w:t>
            </w:r>
          </w:p>
        </w:tc>
        <w:tc>
          <w:tcPr>
            <w:tcW w:type="dxa" w:w="1204"/>
          </w:tcPr>
          <w:p>
            <w:pPr>
              <w:pStyle w:val="Compact"/>
              <w:jc w:val="left"/>
            </w:pPr>
            <w:r>
              <w:t xml:space="preserve">0.263</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w:r>
              <w:t xml:space="preserve">Haunched, fixed piers</w:t>
            </w:r>
          </w:p>
        </w:tc>
        <w:tc>
          <w:tcPr>
            <w:tcW w:type="dxa" w:w="1503"/>
          </w:tcPr>
          <w:p>
            <w:pPr>
              <w:pStyle w:val="Compact"/>
              <w:jc w:val="left"/>
            </w:pPr>
            <w:r>
              <w:t xml:space="preserve">0.446</w:t>
            </w:r>
          </w:p>
        </w:tc>
        <w:tc>
          <w:tcPr>
            <w:tcW w:type="dxa" w:w="1330"/>
          </w:tcPr>
          <w:p>
            <w:pPr>
              <w:pStyle w:val="Compact"/>
              <w:jc w:val="left"/>
            </w:pPr>
            <w:r>
              <w:t xml:space="preserve">0.375</w:t>
            </w:r>
          </w:p>
        </w:tc>
        <w:tc>
          <w:tcPr>
            <w:tcW w:type="dxa" w:w="1204"/>
          </w:tcPr>
          <w:p>
            <w:pPr>
              <w:pStyle w:val="Compact"/>
              <w:jc w:val="left"/>
            </w:pPr>
            <w:r>
              <w:t xml:space="preserve">0.145</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left"/>
            </w:pPr>
            <w:r>
              <w:t xml:space="preserve">0.51</w:t>
            </w:r>
          </w:p>
        </w:tc>
        <w:tc>
          <w:tcPr>
            <w:tcW w:type="dxa" w:w="1330"/>
          </w:tcPr>
          <w:p>
            <w:pPr>
              <w:pStyle w:val="Compact"/>
              <w:jc w:val="left"/>
            </w:pPr>
            <w:r>
              <w:t xml:space="preserve">–</w:t>
            </w:r>
          </w:p>
        </w:tc>
        <w:tc>
          <w:tcPr>
            <w:tcW w:type="dxa" w:w="1204"/>
          </w:tcPr>
          <w:p>
            <w:pPr>
              <w:pStyle w:val="Compact"/>
              <w:jc w:val="left"/>
            </w:pPr>
            <w:r>
              <w:t xml:space="preserve">0.12</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bookmarkEnd w:id="27"/>
    <w:bookmarkStart w:id="28"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bookmarkEnd w:id="28"/>
    <w:bookmarkStart w:id="29"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left"/>
            </w:pPr>
            <w:r>
              <w:t xml:space="preserve">0.02 mm</w:t>
            </w:r>
          </w:p>
        </w:tc>
        <w:tc>
          <w:tcPr>
            <w:tcW w:type="dxa" w:w="1074"/>
            <w:tcBorders>
              <w:top w:val="nil"/>
              <w:left w:val="nil"/>
              <w:bottom w:val="single" w:sz="6" w:space="0" w:color="000000"/>
              <w:right w:val="nil"/>
            </w:tcBorders>
          </w:tcPr>
          <w:p>
            <w:pPr>
              <w:pStyle w:val="Compact"/>
              <w:jc w:val="left"/>
            </w:pPr>
            <w:r>
              <w:t xml:space="preserve">0.05 mm</w:t>
            </w:r>
          </w:p>
        </w:tc>
        <w:tc>
          <w:tcPr>
            <w:tcW w:type="dxa" w:w="1074"/>
            <w:tcBorders>
              <w:top w:val="nil"/>
              <w:left w:val="nil"/>
              <w:bottom w:val="single" w:sz="6" w:space="0" w:color="000000"/>
              <w:right w:val="nil"/>
            </w:tcBorders>
          </w:tcPr>
          <w:p>
            <w:pPr>
              <w:pStyle w:val="Compact"/>
              <w:jc w:val="left"/>
            </w:pPr>
            <w:r>
              <w:t xml:space="preserve">0.1 mm</w:t>
            </w:r>
          </w:p>
        </w:tc>
        <w:tc>
          <w:tcPr>
            <w:tcW w:type="dxa" w:w="1074"/>
            <w:tcBorders>
              <w:top w:val="nil"/>
              <w:left w:val="nil"/>
              <w:bottom w:val="single" w:sz="6" w:space="0" w:color="000000"/>
              <w:right w:val="nil"/>
            </w:tcBorders>
          </w:tcPr>
          <w:p>
            <w:pPr>
              <w:pStyle w:val="Compact"/>
              <w:jc w:val="left"/>
            </w:pPr>
            <w:r>
              <w:t xml:space="preserve">0.2 mm</w:t>
            </w:r>
          </w:p>
        </w:tc>
        <w:tc>
          <w:tcPr>
            <w:tcW w:type="dxa" w:w="1361"/>
            <w:tcBorders>
              <w:top w:val="nil"/>
              <w:left w:val="nil"/>
              <w:bottom w:val="single" w:sz="6" w:space="0" w:color="000000"/>
              <w:right w:val="nil"/>
            </w:tcBorders>
          </w:tcPr>
          <w:p>
            <w:pPr>
              <w:pStyle w:val="Compact"/>
              <w:jc w:val="left"/>
            </w:pPr>
            <w:r>
              <w:t xml:space="preserve">0.5 mm</w:t>
            </w:r>
          </w:p>
        </w:tc>
      </w:tr>
      <w:tr>
        <w:tc>
          <w:tcPr>
            <w:tcW w:type="dxa" w:w="1461"/>
          </w:tcPr>
          <w:p>
            <w:pPr>
              <w:pStyle w:val="Compact"/>
              <w:jc w:val="left"/>
            </w:pPr>
            <w:r>
              <w:t xml:space="preserve">N7, mid main span</w:t>
            </w:r>
          </w:p>
        </w:tc>
        <w:tc>
          <w:tcPr>
            <w:tcW w:type="dxa" w:w="1805"/>
          </w:tcPr>
          <w:p>
            <w:pPr>
              <w:pStyle w:val="Compact"/>
              <w:jc w:val="left"/>
            </w:pPr>
            <w:r>
              <w:t xml:space="preserve">3.3–5.0 × 10⁻⁴</w:t>
            </w:r>
          </w:p>
        </w:tc>
        <w:tc>
          <w:tcPr>
            <w:tcW w:type="dxa" w:w="1217"/>
          </w:tcPr>
          <w:p>
            <w:pPr>
              <w:pStyle w:val="Compact"/>
              <w:jc w:val="left"/>
            </w:pPr>
            <w:r>
              <w:t xml:space="preserve">3.3–5.0 %</w:t>
            </w:r>
          </w:p>
        </w:tc>
        <w:tc>
          <w:tcPr>
            <w:tcW w:type="dxa" w:w="1074"/>
          </w:tcPr>
          <w:p>
            <w:pPr>
              <w:pStyle w:val="Compact"/>
              <w:jc w:val="left"/>
            </w:pPr>
            <w:r>
              <w:t xml:space="preserve">8–12 %</w:t>
            </w:r>
          </w:p>
        </w:tc>
        <w:tc>
          <w:tcPr>
            <w:tcW w:type="dxa" w:w="1074"/>
          </w:tcPr>
          <w:p>
            <w:pPr>
              <w:pStyle w:val="Compact"/>
              <w:jc w:val="left"/>
            </w:pPr>
            <w:r>
              <w:t xml:space="preserve">16–25 %</w:t>
            </w:r>
          </w:p>
        </w:tc>
        <w:tc>
          <w:tcPr>
            <w:tcW w:type="dxa" w:w="1074"/>
          </w:tcPr>
          <w:p>
            <w:pPr>
              <w:pStyle w:val="Compact"/>
              <w:jc w:val="left"/>
            </w:pPr>
            <w:r>
              <w:t xml:space="preserve">33–50 %</w:t>
            </w:r>
          </w:p>
        </w:tc>
        <w:tc>
          <w:tcPr>
            <w:tcW w:type="dxa" w:w="1361"/>
          </w:tcPr>
          <w:p>
            <w:pPr>
              <w:pStyle w:val="Compact"/>
              <w:jc w:val="left"/>
            </w:pPr>
            <w:r>
              <w:t xml:space="preserve">82–124 %</w:t>
            </w:r>
          </w:p>
        </w:tc>
      </w:tr>
      <w:tr>
        <w:tc>
          <w:tcPr>
            <w:tcW w:type="dxa" w:w="1461"/>
          </w:tcPr>
          <w:p>
            <w:pPr>
              <w:pStyle w:val="Compact"/>
              <w:jc w:val="left"/>
            </w:pPr>
            <w:r>
              <w:t xml:space="preserve">N8, 0.4L</w:t>
            </w:r>
          </w:p>
        </w:tc>
        <w:tc>
          <w:tcPr>
            <w:tcW w:type="dxa" w:w="1805"/>
          </w:tcPr>
          <w:p>
            <w:pPr>
              <w:pStyle w:val="Compact"/>
              <w:jc w:val="left"/>
            </w:pPr>
            <w:r>
              <w:t xml:space="preserve">3.0 × 10⁻⁵–2.0 × 10⁻⁴</w:t>
            </w:r>
          </w:p>
        </w:tc>
        <w:tc>
          <w:tcPr>
            <w:tcW w:type="dxa" w:w="1217"/>
          </w:tcPr>
          <w:p>
            <w:pPr>
              <w:pStyle w:val="Compact"/>
              <w:jc w:val="left"/>
            </w:pPr>
            <w:r>
              <w:t xml:space="preserve">8–54 %</w:t>
            </w:r>
          </w:p>
        </w:tc>
        <w:tc>
          <w:tcPr>
            <w:tcW w:type="dxa" w:w="1074"/>
          </w:tcPr>
          <w:p>
            <w:pPr>
              <w:pStyle w:val="Compact"/>
              <w:jc w:val="left"/>
            </w:pPr>
            <w:r>
              <w:t xml:space="preserve">21–136 %</w:t>
            </w:r>
          </w:p>
        </w:tc>
        <w:tc>
          <w:tcPr>
            <w:tcW w:type="dxa" w:w="1074"/>
          </w:tcPr>
          <w:p>
            <w:pPr>
              <w:pStyle w:val="Compact"/>
              <w:jc w:val="left"/>
            </w:pPr>
            <w:r>
              <w:t xml:space="preserve">41–271 %</w:t>
            </w:r>
          </w:p>
        </w:tc>
        <w:tc>
          <w:tcPr>
            <w:tcW w:type="dxa" w:w="1074"/>
          </w:tcPr>
          <w:p>
            <w:pPr>
              <w:pStyle w:val="Compact"/>
              <w:jc w:val="left"/>
            </w:pPr>
            <w:r>
              <w:t xml:space="preserve">82–543 %</w:t>
            </w:r>
          </w:p>
        </w:tc>
        <w:tc>
          <w:tcPr>
            <w:tcW w:type="dxa" w:w="1361"/>
          </w:tcPr>
          <w:p>
            <w:pPr>
              <w:pStyle w:val="Compact"/>
              <w:jc w:val="left"/>
            </w:pPr>
            <w:r>
              <w:t xml:space="preserve">206–1356 %</w:t>
            </w:r>
          </w:p>
        </w:tc>
      </w:tr>
    </w:tbl>
    <w:p>
      <w:pPr>
        <w:pStyle w:val="BodyT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w:t>
      </w:r>
    </w:p>
    <w:bookmarkEnd w:id="29"/>
    <w:bookmarkStart w:id="30"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its numbering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30"/>
    <w:bookmarkStart w:id="82" w:name="supplementary-figure-captions"/>
    <w:p>
      <w:pPr>
        <w:pStyle w:val="Heading2"/>
      </w:pPr>
      <w:r>
        <w:t xml:space="preserve">Supplementary figure captions</w:t>
      </w:r>
    </w:p>
    <w:p>
      <w:pPr>
        <w:pStyle w:val="FirstParagraph"/>
      </w:pPr>
      <w:r>
        <w:drawing>
          <wp:inline>
            <wp:extent cx="5579999" cy="2243094"/>
            <wp:effectExtent b="0" l="0" r="0" t="0"/>
            <wp:docPr descr="" title="" id="32" name="Picture"/>
            <a:graphic>
              <a:graphicData uri="http://schemas.openxmlformats.org/drawingml/2006/picture">
                <pic:pic>
                  <pic:nvPicPr>
                    <pic:cNvPr descr="/home/user/SHM-Paper1-1D/manuscript/ase/figures/supplementary/FigS1_strain_map_2span.png" id="33" name="Picture"/>
                    <pic:cNvPicPr>
                      <a:picLocks noChangeArrowheads="1" noChangeAspect="1"/>
                    </pic:cNvPicPr>
                  </pic:nvPicPr>
                  <pic:blipFill>
                    <a:blip r:embed="rId31"/>
                    <a:stretch>
                      <a:fillRect/>
                    </a:stretch>
                  </pic:blipFill>
                  <pic:spPr bwMode="auto">
                    <a:xfrm>
                      <a:off x="0" y="0"/>
                      <a:ext cx="5579999" cy="2243094"/>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BodyText"/>
      </w:pPr>
      <w:r>
        <w:drawing>
          <wp:inline>
            <wp:extent cx="5579999" cy="2270603"/>
            <wp:effectExtent b="0" l="0" r="0" t="0"/>
            <wp:docPr descr="" title="" id="35" name="Picture"/>
            <a:graphic>
              <a:graphicData uri="http://schemas.openxmlformats.org/drawingml/2006/picture">
                <pic:pic>
                  <pic:nvPicPr>
                    <pic:cNvPr descr="/home/user/SHM-Paper1-1D/manuscript/ase/figures/supplementary/FigS2_strain_map_3span.png" id="36" name="Picture"/>
                    <pic:cNvPicPr>
                      <a:picLocks noChangeArrowheads="1" noChangeAspect="1"/>
                    </pic:cNvPicPr>
                  </pic:nvPicPr>
                  <pic:blipFill>
                    <a:blip r:embed="rId34"/>
                    <a:stretch>
                      <a:fillRect/>
                    </a:stretch>
                  </pic:blipFill>
                  <pic:spPr bwMode="auto">
                    <a:xfrm>
                      <a:off x="0" y="0"/>
                      <a:ext cx="5579999" cy="2270603"/>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p>
      <w:pPr>
        <w:pStyle w:val="BodyText"/>
      </w:pPr>
      <w:r>
        <w:drawing>
          <wp:inline>
            <wp:extent cx="5579999" cy="1935169"/>
            <wp:effectExtent b="0" l="0" r="0" t="0"/>
            <wp:docPr descr="" title="" id="38" name="Picture"/>
            <a:graphic>
              <a:graphicData uri="http://schemas.openxmlformats.org/drawingml/2006/picture">
                <pic:pic>
                  <pic:nvPicPr>
                    <pic:cNvPr descr="/home/user/SHM-Paper1-1D/manuscript/ase/figures/supplementary/FigS3_structure_aware_weights.png" id="39" name="Picture"/>
                    <pic:cNvPicPr>
                      <a:picLocks noChangeArrowheads="1" noChangeAspect="1"/>
                    </pic:cNvPicPr>
                  </pic:nvPicPr>
                  <pic:blipFill>
                    <a:blip r:embed="rId37"/>
                    <a:stretch>
                      <a:fillRect/>
                    </a:stretch>
                  </pic:blipFill>
                  <pic:spPr bwMode="auto">
                    <a:xfrm>
                      <a:off x="0" y="0"/>
                      <a:ext cx="5579999" cy="1935169"/>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p>
      <w:pPr>
        <w:pStyle w:val="BodyText"/>
      </w:pPr>
      <w:r>
        <w:drawing>
          <wp:inline>
            <wp:extent cx="5579999" cy="2556201"/>
            <wp:effectExtent b="0" l="0" r="0" t="0"/>
            <wp:docPr descr="" title="" id="41" name="Picture"/>
            <a:graphic>
              <a:graphicData uri="http://schemas.openxmlformats.org/drawingml/2006/picture">
                <pic:pic>
                  <pic:nvPicPr>
                    <pic:cNvPr descr="/home/user/SHM-Paper1-1D/manuscript/ase/figures/supplementary/FigS4_multichannel_gain.png" id="42" name="Picture"/>
                    <pic:cNvPicPr>
                      <a:picLocks noChangeArrowheads="1" noChangeAspect="1"/>
                    </pic:cNvPicPr>
                  </pic:nvPicPr>
                  <pic:blipFill>
                    <a:blip r:embed="rId40"/>
                    <a:stretch>
                      <a:fillRect/>
                    </a:stretch>
                  </pic:blipFill>
                  <pic:spPr bwMode="auto">
                    <a:xfrm>
                      <a:off x="0" y="0"/>
                      <a:ext cx="5579999" cy="2556201"/>
                    </a:xfrm>
                    <a:prstGeom prst="rect">
                      <a:avLst/>
                    </a:prstGeom>
                    <a:noFill/>
                    <a:ln w="9525">
                      <a:noFill/>
                      <a:headEnd/>
                      <a:tailEnd/>
                    </a:ln>
                  </pic:spPr>
                </pic:pic>
              </a:graphicData>
            </a:graphic>
          </wp:inline>
        </w:drawing>
      </w:r>
    </w:p>
    <w:p>
      <w:pPr>
        <w:pStyle w:val="BodyText"/>
      </w:pPr>
      <w:r>
        <w:rPr>
          <w:bCs/>
          <w:b/>
        </w:rPr>
        <w:t xml:space="preserve">Fig.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579999" cy="3028341"/>
            <wp:effectExtent b="0" l="0" r="0" t="0"/>
            <wp:docPr descr="" title="" id="44" name="Picture"/>
            <a:graphic>
              <a:graphicData uri="http://schemas.openxmlformats.org/drawingml/2006/picture">
                <pic:pic>
                  <pic:nvPicPr>
                    <pic:cNvPr descr="/home/user/SHM-Paper1-1D/manuscript/ase/figures/supplementary/FigS5_Cx_extremes.png" id="45" name="Picture"/>
                    <pic:cNvPicPr>
                      <a:picLocks noChangeArrowheads="1" noChangeAspect="1"/>
                    </pic:cNvPicPr>
                  </pic:nvPicPr>
                  <pic:blipFill>
                    <a:blip r:embed="rId43"/>
                    <a:stretch>
                      <a:fillRect/>
                    </a:stretch>
                  </pic:blipFill>
                  <pic:spPr bwMode="auto">
                    <a:xfrm>
                      <a:off x="0" y="0"/>
                      <a:ext cx="5579999" cy="3028341"/>
                    </a:xfrm>
                    <a:prstGeom prst="rect">
                      <a:avLst/>
                    </a:prstGeom>
                    <a:noFill/>
                    <a:ln w="9525">
                      <a:noFill/>
                      <a:headEnd/>
                      <a:tailEnd/>
                    </a:ln>
                  </pic:spPr>
                </pic:pic>
              </a:graphicData>
            </a:graphic>
          </wp:inline>
        </w:drawing>
      </w:r>
    </w:p>
    <w:p>
      <w:pPr>
        <w:pStyle w:val="BodyText"/>
      </w:pPr>
      <w:r>
        <w:rPr>
          <w:bCs/>
          <w:b/>
        </w:rPr>
        <w:t xml:space="preserve">Fig.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BodyText"/>
      </w:pPr>
      <w:r>
        <w:drawing>
          <wp:inline>
            <wp:extent cx="5579999" cy="1835887"/>
            <wp:effectExtent b="0" l="0" r="0" t="0"/>
            <wp:docPr descr="" title="" id="47" name="Picture"/>
            <a:graphic>
              <a:graphicData uri="http://schemas.openxmlformats.org/drawingml/2006/picture">
                <pic:pic>
                  <pic:nvPicPr>
                    <pic:cNvPr descr="/home/user/SHM-Paper1-1D/manuscript/ase/figures/supplementary/FigS6_multichannel_montecarlo.png" id="48" name="Picture"/>
                    <pic:cNvPicPr>
                      <a:picLocks noChangeArrowheads="1" noChangeAspect="1"/>
                    </pic:cNvPicPr>
                  </pic:nvPicPr>
                  <pic:blipFill>
                    <a:blip r:embed="rId46"/>
                    <a:stretch>
                      <a:fillRect/>
                    </a:stretch>
                  </pic:blipFill>
                  <pic:spPr bwMode="auto">
                    <a:xfrm>
                      <a:off x="0" y="0"/>
                      <a:ext cx="5579999" cy="1835887"/>
                    </a:xfrm>
                    <a:prstGeom prst="rect">
                      <a:avLst/>
                    </a:prstGeom>
                    <a:noFill/>
                    <a:ln w="9525">
                      <a:noFill/>
                      <a:headEnd/>
                      <a:tailEnd/>
                    </a:ln>
                  </pic:spPr>
                </pic:pic>
              </a:graphicData>
            </a:graphic>
          </wp:inline>
        </w:drawing>
      </w:r>
    </w:p>
    <w:p>
      <w:pPr>
        <w:pStyle w:val="BodyText"/>
      </w:pPr>
      <w:r>
        <w:rPr>
          <w:bCs/>
          <w:b/>
        </w:rPr>
        <w:t xml:space="preserve">Fig.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p>
      <w:pPr>
        <w:pStyle w:val="BodyText"/>
      </w:pPr>
      <w:r>
        <w:drawing>
          <wp:inline>
            <wp:extent cx="5579999" cy="2247499"/>
            <wp:effectExtent b="0" l="0" r="0" t="0"/>
            <wp:docPr descr="" title="" id="50" name="Picture"/>
            <a:graphic>
              <a:graphicData uri="http://schemas.openxmlformats.org/drawingml/2006/picture">
                <pic:pic>
                  <pic:nvPicPr>
                    <pic:cNvPr descr="/home/user/SHM-Paper1-1D/manuscript/ase/figures/supplementary/FigS7_mobius_closedform.png" id="51" name="Picture"/>
                    <pic:cNvPicPr>
                      <a:picLocks noChangeArrowheads="1" noChangeAspect="1"/>
                    </pic:cNvPicPr>
                  </pic:nvPicPr>
                  <pic:blipFill>
                    <a:blip r:embed="rId49"/>
                    <a:stretch>
                      <a:fillRect/>
                    </a:stretch>
                  </pic:blipFill>
                  <pic:spPr bwMode="auto">
                    <a:xfrm>
                      <a:off x="0" y="0"/>
                      <a:ext cx="5579999" cy="2247499"/>
                    </a:xfrm>
                    <a:prstGeom prst="rect">
                      <a:avLst/>
                    </a:prstGeom>
                    <a:noFill/>
                    <a:ln w="9525">
                      <a:noFill/>
                      <a:headEnd/>
                      <a:tailEnd/>
                    </a:ln>
                  </pic:spPr>
                </pic:pic>
              </a:graphicData>
            </a:graphic>
          </wp:inline>
        </w:drawing>
      </w:r>
    </w:p>
    <w:p>
      <w:pPr>
        <w:pStyle w:val="BodyText"/>
      </w:pPr>
      <w:r>
        <w:rPr>
          <w:bCs/>
          <w:b/>
        </w:rPr>
        <w:t xml:space="preserve">Fig.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drawing>
          <wp:inline>
            <wp:extent cx="5579999" cy="2789999"/>
            <wp:effectExtent b="0" l="0" r="0" t="0"/>
            <wp:docPr descr="" title="" id="53" name="Picture"/>
            <a:graphic>
              <a:graphicData uri="http://schemas.openxmlformats.org/drawingml/2006/picture">
                <pic:pic>
                  <pic:nvPicPr>
                    <pic:cNvPr descr="/home/user/SHM-Paper1-1D/manuscript/ase/figures/supplementary/FigS8_lab_influence_line.png" id="54" name="Picture"/>
                    <pic:cNvPicPr>
                      <a:picLocks noChangeArrowheads="1" noChangeAspect="1"/>
                    </pic:cNvPicPr>
                  </pic:nvPicPr>
                  <pic:blipFill>
                    <a:blip r:embed="rId52"/>
                    <a:stretch>
                      <a:fillRect/>
                    </a:stretch>
                  </pic:blipFill>
                  <pic:spPr bwMode="auto">
                    <a:xfrm>
                      <a:off x="0" y="0"/>
                      <a:ext cx="5579999" cy="2789999"/>
                    </a:xfrm>
                    <a:prstGeom prst="rect">
                      <a:avLst/>
                    </a:prstGeom>
                    <a:noFill/>
                    <a:ln w="9525">
                      <a:noFill/>
                      <a:headEnd/>
                      <a:tailEnd/>
                    </a:ln>
                  </pic:spPr>
                </pic:pic>
              </a:graphicData>
            </a:graphic>
          </wp:inline>
        </w:drawing>
      </w:r>
    </w:p>
    <w:p>
      <w:pPr>
        <w:pStyle w:val="BodyText"/>
      </w:pPr>
      <w:r>
        <w:rPr>
          <w:bCs/>
          <w:b/>
        </w:rPr>
        <w:t xml:space="preserve">Fig. S8.</w:t>
      </w:r>
      <w:r>
        <w:t xml:space="preserve"> </w:t>
      </w:r>
      <w:r>
        <w:t xml:space="preserve">Laboratory two-span beam: measured and analytical influence line of the mid-span deflection of the first span for the single 40.64 N load (Table S4).</w:t>
      </w:r>
    </w:p>
    <w:p>
      <w:pPr>
        <w:pStyle w:val="BodyText"/>
      </w:pPr>
      <w:r>
        <w:drawing>
          <wp:inline>
            <wp:extent cx="5579999" cy="2557499"/>
            <wp:effectExtent b="0" l="0" r="0" t="0"/>
            <wp:docPr descr="" title="" id="56" name="Picture"/>
            <a:graphic>
              <a:graphicData uri="http://schemas.openxmlformats.org/drawingml/2006/picture">
                <pic:pic>
                  <pic:nvPicPr>
                    <pic:cNvPr descr="/home/user/SHM-Paper1-1D/manuscript/ase/figures/supplementary/FigS9_norbwim_noise_correlation.png" id="57" name="Picture"/>
                    <pic:cNvPicPr>
                      <a:picLocks noChangeArrowheads="1" noChangeAspect="1"/>
                    </pic:cNvPicPr>
                  </pic:nvPicPr>
                  <pic:blipFill>
                    <a:blip r:embed="rId55"/>
                    <a:stretch>
                      <a:fillRect/>
                    </a:stretch>
                  </pic:blipFill>
                  <pic:spPr bwMode="auto">
                    <a:xfrm>
                      <a:off x="0" y="0"/>
                      <a:ext cx="5579999" cy="2557499"/>
                    </a:xfrm>
                    <a:prstGeom prst="rect">
                      <a:avLst/>
                    </a:prstGeom>
                    <a:noFill/>
                    <a:ln w="9525">
                      <a:noFill/>
                      <a:headEnd/>
                      <a:tailEnd/>
                    </a:ln>
                  </pic:spPr>
                </pic:pic>
              </a:graphicData>
            </a:graphic>
          </wp:inline>
        </w:drawing>
      </w:r>
    </w:p>
    <w:p>
      <w:pPr>
        <w:pStyle w:val="BodyText"/>
      </w:pPr>
      <w:r>
        <w:rPr>
          <w:bCs/>
          <w:b/>
        </w:rPr>
        <w:t xml:space="preserve">Fig. S9.</w:t>
      </w:r>
      <w:r>
        <w:t xml:space="preserve"> </w:t>
      </w:r>
      <w:r>
        <w:t xml:space="preserve">NOR-BWIM: correlation matrices of the integrated vehicle-free noise between gauges, for windows of crossing length; day 1 (12 gauges) and day 2 (4 gauges).</w:t>
      </w:r>
    </w:p>
    <w:p>
      <w:pPr>
        <w:pStyle w:val="BodyText"/>
      </w:pPr>
      <w:r>
        <w:drawing>
          <wp:inline>
            <wp:extent cx="5579999" cy="2479999"/>
            <wp:effectExtent b="0" l="0" r="0" t="0"/>
            <wp:docPr descr="" title="" id="59" name="Picture"/>
            <a:graphic>
              <a:graphicData uri="http://schemas.openxmlformats.org/drawingml/2006/picture">
                <pic:pic>
                  <pic:nvPicPr>
                    <pic:cNvPr descr="/home/user/SHM-Paper1-1D/manuscript/ase/figures/supplementary/FigS10_norbwim_estimators.png" id="60" name="Picture"/>
                    <pic:cNvPicPr>
                      <a:picLocks noChangeArrowheads="1" noChangeAspect="1"/>
                    </pic:cNvPicPr>
                  </pic:nvPicPr>
                  <pic:blipFill>
                    <a:blip r:embed="rId58"/>
                    <a:stretch>
                      <a:fillRect/>
                    </a:stretch>
                  </pic:blipFill>
                  <pic:spPr bwMode="auto">
                    <a:xfrm>
                      <a:off x="0" y="0"/>
                      <a:ext cx="5579999" cy="2479999"/>
                    </a:xfrm>
                    <a:prstGeom prst="rect">
                      <a:avLst/>
                    </a:prstGeom>
                    <a:noFill/>
                    <a:ln w="9525">
                      <a:noFill/>
                      <a:headEnd/>
                      <a:tailEnd/>
                    </a:ln>
                  </pic:spPr>
                </pic:pic>
              </a:graphicData>
            </a:graphic>
          </wp:inline>
        </w:drawing>
      </w:r>
    </w:p>
    <w:p>
      <w:pPr>
        <w:pStyle w:val="BodyText"/>
      </w:pPr>
      <w:r>
        <w:rPr>
          <w:bCs/>
          <w:b/>
        </w:rPr>
        <w:t xml:space="preserve">Fig. S10.</w:t>
      </w:r>
      <w:r>
        <w:t xml:space="preserve"> </w:t>
      </w:r>
      <w:r>
        <w:t xml:space="preserve">NOR-BWIM: mean absolute error of the gross weight for single-gauge, gauge-average, GLS, zero-sum and mean-weight (mean-GVW)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BodyText"/>
      </w:pPr>
      <w:r>
        <w:drawing>
          <wp:inline>
            <wp:extent cx="5579999" cy="2014999"/>
            <wp:effectExtent b="0" l="0" r="0" t="0"/>
            <wp:docPr descr="" title="" id="62" name="Picture"/>
            <a:graphic>
              <a:graphicData uri="http://schemas.openxmlformats.org/drawingml/2006/picture">
                <pic:pic>
                  <pic:nvPicPr>
                    <pic:cNvPr descr="/home/user/SHM-Paper1-1D/manuscript/ase/figures/supplementary/FigS11_norbwim_speed.png" id="63" name="Picture"/>
                    <pic:cNvPicPr>
                      <a:picLocks noChangeArrowheads="1" noChangeAspect="1"/>
                    </pic:cNvPicPr>
                  </pic:nvPicPr>
                  <pic:blipFill>
                    <a:blip r:embed="rId61"/>
                    <a:stretch>
                      <a:fillRect/>
                    </a:stretch>
                  </pic:blipFill>
                  <pic:spPr bwMode="auto">
                    <a:xfrm>
                      <a:off x="0" y="0"/>
                      <a:ext cx="5579999" cy="2014999"/>
                    </a:xfrm>
                    <a:prstGeom prst="rect">
                      <a:avLst/>
                    </a:prstGeom>
                    <a:noFill/>
                    <a:ln w="9525">
                      <a:noFill/>
                      <a:headEnd/>
                      <a:tailEnd/>
                    </a:ln>
                  </pic:spPr>
                </pic:pic>
              </a:graphicData>
            </a:graphic>
          </wp:inline>
        </w:drawing>
      </w:r>
    </w:p>
    <w:p>
      <w:pPr>
        <w:pStyle w:val="BodyText"/>
      </w:pPr>
      <w:r>
        <w:rPr>
          <w:bCs/>
          <w:b/>
        </w:rPr>
        <w:t xml:space="preserve">Fig.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drawing>
          <wp:inline>
            <wp:extent cx="5579999" cy="5889999"/>
            <wp:effectExtent b="0" l="0" r="0" t="0"/>
            <wp:docPr descr="" title="" id="65" name="Picture"/>
            <a:graphic>
              <a:graphicData uri="http://schemas.openxmlformats.org/drawingml/2006/picture">
                <pic:pic>
                  <pic:nvPicPr>
                    <pic:cNvPr descr="/home/user/SHM-Paper1-1D/manuscript/ase/figures/supplementary/FigS12_norbwim_beam_observability.png" id="66" name="Picture"/>
                    <pic:cNvPicPr>
                      <a:picLocks noChangeArrowheads="1" noChangeAspect="1"/>
                    </pic:cNvPicPr>
                  </pic:nvPicPr>
                  <pic:blipFill>
                    <a:blip r:embed="rId64"/>
                    <a:stretch>
                      <a:fillRect/>
                    </a:stretch>
                  </pic:blipFill>
                  <pic:spPr bwMode="auto">
                    <a:xfrm>
                      <a:off x="0" y="0"/>
                      <a:ext cx="5579999" cy="5889999"/>
                    </a:xfrm>
                    <a:prstGeom prst="rect">
                      <a:avLst/>
                    </a:prstGeom>
                    <a:noFill/>
                    <a:ln w="9525">
                      <a:noFill/>
                      <a:headEnd/>
                      <a:tailEnd/>
                    </a:ln>
                  </pic:spPr>
                </pic:pic>
              </a:graphicData>
            </a:graphic>
          </wp:inline>
        </w:drawing>
      </w:r>
    </w:p>
    <w:p>
      <w:pPr>
        <w:pStyle w:val="BodyText"/>
      </w:pPr>
      <w:r>
        <w:rPr>
          <w:bCs/>
          <w:b/>
        </w:rPr>
        <w:t xml:space="preserve">Fig. S12.</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BodyText"/>
      </w:pPr>
      <w:r>
        <w:drawing>
          <wp:inline>
            <wp:extent cx="5579999" cy="2169999"/>
            <wp:effectExtent b="0" l="0" r="0" t="0"/>
            <wp:docPr descr="" title="" id="68" name="Picture"/>
            <a:graphic>
              <a:graphicData uri="http://schemas.openxmlformats.org/drawingml/2006/picture">
                <pic:pic>
                  <pic:nvPicPr>
                    <pic:cNvPr descr="/home/user/SHM-Paper1-1D/manuscript/ase/figures/supplementary/FigS13_veb_synthetic.png" id="69" name="Picture"/>
                    <pic:cNvPicPr>
                      <a:picLocks noChangeArrowheads="1" noChangeAspect="1"/>
                    </pic:cNvPicPr>
                  </pic:nvPicPr>
                  <pic:blipFill>
                    <a:blip r:embed="rId67"/>
                    <a:stretch>
                      <a:fillRect/>
                    </a:stretch>
                  </pic:blipFill>
                  <pic:spPr bwMode="auto">
                    <a:xfrm>
                      <a:off x="0" y="0"/>
                      <a:ext cx="5579999" cy="2169999"/>
                    </a:xfrm>
                    <a:prstGeom prst="rect">
                      <a:avLst/>
                    </a:prstGeom>
                    <a:noFill/>
                    <a:ln w="9525">
                      <a:noFill/>
                      <a:headEnd/>
                      <a:tailEnd/>
                    </a:ln>
                  </pic:spPr>
                </pic:pic>
              </a:graphicData>
            </a:graphic>
          </wp:inline>
        </w:drawing>
      </w:r>
    </w:p>
    <w:p>
      <w:pPr>
        <w:pStyle w:val="BodyText"/>
      </w:pPr>
      <w:r>
        <w:rPr>
          <w:bCs/>
          <w:b/>
        </w:rPr>
        <w:t xml:space="preserve">Fig. S13.</w:t>
      </w:r>
      <w:r>
        <w:t xml:space="preserve"> </w:t>
      </w:r>
      <w:r>
        <w:t xml:space="preserve">Synthetic strain records of the dataset authors: integral per unit gross weight by truck and lane, and for a 3-axle truck against speed.</w:t>
      </w:r>
    </w:p>
    <w:p>
      <w:pPr>
        <w:pStyle w:val="BodyText"/>
      </w:pPr>
      <w:r>
        <w:drawing>
          <wp:inline>
            <wp:extent cx="5579999" cy="2964374"/>
            <wp:effectExtent b="0" l="0" r="0" t="0"/>
            <wp:docPr descr="" title="" id="71" name="Picture"/>
            <a:graphic>
              <a:graphicData uri="http://schemas.openxmlformats.org/drawingml/2006/picture">
                <pic:pic>
                  <pic:nvPicPr>
                    <pic:cNvPr descr="/home/user/SHM-Paper1-1D/manuscript/ase/figures/supplementary/FigS14_caumay_freq_vs_kappa.png" id="72" name="Picture"/>
                    <pic:cNvPicPr>
                      <a:picLocks noChangeArrowheads="1" noChangeAspect="1"/>
                    </pic:cNvPicPr>
                  </pic:nvPicPr>
                  <pic:blipFill>
                    <a:blip r:embed="rId70"/>
                    <a:stretch>
                      <a:fillRect/>
                    </a:stretch>
                  </pic:blipFill>
                  <pic:spPr bwMode="auto">
                    <a:xfrm>
                      <a:off x="0" y="0"/>
                      <a:ext cx="5579999" cy="2964374"/>
                    </a:xfrm>
                    <a:prstGeom prst="rect">
                      <a:avLst/>
                    </a:prstGeom>
                    <a:noFill/>
                    <a:ln w="9525">
                      <a:noFill/>
                      <a:headEnd/>
                      <a:tailEnd/>
                    </a:ln>
                  </pic:spPr>
                </pic:pic>
              </a:graphicData>
            </a:graphic>
          </wp:inline>
        </w:drawing>
      </w:r>
    </w:p>
    <w:p>
      <w:pPr>
        <w:pStyle w:val="BodyText"/>
      </w:pPr>
      <w:r>
        <w:rPr>
          <w:bCs/>
          <w:b/>
        </w:rPr>
        <w:t xml:space="preserve">Fig. S14.</w:t>
      </w:r>
      <w:r>
        <w:t xml:space="preserve"> </w:t>
      </w:r>
      <w:r>
        <w:t xml:space="preserve">Cầu Mây: first, second and third vertical frequencies against the scaled pier stiffness</w:t>
      </w:r>
      <w:r>
        <w:t xml:space="preserve"> </w:t>
      </w:r>
      <m:oMath>
        <m:r>
          <m:t>κ</m:t>
        </m:r>
      </m:oMath>
      <w:r>
        <w:t xml:space="preserve">, for low, base and high mass, with the measured band.</w:t>
      </w:r>
    </w:p>
    <w:p>
      <w:pPr>
        <w:pStyle w:val="BodyText"/>
      </w:pPr>
      <w:r>
        <w:drawing>
          <wp:inline>
            <wp:extent cx="5579999" cy="3938823"/>
            <wp:effectExtent b="0" l="0" r="0" t="0"/>
            <wp:docPr descr="" title="" id="74" name="Picture"/>
            <a:graphic>
              <a:graphicData uri="http://schemas.openxmlformats.org/drawingml/2006/picture">
                <pic:pic>
                  <pic:nvPicPr>
                    <pic:cNvPr descr="/home/user/SHM-Paper1-1D/manuscript/ase/figures/supplementary/FigS15_caumay_alpha_k_map.png" id="75" name="Picture"/>
                    <pic:cNvPicPr>
                      <a:picLocks noChangeArrowheads="1" noChangeAspect="1"/>
                    </pic:cNvPicPr>
                  </pic:nvPicPr>
                  <pic:blipFill>
                    <a:blip r:embed="rId73"/>
                    <a:stretch>
                      <a:fillRect/>
                    </a:stretch>
                  </pic:blipFill>
                  <pic:spPr bwMode="auto">
                    <a:xfrm>
                      <a:off x="0" y="0"/>
                      <a:ext cx="5579999" cy="3938823"/>
                    </a:xfrm>
                    <a:prstGeom prst="rect">
                      <a:avLst/>
                    </a:prstGeom>
                    <a:noFill/>
                    <a:ln w="9525">
                      <a:noFill/>
                      <a:headEnd/>
                      <a:tailEnd/>
                    </a:ln>
                  </pic:spPr>
                </pic:pic>
              </a:graphicData>
            </a:graphic>
          </wp:inline>
        </w:drawing>
      </w:r>
    </w:p>
    <w:p>
      <w:pPr>
        <w:pStyle w:val="BodyText"/>
      </w:pPr>
      <w:r>
        <w:rPr>
          <w:bCs/>
          <w:b/>
        </w:rPr>
        <w:t xml:space="preserve">Fig. S15.</w:t>
      </w:r>
      <w:r>
        <w:t xml:space="preserve"> </w:t>
      </w:r>
      <w:r>
        <w:t xml:space="preserve">Cầu Mây: static misfit over the rigidity factor α and the pier stiffness k, with contours of the third vertical frequency equal to the measured values.</w:t>
      </w:r>
    </w:p>
    <w:p>
      <w:pPr>
        <w:pStyle w:val="BodyText"/>
      </w:pPr>
      <w:r>
        <w:drawing>
          <wp:inline>
            <wp:extent cx="5579999" cy="2049877"/>
            <wp:effectExtent b="0" l="0" r="0" t="0"/>
            <wp:docPr descr="" title="" id="77" name="Picture"/>
            <a:graphic>
              <a:graphicData uri="http://schemas.openxmlformats.org/drawingml/2006/picture">
                <pic:pic>
                  <pic:nvPicPr>
                    <pic:cNvPr descr="/home/user/SHM-Paper1-1D/manuscript/ase/figures/supplementary/FigS16_giecuc_phuongdo_baseline.png" id="78" name="Picture"/>
                    <pic:cNvPicPr>
                      <a:picLocks noChangeArrowheads="1" noChangeAspect="1"/>
                    </pic:cNvPicPr>
                  </pic:nvPicPr>
                  <pic:blipFill>
                    <a:blip r:embed="rId76"/>
                    <a:stretch>
                      <a:fillRect/>
                    </a:stretch>
                  </pic:blipFill>
                  <pic:spPr bwMode="auto">
                    <a:xfrm>
                      <a:off x="0" y="0"/>
                      <a:ext cx="5579999" cy="2049877"/>
                    </a:xfrm>
                    <a:prstGeom prst="rect">
                      <a:avLst/>
                    </a:prstGeom>
                    <a:noFill/>
                    <a:ln w="9525">
                      <a:noFill/>
                      <a:headEnd/>
                      <a:tailEnd/>
                    </a:ln>
                  </pic:spPr>
                </pic:pic>
              </a:graphicData>
            </a:graphic>
          </wp:inline>
        </w:drawing>
      </w:r>
    </w:p>
    <w:p>
      <w:pPr>
        <w:pStyle w:val="BodyText"/>
      </w:pPr>
      <w:r>
        <w:rPr>
          <w:bCs/>
          <w:b/>
        </w:rPr>
        <w:t xml:space="preserve">Fig.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BodyText"/>
      </w:pPr>
      <w:r>
        <w:drawing>
          <wp:inline>
            <wp:extent cx="5579999" cy="5299194"/>
            <wp:effectExtent b="0" l="0" r="0" t="0"/>
            <wp:docPr descr="" title="" id="80" name="Picture"/>
            <a:graphic>
              <a:graphicData uri="http://schemas.openxmlformats.org/drawingml/2006/picture">
                <pic:pic>
                  <pic:nvPicPr>
                    <pic:cNvPr descr="/home/user/SHM-Paper1-1D/manuscript/ase/figures/supplementary/FigS17_giecuc_phuongdo_lowpass.png" id="81" name="Picture"/>
                    <pic:cNvPicPr>
                      <a:picLocks noChangeArrowheads="1" noChangeAspect="1"/>
                    </pic:cNvPicPr>
                  </pic:nvPicPr>
                  <pic:blipFill>
                    <a:blip r:embed="rId79"/>
                    <a:stretch>
                      <a:fillRect/>
                    </a:stretch>
                  </pic:blipFill>
                  <pic:spPr bwMode="auto">
                    <a:xfrm>
                      <a:off x="0" y="0"/>
                      <a:ext cx="5579999" cy="5299194"/>
                    </a:xfrm>
                    <a:prstGeom prst="rect">
                      <a:avLst/>
                    </a:prstGeom>
                    <a:noFill/>
                    <a:ln w="9525">
                      <a:noFill/>
                      <a:headEnd/>
                      <a:tailEnd/>
                    </a:ln>
                  </pic:spPr>
                </pic:pic>
              </a:graphicData>
            </a:graphic>
          </wp:inline>
        </w:drawing>
      </w:r>
    </w:p>
    <w:p>
      <w:pPr>
        <w:pStyle w:val="BodyText"/>
      </w:pPr>
      <w:r>
        <w:rPr>
          <w:bCs/>
          <w:b/>
        </w:rPr>
        <w:t xml:space="preserve">Fig. S17.</w:t>
      </w:r>
      <w:r>
        <w:t xml:space="preserve"> </w:t>
      </w:r>
      <w:r>
        <w:t xml:space="preserve">The same records: (a) deflection relative to the linear baseline, unfiltered and low-pass filtered at 2 Hz; (b) dynamic residual removed by the low-pass filter.</w:t>
      </w:r>
    </w:p>
    <w:bookmarkEnd w:id="82"/>
    <w:bookmarkEnd w:id="83"/>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2026-10-19T10:02:14Z</dcterms:created>
  <dcterms:modified xsi:type="dcterms:W3CDTF">2026-10-19T10:02:14Z</dcterms:modified>
</cp:coreProperties>
</file>

<file path=docProps/custom.xml><?xml version="1.0" encoding="utf-8"?>
<Properties xmlns="http://schemas.openxmlformats.org/officeDocument/2006/custom-properties" xmlns:vt="http://schemas.openxmlformats.org/officeDocument/2006/docPropsVTypes"/>
</file>