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loci and sensor layout for influence-area bridge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weighing divides a record’s area by an integral constant, which can vanish on continuous girders because influence lines change sign. Strain gauges measuring global bending are blind at every zero of the uniform-load moment and nearly blind 0.19–0.32 of the span from the interior support on two equal spans. For position-independent noise, optimal sensors lie at the extremes of the uniform-load response; on one day of public records, weighting by vehicle-free noise raised the error 8.5 percentage points above the gauge average. For symmetric girders with equal piers the constant is linear-fractional in pier stiffness; on an in-service box girder, two static readings leave the side-span deflection constant uncertain by a factor of 6.6 against 1.5 at mid main span (base model), or 2.4 against 1.1 with girder rigidity bounded to 0.9–1.3 times design. A laboratory test is consistent with the influence-area identity. On this girder, a single deflection gauge belongs at mid main span, and a model-based side-span constant needs identified pier stiffness, for example from a pier tiltmeter.</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conditions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contributions lie in the criteria built on them. (i)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Extreme-point optimal design (Elfving, 1952; Pukelsheim, 2006) gives a closed-form placement rule for the gross weight, whereas Zhou et al. (2025) optimized sensors numerically for axle-force histories: for position-independent noise, optimal sensors lie at the extremes of the uniform-load response; the rule itself is not tested in the field. On one day of public records, GLS weights from vehicle-free noise did worse than the gauge average (Section 4.3). (iii) For a symmetric girder with equal piers, the constant depends on pier stiffness through a linear-fractional (Möbius) law, a consequence of the Sherman–Morrison formula (Sherman and Morrison, 1950), and on an in-service box girder two static readings leave the constant of a side-span deflection gauge uncertain by a factor of 6.6 against 1.5 for the main-span constant from the static data alone (base model), and 2.4 against 1.1 with girder rigidity bounded to 0.9–1.3 times design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rPr>
                <m:t>ln</m:t>
              </m:r>
              <m:sSub>
                <m:e>
                  <m:r>
                    <m:t>C</m:t>
                  </m:r>
                </m:e>
                <m:sub>
                  <m:r>
                    <m:t>m</m:t>
                  </m:r>
                </m:sub>
              </m:sSub>
              <m:r>
                <m:rPr>
                  <m:sty m:val="p"/>
                </m:rPr>
                <m:t>/</m:t>
              </m:r>
              <m:r>
                <m:rPr>
                  <m:sty m:val="p"/>
                </m:rPr>
                <m:t>∂</m:t>
              </m:r>
              <m:r>
                <m:rPr>
                  <m:sty m:val="p"/>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(8)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an end span, a deflection blind point therefore exists only for</w:t>
      </w:r>
      <w:r>
        <w:t xml:space="preserve"> </w:t>
      </w:r>
      <m:oMath>
        <m:r>
          <m:t>1</m:t>
        </m:r>
        <m:r>
          <m:rPr>
            <m:sty m:val="p"/>
          </m:rPr>
          <m:t>&lt;</m:t>
        </m:r>
        <m:r>
          <m:t>μ</m:t>
        </m:r>
        <m:r>
          <m:rPr>
            <m:sty m:val="p"/>
          </m:rPr>
          <m:t>&lt;</m:t>
        </m:r>
        <m:r>
          <m:t>2</m:t>
        </m:r>
      </m:oMath>
      <w:r>
        <w:t xml:space="preserve">. In design terms, an end-span deflection gauge cannot be blind on a girder of equal spans and rigidities; blindness there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that raises the interior support moment above its value for two equal spans (</w:t>
      </w:r>
      <m:oMath>
        <m:r>
          <m:t>μ</m:t>
        </m:r>
        <m:r>
          <m:rPr>
            <m:sty m:val="p"/>
          </m:rPr>
          <m:t>=</m:t>
        </m:r>
        <m:r>
          <m:t>1</m:t>
        </m:r>
      </m:oMath>
      <w:r>
        <w:t xml:space="preserve">) but not to twice that value. The main span of a symmetric three-span girder of uniform rigidity behaves differently: it has deflection blind points for</w:t>
      </w:r>
      <w:r>
        <w:t xml:space="preserve"> </w:t>
      </w:r>
      <m:oMath>
        <m:r>
          <m:t>0.9647</m:t>
        </m:r>
        <m:r>
          <m:rPr>
            <m:sty m:val="p"/>
          </m:rPr>
          <m:t>≤</m:t>
        </m:r>
        <m:r>
          <m:t>β</m:t>
        </m:r>
        <m:r>
          <m:rPr>
            <m:sty m:val="p"/>
          </m:rPr>
          <m:t>&lt;</m:t>
        </m:r>
        <m:r>
          <m:t>1.2247</m:t>
        </m:r>
      </m:oMath>
      <w:r>
        <w:t xml:space="preserve">, including three equal spans, where they lie 0.276 of the span from each pier and</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(Supplementary Section S2). The resulting blind span ratios, for example</w:t>
      </w:r>
      <w:r>
        <w:t xml:space="preserve"> </w:t>
      </w:r>
      <m:oMath>
        <m:r>
          <m:t>λ</m:t>
        </m:r>
        <m:r>
          <m:rPr>
            <m:sty m:val="p"/>
          </m:rPr>
          <m:t>=</m:t>
        </m:r>
        <m:r>
          <m:t>1.4574</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a symmetric three-span beam, are listed in Table 1; their closed forms, the optimal deflection-gauge position on two equal spans and the edges of the near-blind bands are in Supplementary Section S2 (Eqs. (S1) and (S2), Tables S2 and S3). A channel is called near-blind when its indicator (Section 2.3) is below 0.2 in magnitude (Fig. 2).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w:t>
      </w:r>
      <w:r>
        <w:t xml:space="preserve"> </w:t>
      </w:r>
      <m:oMath>
        <m:sSub>
          <m:e>
            <m:r>
              <m:t>P</m:t>
            </m:r>
          </m:e>
          <m:sub>
            <m:r>
              <m:t>δ</m:t>
            </m:r>
          </m:sub>
        </m:sSub>
        <m:r>
          <m:rPr>
            <m:sty m:val="p"/>
          </m:rPr>
          <m:t>=</m:t>
        </m:r>
        <m:sSub>
          <m:e>
            <m:r>
              <m:t>δ</m:t>
            </m:r>
          </m:e>
          <m:sub>
            <m:r>
              <m:t>0</m:t>
            </m:r>
          </m:sub>
        </m:sSub>
        <m:sSub>
          <m:e>
            <m:r>
              <m:t>L</m:t>
            </m:r>
          </m:e>
          <m:sub>
            <m:r>
              <m:rPr>
                <m:sty m:val="p"/>
              </m:rPr>
              <m:t>tot</m:t>
            </m:r>
          </m:sub>
        </m:sSub>
        <m:r>
          <m:rPr>
            <m:sty m:val="p"/>
          </m:rPr>
          <m:t>/</m:t>
        </m:r>
        <m:r>
          <m:t>C</m:t>
        </m:r>
      </m:oMath>
      <w:r>
        <w:t xml:space="preserve"> </w:t>
      </w:r>
      <w:r>
        <w:t xml:space="preserve">in Eq. (10), for the same offset and record length an indicator of 0.2 multiplies the offset-equivalent load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sSub>
          <m:e>
            <m:r>
              <m:t>P</m:t>
            </m:r>
          </m:e>
          <m:sub>
            <m:r>
              <m:rPr>
                <m:sty m:val="p"/>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rPr>
              <m:t>tot</m:t>
            </m:r>
          </m:sub>
        </m:sSub>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w:t>
      </w:r>
      <m:oMath>
        <m:sSub>
          <m:e>
            <m:r>
              <m:t>θ</m:t>
            </m:r>
          </m:e>
          <m:sub>
            <m:r>
              <m:t>6</m:t>
            </m:r>
          </m:sub>
        </m:sSub>
        <m:r>
          <m:rPr>
            <m:sty m:val="p"/>
          </m:rPr>
          <m:t>=</m:t>
        </m:r>
        <m:r>
          <m:rPr>
            <m:sty m:val="p"/>
          </m:rPr>
          <m:t>−</m:t>
        </m:r>
        <m:sSub>
          <m:e>
            <m:r>
              <m:t>θ</m:t>
            </m:r>
          </m:e>
          <m:sub>
            <m:r>
              <m:t>7</m:t>
            </m:r>
          </m:sub>
        </m:sSub>
      </m:oMath>
      <w:r>
        <w:t xml:space="preserve">, with the pier labels of Section 5,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(mean absolute error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Two static readings leave the constant of the side-span gauge N8 uncertain by a factor of 6.6 against 1.5 for the main-span constant when the effective rigidity</w:t>
      </w:r>
      <w:r>
        <w:t xml:space="preserve"> </w:t>
      </w:r>
      <m:oMath>
        <m:r>
          <m:t>α</m:t>
        </m:r>
      </m:oMath>
      <w:r>
        <w:t xml:space="preserve"> </w:t>
      </w:r>
      <w:r>
        <w:t xml:space="preserve">is free (tolerance</w:t>
      </w:r>
      <w:r>
        <w:t xml:space="preserve"> </w:t>
      </w:r>
      <m:oMath>
        <m:r>
          <m:t>τ</m:t>
        </m:r>
      </m:oMath>
      <w:r>
        <w:t xml:space="preserve"> </w:t>
      </w:r>
      <w:r>
        <w:t xml:space="preserve">= 5.3 %), and by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and</w:t>
      </w:r>
      <w:r>
        <w:t xml:space="preserve"> </w:t>
      </w:r>
      <m:oMath>
        <m:r>
          <m:t>α</m:t>
        </m:r>
      </m:oMath>
      <w:r>
        <w:t xml:space="preserve"> </w:t>
      </w:r>
      <w:r>
        <w:t xml:space="preserve">is an effective parameter (Section 5.1). The factor is carried by</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over the admissible set defined below;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rigidity factor that best fits both readings at given</w:t>
      </w:r>
      <w:r>
        <w:t xml:space="preserve"> </w:t>
      </w:r>
      <m:oMath>
        <m:r>
          <m:t>κ</m:t>
        </m:r>
      </m:oMath>
      <w:r>
        <w:t xml:space="preserve"> </w:t>
      </w:r>
      <w:r>
        <w:t xml:space="preserve">(log least squares; equal and opposite log misfits at N8 and N7).</w:t>
      </w:r>
    </w:p>
    <w:p>
      <w:pPr>
        <w:pStyle w:val="BodyText"/>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rPr>
          <m:t>ln</m:t>
        </m:r>
        <m:sSub>
          <m:e>
            <m:r>
              <m:t>C</m:t>
            </m:r>
          </m:e>
          <m:sub>
            <m:r>
              <m:t>8</m:t>
            </m:r>
          </m:sub>
        </m:sSub>
      </m:oMath>
      <w:r>
        <w:t xml:space="preserve"> </w:t>
      </w:r>
      <w:r>
        <w:t xml:space="preserve">falls from 0.87 with the two deflections to 0.18 with the tiltmeter. The bound assumes standard uncertainties of 2.64 % per deflection and 3 % for the pier rotation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side-span deflection constant uncertain by a factor of 6.6 against 1.5 for the main-span constant in the base model, or 2.4 against 1.1 with girder rigidity bounded to 0.9–1.3 times design;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12–27 %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2026-10-20T12:39:05Z</dcterms:created>
  <dcterms:modified xsi:type="dcterms:W3CDTF">2026-10-20T12:39:05Z</dcterms:modified>
</cp:coreProperties>
</file>

<file path=docProps/custom.xml><?xml version="1.0" encoding="utf-8"?>
<Properties xmlns="http://schemas.openxmlformats.org/officeDocument/2006/custom-properties" xmlns:vt="http://schemas.openxmlformats.org/officeDocument/2006/docPropsVTypes"/>
</file>