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Observability and sensor layout for influence-area load monitoring of continuous girder bridges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two- and three-span and haunched girders, with indicators that need no reference rigidity, showing that strain gauges are blind at every zero of the uniform-load moment and nearly blind in a band that can contain gauges set back from the piers;</w:t>
      </w:r>
    </w:p>
    <w:p>
      <w:pPr>
        <w:numPr>
          <w:ilvl w:val="0"/>
          <w:numId w:val="1001"/>
        </w:numPr>
        <w:pStyle w:val="BodyText"/>
      </w:pPr>
      <w:r>
        <w:t xml:space="preserve">a placement rule, optimal sensors at the extremes of the uniform-load response, together with a field finding from public moving-truck records that weighting gauges by their vehicle-free noise covariance raises the out-of-sample error above that of a plain gauge average;</w:t>
      </w:r>
    </w:p>
    <w:p>
      <w:pPr>
        <w:numPr>
          <w:ilvl w:val="0"/>
          <w:numId w:val="1001"/>
        </w:numPr>
        <w:pStyle w:val="BodyText"/>
      </w:pPr>
      <w:r>
        <w:t xml:space="preserve">an identifiability analysis under uncertain pier stiffness, in which the constant follows a linear-fractional (Möbius) law, applied to an in-service 55 + 90 + 55 m box girder: its side-span deflection constant is not identifiable from static acceptance data, the main-span constant is, and a pier tiltmeter is the most informative additional measurement.</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Cai and Deng (2016), and cites recent studies in the journal on vehicle-weight identification (Hao et al., 2019; Zuo et al., 2019) and on influence-line identification and model updating (Lin et al., 2023; Wang et al., 2026). It is about 11,000 word-equivalents with 7 figures and 4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2026-10-19T16:30:31Z</dcterms:created>
  <dcterms:modified xsi:type="dcterms:W3CDTF">2026-10-19T16:30:31Z</dcterms:modified>
</cp:coreProperties>
</file>

<file path=docProps/custom.xml><?xml version="1.0" encoding="utf-8"?>
<Properties xmlns="http://schemas.openxmlformats.org/officeDocument/2006/custom-properties" xmlns:vt="http://schemas.openxmlformats.org/officeDocument/2006/docPropsVTypes"/>
</file>