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Blind spots and sensor placement for influence-area weigh-in-motion on continuous girders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452"/>
        <w:gridCol w:w="5617"/>
      </w:tblGrid>
      <w:tr>
        <w:trPr>
          <w:tblHeader w:val="true"/>
          <w:tblHeader w:val="true"/>
          <w:cantSplit/>
        </w:trPr>
        <w:tc>
          <w:tcPr>
            <w:tcW w:type="dxa" w:w="3452"/>
            <w:tcBorders>
              <w:top w:val="nil"/>
              <w:left w:val="nil"/>
              <w:bottom w:val="single" w:sz="6" w:space="0" w:color="000000"/>
              <w:right w:val="nil"/>
            </w:tcBorders>
          </w:tcPr>
          <w:p>
            <w:pPr>
              <w:pStyle w:val="Compact"/>
              <w:jc w:val="left"/>
            </w:pPr>
            <w:r>
              <w:t xml:space="preserve">Symbol</w:t>
            </w:r>
          </w:p>
        </w:tc>
        <w:tc>
          <w:tcPr>
            <w:tcW w:type="dxa" w:w="5617"/>
            <w:tcBorders>
              <w:top w:val="nil"/>
              <w:left w:val="nil"/>
              <w:bottom w:val="single" w:sz="6" w:space="0" w:color="000000"/>
              <w:right w:val="nil"/>
            </w:tcBorders>
          </w:tcPr>
          <w:p>
            <w:pPr>
              <w:pStyle w:val="Compact"/>
              <w:jc w:val="left"/>
            </w:pPr>
            <w:r>
              <w:t xml:space="preserve">Meaning</w:t>
            </w:r>
          </w:p>
        </w:tc>
      </w:tr>
      <w:tr>
        <w:trPr>
          <w:cantSplit/>
        </w:trPr>
        <w:tc>
          <w:tcPr>
            <w:tcW w:type="dxa" w:w="3452"/>
          </w:tcPr>
          <w:p>
            <w:pPr>
              <w:pStyle w:val="Compact"/>
              <w:jc w:val="left"/>
            </w:pPr>
            <m:oMath>
              <m:sSup>
                <m:e>
                  <m:r>
                    <m:t>A</m:t>
                  </m:r>
                </m:e>
                <m:sup>
                  <m:r>
                    <m:rPr>
                      <m:nor/>
                    </m:rPr>
                    <m:t>+</m:t>
                  </m:r>
                </m:sup>
              </m:sSup>
            </m:oMath>
            <w:r>
              <w:t xml:space="preserve">,</w:t>
            </w:r>
            <w:r>
              <w:t xml:space="preserve"> </w:t>
            </w:r>
            <m:oMath>
              <m:sSup>
                <m:e>
                  <m:r>
                    <m:t>A</m:t>
                  </m:r>
                </m:e>
                <m:sup>
                  <m:r>
                    <m:rPr>
                      <m:nor/>
                    </m:rPr>
                    <m:t>−</m:t>
                  </m:r>
                </m:sup>
              </m:sSup>
            </m:oMath>
          </w:p>
        </w:tc>
        <w:tc>
          <w:tcPr>
            <w:tcW w:type="dxa" w:w="5617"/>
          </w:tcPr>
          <w:p>
            <w:pPr>
              <w:pStyle w:val="Compact"/>
              <w:jc w:val="left"/>
            </w:pPr>
            <w:r>
              <w:t xml:space="preserve">positive and negative parts of the area under an influence line, Eq. (9)</w:t>
            </w:r>
          </w:p>
        </w:tc>
      </w:tr>
      <w:tr>
        <w:trPr>
          <w:cantSplit/>
        </w:trPr>
        <w:tc>
          <w:tcPr>
            <w:tcW w:type="dxa" w:w="3452"/>
          </w:tcPr>
          <w:p>
            <w:pPr>
              <w:pStyle w:val="Compact"/>
              <w:jc w:val="left"/>
            </w:pPr>
            <m:oMath>
              <m:r>
                <m:t>a</m:t>
              </m:r>
            </m:oMath>
          </w:p>
        </w:tc>
        <w:tc>
          <w:tcPr>
            <w:tcW w:type="dxa" w:w="5617"/>
          </w:tcPr>
          <w:p>
            <w:pPr>
              <w:pStyle w:val="Compact"/>
              <w:jc w:val="left"/>
            </w:pPr>
            <w:r>
              <w:t xml:space="preserve">vector of channel weights of a multi-channel estimator</w:t>
            </w:r>
          </w:p>
        </w:tc>
      </w:tr>
      <w:tr>
        <w:trPr>
          <w:cantSplit/>
        </w:trPr>
        <w:tc>
          <w:tcPr>
            <w:tcW w:type="dxa" w:w="3452"/>
          </w:tcPr>
          <w:p>
            <w:pPr>
              <w:pStyle w:val="Compact"/>
              <w:jc w:val="left"/>
            </w:pPr>
            <m:oMath>
              <m:r>
                <m:t>b</m:t>
              </m:r>
            </m:oMath>
          </w:p>
        </w:tc>
        <w:tc>
          <w:tcPr>
            <w:tcW w:type="dxa" w:w="5617"/>
          </w:tcPr>
          <w:p>
            <w:pPr>
              <w:pStyle w:val="Compact"/>
              <w:jc w:val="left"/>
            </w:pPr>
            <w:r>
              <w:t xml:space="preserve">relative bias of the load caused by a residual offset, Eq. (10)</w:t>
            </w:r>
          </w:p>
        </w:tc>
      </w:tr>
      <w:tr>
        <w:trPr>
          <w:cantSplit/>
        </w:trPr>
        <w:tc>
          <w:tcPr>
            <w:tcW w:type="dxa" w:w="3452"/>
          </w:tcPr>
          <w:p>
            <w:pPr>
              <w:pStyle w:val="Compact"/>
              <w:jc w:val="left"/>
            </w:pPr>
            <m:oMath>
              <m:sSub>
                <m:e>
                  <m:r>
                    <m:t>B</m:t>
                  </m:r>
                </m:e>
                <m:sub>
                  <m:r>
                    <m:t>m</m:t>
                  </m:r>
                </m:sub>
              </m:sSub>
            </m:oMath>
          </w:p>
        </w:tc>
        <w:tc>
          <w:tcPr>
            <w:tcW w:type="dxa" w:w="5617"/>
          </w:tcPr>
          <w:p>
            <w:pPr>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345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5617"/>
          </w:tcPr>
          <w:p>
            <w:pPr>
              <w:pStyle w:val="Compact"/>
              <w:jc w:val="left"/>
            </w:pPr>
            <w:r>
              <w:t xml:space="preserve">integral constant for pinned and for fixed piers at</w:t>
            </w:r>
            <w:r>
              <w:t xml:space="preserve"> </w:t>
            </w:r>
            <m:oMath>
              <m:r>
                <m:t>α</m:t>
              </m:r>
              <m:r>
                <m:rPr>
                  <m:sty m:val="p"/>
                </m:rPr>
                <m:t>=</m:t>
              </m:r>
              <m:r>
                <m:t>1</m:t>
              </m:r>
            </m:oMath>
            <w:r>
              <w:t xml:space="preserve">, Eq. (13)</w:t>
            </w:r>
          </w:p>
        </w:tc>
      </w:tr>
      <w:tr>
        <w:trPr>
          <w:cantSplit/>
        </w:trPr>
        <w:tc>
          <w:tcPr>
            <w:tcW w:type="dxa" w:w="3452"/>
          </w:tcPr>
          <w:p>
            <w:pPr>
              <w:pStyle w:val="Compact"/>
              <w:jc w:val="left"/>
            </w:pPr>
            <m:oMath>
              <m:sSub>
                <m:e>
                  <m:r>
                    <m:t>C</m:t>
                  </m:r>
                </m:e>
                <m:sub>
                  <m:r>
                    <m:t>m</m:t>
                  </m:r>
                </m:sub>
              </m:sSub>
            </m:oMath>
          </w:p>
        </w:tc>
        <w:tc>
          <w:tcPr>
            <w:tcW w:type="dxa" w:w="561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3452"/>
          </w:tcPr>
          <w:p>
            <w:pPr>
              <w:pStyle w:val="Compact"/>
              <w:jc w:val="left"/>
            </w:pPr>
            <m:oMath>
              <m:acc>
                <m:accPr>
                  <m:chr m:val="¯"/>
                </m:accPr>
                <m:e>
                  <m:r>
                    <m:t>C</m:t>
                  </m:r>
                </m:e>
              </m:acc>
            </m:oMath>
          </w:p>
        </w:tc>
        <w:tc>
          <w:tcPr>
            <w:tcW w:type="dxa" w:w="5617"/>
          </w:tcPr>
          <w:p>
            <w:pPr>
              <w:pStyle w:val="Compact"/>
              <w:jc w:val="left"/>
            </w:pPr>
            <w:r>
              <w:t xml:space="preserve">mean of the channel constants</w:t>
            </w:r>
            <w:r>
              <w:t xml:space="preserve"> </w:t>
            </w:r>
            <m:oMath>
              <m:sSub>
                <m:e>
                  <m:r>
                    <m:t>C</m:t>
                  </m:r>
                </m:e>
                <m:sub>
                  <m:r>
                    <m:t>j</m:t>
                  </m:r>
                </m:sub>
              </m:sSub>
            </m:oMath>
            <w:r>
              <w:t xml:space="preserve">, Eq. (12)</w:t>
            </w:r>
          </w:p>
        </w:tc>
      </w:tr>
      <w:tr>
        <w:trPr>
          <w:cantSplit/>
        </w:trPr>
        <w:tc>
          <w:tcPr>
            <w:tcW w:type="dxa" w:w="345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5617"/>
          </w:tcPr>
          <w:p>
            <w:pPr>
              <w:pStyle w:val="Compact"/>
              <w:jc w:val="left"/>
            </w:pPr>
            <w:r>
              <w:t xml:space="preserve">integral constant of a strain, rotation and shear channel</w:t>
            </w:r>
          </w:p>
        </w:tc>
      </w:tr>
      <w:tr>
        <w:trPr>
          <w:cantSplit/>
        </w:trPr>
        <w:tc>
          <w:tcPr>
            <w:tcW w:type="dxa" w:w="3452"/>
          </w:tcPr>
          <w:p>
            <w:pPr>
              <w:pStyle w:val="Compact"/>
              <w:jc w:val="left"/>
            </w:pPr>
            <m:oMath>
              <m:r>
                <m:t>c</m:t>
              </m:r>
            </m:oMath>
            <w:r>
              <w:t xml:space="preserve">,</w:t>
            </w:r>
            <w:r>
              <w:t xml:space="preserve"> </w:t>
            </w:r>
            <m:oMath>
              <m:sSub>
                <m:e>
                  <m:r>
                    <m:t>c</m:t>
                  </m:r>
                </m:e>
                <m:sub>
                  <m:r>
                    <m:t>m</m:t>
                  </m:r>
                </m:sub>
              </m:sSub>
            </m:oMath>
          </w:p>
        </w:tc>
        <w:tc>
          <w:tcPr>
            <w:tcW w:type="dxa" w:w="5617"/>
          </w:tcPr>
          <w:p>
            <w:pPr>
              <w:pStyle w:val="Compact"/>
              <w:jc w:val="left"/>
            </w:pPr>
            <w:r>
              <w:t xml:space="preserve">distance of the gauged fiber from the neutral axis (m); its value at the sensor, Eq. (3)</w:t>
            </w:r>
          </w:p>
        </w:tc>
      </w:tr>
      <w:tr>
        <w:trPr>
          <w:cantSplit/>
        </w:trPr>
        <w:tc>
          <w:tcPr>
            <w:tcW w:type="dxa" w:w="3452"/>
          </w:tcPr>
          <w:p>
            <w:pPr>
              <w:pStyle w:val="Compact"/>
              <w:jc w:val="left"/>
            </w:pPr>
            <m:oMath>
              <m:sSub>
                <m:e>
                  <m:r>
                    <m:t>d</m:t>
                  </m:r>
                </m:e>
                <m:sub>
                  <m:r>
                    <m:t>i</m:t>
                  </m:r>
                </m:sub>
              </m:sSub>
            </m:oMath>
            <w:r>
              <w:t xml:space="preserve">,</w:t>
            </w:r>
            <w:r>
              <w:t xml:space="preserve"> </w:t>
            </w:r>
            <m:oMath>
              <m:sSub>
                <m:e>
                  <m:r>
                    <m:t>d</m:t>
                  </m:r>
                </m:e>
                <m:sub>
                  <m:r>
                    <m:rPr>
                      <m:sty m:val="p"/>
                      <m:nor/>
                    </m:rPr>
                    <m:t>max</m:t>
                  </m:r>
                </m:sub>
              </m:sSub>
            </m:oMath>
          </w:p>
        </w:tc>
        <w:tc>
          <w:tcPr>
            <w:tcW w:type="dxa" w:w="5617"/>
          </w:tcPr>
          <w:p>
            <w:pPr>
              <w:pStyle w:val="Compact"/>
              <w:jc w:val="left"/>
            </w:pPr>
            <w:r>
              <w:t xml:space="preserve">distance of axle</w:t>
            </w:r>
            <w:r>
              <w:t xml:space="preserve"> </w:t>
            </w:r>
            <m:oMath>
              <m:r>
                <m:t>i</m:t>
              </m:r>
            </m:oMath>
            <w:r>
              <w:t xml:space="preserve"> </w:t>
            </w:r>
            <w:r>
              <w:t xml:space="preserve">behind the first axle; largest axle offset, Eq. (2) (m)</w:t>
            </w:r>
          </w:p>
        </w:tc>
      </w:tr>
      <w:tr>
        <w:trPr>
          <w:cantSplit/>
        </w:trPr>
        <w:tc>
          <w:tcPr>
            <w:tcW w:type="dxa" w:w="3452"/>
          </w:tcPr>
          <w:p>
            <w:pPr>
              <w:pStyle w:val="Compact"/>
              <w:jc w:val="left"/>
            </w:pPr>
            <m:oMath>
              <m:r>
                <m:t>E</m:t>
              </m:r>
              <m:r>
                <m:t>I</m:t>
              </m:r>
            </m:oMath>
            <w:r>
              <w:t xml:space="preserve">,</w:t>
            </w:r>
            <w:r>
              <w:t xml:space="preserve"> </w:t>
            </w:r>
            <m:oMath>
              <m:r>
                <m:t>E</m:t>
              </m:r>
              <m:sSub>
                <m:e>
                  <m:r>
                    <m:t>I</m:t>
                  </m:r>
                </m:e>
                <m:sub>
                  <m:r>
                    <m:t>m</m:t>
                  </m:r>
                </m:sub>
              </m:sSub>
            </m:oMath>
            <w:r>
              <w:t xml:space="preserve">,</w:t>
            </w:r>
            <w:r>
              <w:t xml:space="preserve"> </w:t>
            </w:r>
            <m:oMath>
              <m:r>
                <m:t>E</m:t>
              </m:r>
              <m:sSub>
                <m:e>
                  <m:r>
                    <m:t>I</m:t>
                  </m:r>
                </m:e>
                <m:sub>
                  <m:r>
                    <m:rPr>
                      <m:sty m:val="p"/>
                      <m:nor/>
                    </m:rPr>
                    <m:t>mid</m:t>
                  </m:r>
                </m:sub>
              </m:sSub>
            </m:oMath>
            <w:r>
              <w:t xml:space="preserve">,</w:t>
            </w:r>
            <w:r>
              <w:t xml:space="preserve"> </w:t>
            </w:r>
            <m:oMath>
              <m:r>
                <m:t>E</m:t>
              </m:r>
              <m:sSub>
                <m:e>
                  <m:r>
                    <m:t>I</m:t>
                  </m:r>
                </m:e>
                <m:sub>
                  <m:r>
                    <m:rPr>
                      <m:sty m:val="p"/>
                      <m:nor/>
                    </m:rPr>
                    <m:t>ref</m:t>
                  </m:r>
                </m:sub>
              </m:sSub>
            </m:oMath>
          </w:p>
        </w:tc>
        <w:tc>
          <w:tcPr>
            <w:tcW w:type="dxa" w:w="5617"/>
          </w:tcPr>
          <w:p>
            <w:pPr>
              <w:pStyle w:val="Compact"/>
              <w:jc w:val="left"/>
            </w:pPr>
            <w:r>
              <w:t xml:space="preserve">flexural rigidity; its value at the sensor, Eq. (3);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3452"/>
          </w:tcPr>
          <w:p>
            <w:pPr>
              <w:pStyle w:val="Compact"/>
              <w:jc w:val="left"/>
            </w:pPr>
            <m:oMath>
              <m:sSub>
                <m:e>
                  <m:r>
                    <m:t>F</m:t>
                  </m:r>
                </m:e>
                <m:sub>
                  <m:r>
                    <m:t>A</m:t>
                  </m:r>
                </m:sub>
              </m:sSub>
            </m:oMath>
          </w:p>
        </w:tc>
        <w:tc>
          <w:tcPr>
            <w:tcW w:type="dxa" w:w="5617"/>
          </w:tcPr>
          <w:p>
            <w:pPr>
              <w:pStyle w:val="Compact"/>
              <w:jc w:val="left"/>
            </w:pPr>
            <w:r>
              <w:t xml:space="preserve">end-support reaction (kN)</w:t>
            </w:r>
          </w:p>
        </w:tc>
      </w:tr>
      <w:tr>
        <w:trPr>
          <w:cantSplit/>
        </w:trPr>
        <w:tc>
          <w:tcPr>
            <w:tcW w:type="dxa" w:w="3452"/>
          </w:tcPr>
          <w:p>
            <w:pPr>
              <w:pStyle w:val="Compact"/>
              <w:jc w:val="left"/>
            </w:pPr>
            <m:oMath>
              <m:r>
                <m:t>F</m:t>
              </m:r>
              <m:d>
                <m:dPr>
                  <m:begChr m:val="("/>
                  <m:endChr m:val=")"/>
                  <m:sepChr m:val=""/>
                  <m:grow/>
                </m:dPr>
                <m:e>
                  <m:r>
                    <m:t>ξ</m:t>
                  </m:r>
                  <m:r>
                    <m:rPr>
                      <m:sty m:val="p"/>
                    </m:rPr>
                    <m:t>,</m:t>
                  </m:r>
                  <m:r>
                    <m:t>μ</m:t>
                  </m:r>
                </m:e>
              </m:d>
            </m:oMath>
          </w:p>
        </w:tc>
        <w:tc>
          <w:tcPr>
            <w:tcW w:type="dxa" w:w="5617"/>
          </w:tcPr>
          <w:p>
            <w:pPr>
              <w:pStyle w:val="Compact"/>
              <w:jc w:val="left"/>
            </w:pPr>
            <w:r>
              <w:t xml:space="preserve">normalized uniform-load deflection of span 1 of a two-span beam, Eq. (5)</w:t>
            </w:r>
          </w:p>
        </w:tc>
      </w:tr>
      <w:tr>
        <w:trPr>
          <w:cantSplit/>
        </w:trPr>
        <w:tc>
          <w:tcPr>
            <w:tcW w:type="dxa" w:w="3452"/>
          </w:tcPr>
          <w:p>
            <w:pPr>
              <w:pStyle w:val="Compact"/>
              <w:jc w:val="left"/>
            </w:pPr>
            <m:oMath>
              <m:sSub>
                <m:e>
                  <m:r>
                    <m:t>f</m:t>
                  </m:r>
                </m:e>
                <m:sub>
                  <m:r>
                    <m:t>1</m:t>
                  </m:r>
                </m:sub>
              </m:sSub>
            </m:oMath>
            <w:r>
              <w:t xml:space="preserve">,</w:t>
            </w:r>
            <w:r>
              <w:t xml:space="preserve"> </w:t>
            </w:r>
            <m:oMath>
              <m:sSub>
                <m:e>
                  <m:r>
                    <m:t>T</m:t>
                  </m:r>
                </m:e>
                <m:sub>
                  <m:r>
                    <m:t>1</m:t>
                  </m:r>
                </m:sub>
              </m:sSub>
            </m:oMath>
          </w:p>
        </w:tc>
        <w:tc>
          <w:tcPr>
            <w:tcW w:type="dxa" w:w="5617"/>
          </w:tcPr>
          <w:p>
            <w:pPr>
              <w:pStyle w:val="Compact"/>
              <w:jc w:val="left"/>
            </w:pPr>
            <w:r>
              <w:t xml:space="preserve">fundamental frequency and period of the girder</w:t>
            </w:r>
          </w:p>
        </w:tc>
      </w:tr>
      <w:tr>
        <w:trPr>
          <w:cantSplit/>
        </w:trPr>
        <w:tc>
          <w:tcPr>
            <w:tcW w:type="dxa" w:w="3452"/>
          </w:tcPr>
          <w:p>
            <w:pPr>
              <w:pStyle w:val="Compact"/>
              <w:jc w:val="left"/>
            </w:pPr>
            <m:oMath>
              <m:r>
                <m:t>g</m:t>
              </m:r>
              <m:d>
                <m:dPr>
                  <m:begChr m:val="("/>
                  <m:endChr m:val=")"/>
                  <m:sepChr m:val=""/>
                  <m:grow/>
                </m:dPr>
                <m:e>
                  <m:r>
                    <m:t>x</m:t>
                  </m:r>
                </m:e>
              </m:d>
            </m:oMath>
          </w:p>
        </w:tc>
        <w:tc>
          <w:tcPr>
            <w:tcW w:type="dxa" w:w="5617"/>
          </w:tcPr>
          <w:p>
            <w:pPr>
              <w:pStyle w:val="Compact"/>
              <w:jc w:val="left"/>
            </w:pPr>
            <w:r>
              <w:t xml:space="preserve">weighting function applied along a record</w:t>
            </w:r>
          </w:p>
        </w:tc>
      </w:tr>
      <w:tr>
        <w:trPr>
          <w:cantSplit/>
        </w:trPr>
        <w:tc>
          <w:tcPr>
            <w:tcW w:type="dxa" w:w="3452"/>
          </w:tcPr>
          <w:p>
            <w:pPr>
              <w:pStyle w:val="Compact"/>
              <w:jc w:val="left"/>
            </w:pPr>
            <m:oMath>
              <m:r>
                <m:t>h</m:t>
              </m:r>
            </m:oMath>
          </w:p>
        </w:tc>
        <w:tc>
          <w:tcPr>
            <w:tcW w:type="dxa" w:w="5617"/>
          </w:tcPr>
          <w:p>
            <w:pPr>
              <w:pStyle w:val="Compact"/>
              <w:jc w:val="left"/>
            </w:pPr>
            <w:r>
              <w:t xml:space="preserve">girder depth (m)</w:t>
            </w:r>
          </w:p>
        </w:tc>
      </w:tr>
      <w:tr>
        <w:trPr>
          <w:cantSplit/>
        </w:trPr>
        <w:tc>
          <w:tcPr>
            <w:tcW w:type="dxa" w:w="3452"/>
          </w:tcPr>
          <w:p>
            <w:pPr>
              <w:pStyle w:val="Compact"/>
              <w:jc w:val="left"/>
            </w:pPr>
            <m:oMath>
              <m:r>
                <m:t>I</m:t>
              </m:r>
            </m:oMath>
          </w:p>
        </w:tc>
        <w:tc>
          <w:tcPr>
            <w:tcW w:type="dxa" w:w="5617"/>
          </w:tcPr>
          <w:p>
            <w:pPr>
              <w:pStyle w:val="Compact"/>
              <w:jc w:val="left"/>
            </w:pPr>
            <w:r>
              <w:t xml:space="preserve">second moment of area</w:t>
            </w:r>
          </w:p>
        </w:tc>
      </w:tr>
      <w:tr>
        <w:trPr>
          <w:cantSplit/>
        </w:trPr>
        <w:tc>
          <w:tcPr>
            <w:tcW w:type="dxa" w:w="3452"/>
          </w:tcPr>
          <w:p>
            <w:pPr>
              <w:pStyle w:val="Compact"/>
              <w:jc w:val="left"/>
            </w:pPr>
            <m:oMath>
              <m:sSub>
                <m:e>
                  <m:r>
                    <m:t>J</m:t>
                  </m:r>
                </m:e>
                <m:sub>
                  <m:r>
                    <m:t>m</m:t>
                  </m:r>
                </m:sub>
              </m:sSub>
            </m:oMath>
          </w:p>
        </w:tc>
        <w:tc>
          <w:tcPr>
            <w:tcW w:type="dxa" w:w="561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3452"/>
          </w:tcPr>
          <w:p>
            <w:pPr>
              <w:pStyle w:val="Compact"/>
              <w:jc w:val="left"/>
            </w:pPr>
            <m:oMath>
              <m:r>
                <m:t>k</m:t>
              </m:r>
            </m:oMath>
            <w:r>
              <w:t xml:space="preserve">,</w:t>
            </w:r>
            <w:r>
              <w:t xml:space="preserve"> </w:t>
            </w:r>
            <m:oMath>
              <m:sSub>
                <m:e>
                  <m:r>
                    <m:t>k</m:t>
                  </m:r>
                </m:e>
                <m:sub>
                  <m:r>
                    <m:t>g</m:t>
                  </m:r>
                </m:sub>
              </m:sSub>
            </m:oMath>
          </w:p>
        </w:tc>
        <w:tc>
          <w:tcPr>
            <w:tcW w:type="dxa" w:w="5617"/>
          </w:tcPr>
          <w:p>
            <w:pPr>
              <w:pStyle w:val="Compact"/>
              <w:jc w:val="left"/>
            </w:pPr>
            <w:r>
              <w:t xml:space="preserve">rotational stiffness of a monolithic pier; girder stiffness against the pier-rotation pattern</w:t>
            </w:r>
            <w:r>
              <w:t xml:space="preserve"> </w:t>
            </w:r>
            <m:oMath>
              <m:sSub>
                <m:e>
                  <m:r>
                    <m:t>θ</m:t>
                  </m:r>
                </m:e>
                <m:sub>
                  <m:r>
                    <m:t>6</m:t>
                  </m:r>
                </m:sub>
              </m:sSub>
              <m:r>
                <m:rPr>
                  <m:sty m:val="p"/>
                </m:rPr>
                <m:t>=</m:t>
              </m:r>
              <m:r>
                <m:rPr>
                  <m:sty m:val="p"/>
                </m:rPr>
                <m:t>−</m:t>
              </m:r>
              <m:sSub>
                <m:e>
                  <m:r>
                    <m:t>θ</m:t>
                  </m:r>
                </m:e>
                <m:sub>
                  <m:r>
                    <m:t>7</m:t>
                  </m:r>
                </m:sub>
              </m:sSub>
            </m:oMath>
            <w:r>
              <w:t xml:space="preserve"> </w:t>
            </w:r>
            <w:r>
              <w:t xml:space="preserve">(kN m/rad)</w:t>
            </w:r>
          </w:p>
        </w:tc>
      </w:tr>
      <w:tr>
        <w:trPr>
          <w:cantSplit/>
        </w:trPr>
        <w:tc>
          <w:tcPr>
            <w:tcW w:type="dxa" w:w="3452"/>
          </w:tcPr>
          <w:p>
            <w:pPr>
              <w:pStyle w:val="Compact"/>
              <w:jc w:val="left"/>
            </w:pPr>
            <m:oMath>
              <m:acc>
                <m:accPr>
                  <m:chr m:val="̂"/>
                </m:accPr>
                <m:e>
                  <m:r>
                    <m:t>k</m:t>
                  </m:r>
                </m:e>
              </m:acc>
            </m:oMath>
          </w:p>
        </w:tc>
        <w:tc>
          <w:tcPr>
            <w:tcW w:type="dxa" w:w="5617"/>
          </w:tcPr>
          <w:p>
            <w:pPr>
              <w:pStyle w:val="Compact"/>
              <w:jc w:val="left"/>
            </w:pPr>
            <w:r>
              <w:t xml:space="preserve">pier stiffness relative to the side-span rigidity,</w:t>
            </w:r>
            <w:r>
              <w:t xml:space="preserve"> </w:t>
            </w:r>
            <m:oMath>
              <m:r>
                <m:t>k</m:t>
              </m:r>
              <m:sSub>
                <m:e>
                  <m:r>
                    <m:t>L</m:t>
                  </m:r>
                </m:e>
                <m:sub>
                  <m:r>
                    <m:rPr>
                      <m:sty m:val="p"/>
                      <m:nor/>
                    </m:rPr>
                    <m:t>side</m:t>
                  </m:r>
                </m:sub>
              </m:sSub>
              <m:r>
                <m:rPr>
                  <m:sty m:val="p"/>
                </m:rPr>
                <m:t>/</m:t>
              </m:r>
              <m:r>
                <m:t>E</m:t>
              </m:r>
              <m:sSub>
                <m:e>
                  <m:r>
                    <m:t>I</m:t>
                  </m:r>
                </m:e>
                <m:sub>
                  <m:r>
                    <m:rPr>
                      <m:sty m:val="p"/>
                      <m:nor/>
                    </m:rPr>
                    <m:t>side</m:t>
                  </m:r>
                </m:sub>
              </m:sSub>
            </m:oMath>
          </w:p>
        </w:tc>
      </w:tr>
      <w:tr>
        <w:trPr>
          <w:cantSplit/>
        </w:trPr>
        <w:tc>
          <w:tcPr>
            <w:tcW w:type="dxa" w:w="3452"/>
          </w:tcPr>
          <w:p>
            <w:pPr>
              <w:pStyle w:val="Compact"/>
              <w:jc w:val="left"/>
            </w:pPr>
            <m:oMath>
              <m:sSub>
                <m:e>
                  <m:r>
                    <m:t>K</m:t>
                  </m:r>
                </m:e>
                <m:sub>
                  <m:r>
                    <m:t>g</m:t>
                  </m:r>
                </m:sub>
              </m:sSub>
            </m:oMath>
            <w:r>
              <w:t xml:space="preserve">,</w:t>
            </w:r>
            <w:r>
              <w:t xml:space="preserve"> </w:t>
            </w:r>
            <m:oMath>
              <m:sSub>
                <m:e>
                  <m:r>
                    <m:t>K</m:t>
                  </m:r>
                </m:e>
                <m:sub>
                  <m:r>
                    <m:t>p</m:t>
                  </m:r>
                </m:sub>
              </m:sSub>
            </m:oMath>
          </w:p>
        </w:tc>
        <w:tc>
          <w:tcPr>
            <w:tcW w:type="dxa" w:w="5617"/>
          </w:tcPr>
          <w:p>
            <w:pPr>
              <w:pStyle w:val="Compact"/>
              <w:jc w:val="left"/>
            </w:pPr>
            <w:r>
              <w:t xml:space="preserve">girder and pier parts of the stiffness matrix</w:t>
            </w:r>
          </w:p>
        </w:tc>
      </w:tr>
      <w:tr>
        <w:trPr>
          <w:cantSplit/>
        </w:trPr>
        <w:tc>
          <w:tcPr>
            <w:tcW w:type="dxa" w:w="3452"/>
          </w:tcPr>
          <w:p>
            <w:pPr>
              <w:pStyle w:val="Compact"/>
              <w:jc w:val="left"/>
            </w:pPr>
            <m:oMath>
              <m:r>
                <m:t>L</m:t>
              </m:r>
            </m:oMath>
          </w:p>
        </w:tc>
        <w:tc>
          <w:tcPr>
            <w:tcW w:type="dxa" w:w="5617"/>
          </w:tcPr>
          <w:p>
            <w:pPr>
              <w:pStyle w:val="Compact"/>
              <w:jc w:val="left"/>
            </w:pPr>
            <w:r>
              <w:t xml:space="preserve">length of the span containing the sensor, including the span of the laboratory beam (m)</w:t>
            </w:r>
          </w:p>
        </w:tc>
      </w:tr>
      <w:tr>
        <w:trPr>
          <w:cantSplit/>
        </w:trPr>
        <w:tc>
          <w:tcPr>
            <w:tcW w:type="dxa" w:w="3452"/>
          </w:tcPr>
          <w:p>
            <w:pPr>
              <w:pStyle w:val="Compact"/>
              <w:jc w:val="left"/>
            </w:pPr>
            <m:oMath>
              <m:sSub>
                <m:e>
                  <m:r>
                    <m:t>L</m:t>
                  </m:r>
                </m:e>
                <m:sub>
                  <m:r>
                    <m:t>p</m:t>
                  </m:r>
                </m:sub>
              </m:sSub>
            </m:oMath>
          </w:p>
        </w:tc>
        <w:tc>
          <w:tcPr>
            <w:tcW w:type="dxa" w:w="5617"/>
          </w:tcPr>
          <w:p>
            <w:pPr>
              <w:pStyle w:val="Compact"/>
              <w:jc w:val="left"/>
            </w:pPr>
            <w:r>
              <w:t xml:space="preserve">length of the loaded path (m)</w:t>
            </w:r>
          </w:p>
        </w:tc>
      </w:tr>
      <w:tr>
        <w:trPr>
          <w:cantSplit/>
        </w:trPr>
        <w:tc>
          <w:tcPr>
            <w:tcW w:type="dxa" w:w="3452"/>
          </w:tcPr>
          <w:p>
            <w:pPr>
              <w:pStyle w:val="Compact"/>
              <w:jc w:val="left"/>
            </w:pPr>
            <m:oMath>
              <m:sSub>
                <m:e>
                  <m:r>
                    <m:t>L</m:t>
                  </m:r>
                </m:e>
                <m:sub>
                  <m:r>
                    <m:rPr>
                      <m:sty m:val="p"/>
                    </m:rPr>
                    <m:t>v</m:t>
                  </m:r>
                </m:sub>
              </m:sSub>
            </m:oMath>
          </w:p>
        </w:tc>
        <w:tc>
          <w:tcPr>
            <w:tcW w:type="dxa" w:w="5617"/>
          </w:tcPr>
          <w:p>
            <w:pPr>
              <w:pStyle w:val="Compact"/>
              <w:jc w:val="left"/>
            </w:pPr>
            <w:r>
              <w:t xml:space="preserve">length of the parabolic haunch from each inner pier of the Mây Bridge model (base 44 m)</w:t>
            </w:r>
          </w:p>
        </w:tc>
      </w:tr>
      <w:tr>
        <w:trPr>
          <w:cantSplit/>
        </w:trPr>
        <w:tc>
          <w:tcPr>
            <w:tcW w:type="dxa" w:w="3452"/>
          </w:tcPr>
          <w:p>
            <w:pPr>
              <w:pStyle w:val="Compact"/>
              <w:jc w:val="left"/>
            </w:pPr>
            <m:oMath>
              <m:sSub>
                <m:e>
                  <m:r>
                    <m:t>L</m:t>
                  </m:r>
                </m:e>
                <m:sub>
                  <m:r>
                    <m:rPr>
                      <m:sty m:val="p"/>
                      <m:nor/>
                    </m:rPr>
                    <m:t>tot</m:t>
                  </m:r>
                </m:sub>
              </m:sSub>
            </m:oMath>
          </w:p>
        </w:tc>
        <w:tc>
          <w:tcPr>
            <w:tcW w:type="dxa" w:w="5617"/>
          </w:tcPr>
          <w:p>
            <w:pPr>
              <w:pStyle w:val="Compact"/>
              <w:jc w:val="left"/>
            </w:pPr>
            <w:r>
              <w:t xml:space="preserve">length of the integration record (m)</w:t>
            </w:r>
          </w:p>
        </w:tc>
      </w:tr>
      <w:tr>
        <w:trPr>
          <w:cantSplit/>
        </w:trPr>
        <w:tc>
          <w:tcPr>
            <w:tcW w:type="dxa" w:w="3452"/>
          </w:tcPr>
          <w:p>
            <w:pPr>
              <w:pStyle w:val="Compact"/>
              <w:jc w:val="left"/>
            </w:pPr>
            <m:oMath>
              <m:sSub>
                <m:e>
                  <m:r>
                    <m:t>M</m:t>
                  </m:r>
                </m:e>
                <m:sub>
                  <m:r>
                    <m:t>q</m:t>
                  </m:r>
                </m:sub>
              </m:sSub>
            </m:oMath>
          </w:p>
        </w:tc>
        <w:tc>
          <w:tcPr>
            <w:tcW w:type="dxa" w:w="561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561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3452"/>
          </w:tcPr>
          <w:p>
            <w:pPr>
              <w:pStyle w:val="Compact"/>
              <w:jc w:val="left"/>
            </w:pPr>
            <m:oMath>
              <m:r>
                <m:t>n</m:t>
              </m:r>
            </m:oMath>
            <w:r>
              <w:t xml:space="preserve">,</w:t>
            </w:r>
            <w:r>
              <w:t xml:space="preserve"> </w:t>
            </w:r>
            <m:oMath>
              <m:sSub>
                <m:e>
                  <m:r>
                    <m:t>n</m:t>
                  </m:r>
                </m:e>
                <m:sub>
                  <m:r>
                    <m:t>j</m:t>
                  </m:r>
                </m:sub>
              </m:sSub>
            </m:oMath>
          </w:p>
        </w:tc>
        <w:tc>
          <w:tcPr>
            <w:tcW w:type="dxa" w:w="5617"/>
          </w:tcPr>
          <w:p>
            <w:pPr>
              <w:pStyle w:val="Compact"/>
              <w:jc w:val="left"/>
            </w:pPr>
            <w:r>
              <w:t xml:space="preserve">number of axles, Eq. (1); noise term of the integral of channel</w:t>
            </w:r>
            <w:r>
              <w:t xml:space="preserve"> </w:t>
            </w:r>
            <m:oMath>
              <m:r>
                <m:t>j</m:t>
              </m:r>
            </m:oMath>
            <w:r>
              <w:t xml:space="preserve"> </w:t>
            </w:r>
            <w:r>
              <w:t xml:space="preserve">(Section 2.4)</w:t>
            </w:r>
          </w:p>
        </w:tc>
      </w:tr>
      <w:tr>
        <w:trPr>
          <w:cantSplit/>
        </w:trPr>
        <w:tc>
          <w:tcPr>
            <w:tcW w:type="dxa" w:w="3452"/>
          </w:tcPr>
          <w:p>
            <w:pPr>
              <w:pStyle w:val="Compact"/>
              <w:jc w:val="left"/>
            </w:pPr>
            <m:oMath>
              <m:sSub>
                <m:e>
                  <m:r>
                    <m:t>N</m:t>
                  </m:r>
                </m:e>
                <m:sub>
                  <m:r>
                    <m:t>w</m:t>
                  </m:r>
                </m:sub>
              </m:sSub>
            </m:oMath>
            <w:r>
              <w:t xml:space="preserve">,</w:t>
            </w:r>
            <w:r>
              <w:t xml:space="preserve"> </w:t>
            </w:r>
            <m:oMath>
              <m:sSub>
                <m:e>
                  <m:r>
                    <m:t>N</m:t>
                  </m:r>
                </m:e>
                <m:sub>
                  <m:r>
                    <m:t>M</m:t>
                  </m:r>
                </m:sub>
              </m:sSub>
            </m:oMath>
          </w:p>
        </w:tc>
        <w:tc>
          <w:tcPr>
            <w:tcW w:type="dxa" w:w="5617"/>
          </w:tcPr>
          <w:p>
            <w:pPr>
              <w:pStyle w:val="Compact"/>
              <w:jc w:val="left"/>
            </w:pPr>
            <w:r>
              <w:t xml:space="preserve">deflection and strain (moment) indicators, Eqs. (8) and (7)</w:t>
            </w:r>
          </w:p>
        </w:tc>
      </w:tr>
      <w:tr>
        <w:trPr>
          <w:cantSplit/>
        </w:trPr>
        <w:tc>
          <w:tcPr>
            <w:tcW w:type="dxa" w:w="3452"/>
          </w:tcPr>
          <w:p>
            <w:pPr>
              <w:pStyle w:val="Compact"/>
              <w:jc w:val="left"/>
            </w:pPr>
            <m:oMath>
              <m:sSub>
                <m:e>
                  <m:r>
                    <m:t>N</m:t>
                  </m:r>
                </m:e>
                <m:sub>
                  <m:r>
                    <m:t>ε</m:t>
                  </m:r>
                </m:sub>
              </m:sSub>
            </m:oMath>
          </w:p>
        </w:tc>
        <w:tc>
          <w:tcPr>
            <w:tcW w:type="dxa" w:w="5617"/>
          </w:tcPr>
          <w:p>
            <w:pPr>
              <w:pStyle w:val="Compact"/>
              <w:jc w:val="left"/>
            </w:pPr>
            <w:r>
              <w:t xml:space="preserve">strain indicator including the gain,</w:t>
            </w:r>
            <w:r>
              <w:t xml:space="preserve"> </w:t>
            </w:r>
            <m:oMath>
              <m:sSub>
                <m:e>
                  <m:r>
                    <m:t>N</m:t>
                  </m:r>
                </m:e>
                <m:sub>
                  <m:r>
                    <m:t>M</m:t>
                  </m:r>
                </m:sub>
              </m:sSub>
              <m:d>
                <m:dPr>
                  <m:begChr m:val="("/>
                  <m:endChr m:val=")"/>
                  <m:sepChr m:val=""/>
                  <m:grow/>
                </m:dPr>
                <m:e>
                  <m:r>
                    <m:t>c</m:t>
                  </m:r>
                  <m:r>
                    <m:rPr>
                      <m:sty m:val="p"/>
                    </m:rPr>
                    <m:t>/</m:t>
                  </m:r>
                  <m:r>
                    <m:t>E</m:t>
                  </m:r>
                  <m:r>
                    <m:t>I</m:t>
                  </m:r>
                </m:e>
              </m:d>
              <m:r>
                <m:rPr>
                  <m:sty m:val="p"/>
                </m:rPr>
                <m:t>/</m:t>
              </m:r>
              <m:sSub>
                <m:e>
                  <m:d>
                    <m:dPr>
                      <m:begChr m:val="("/>
                      <m:endChr m:val=")"/>
                      <m:sepChr m:val=""/>
                      <m:grow/>
                    </m:dPr>
                    <m:e>
                      <m:r>
                        <m:t>c</m:t>
                      </m:r>
                      <m:r>
                        <m:rPr>
                          <m:sty m:val="p"/>
                        </m:rPr>
                        <m:t>/</m:t>
                      </m:r>
                      <m:r>
                        <m:t>E</m:t>
                      </m:r>
                      <m:r>
                        <m:t>I</m:t>
                      </m:r>
                    </m:e>
                  </m:d>
                </m:e>
                <m:sub>
                  <m:r>
                    <m:rPr>
                      <m:sty m:val="p"/>
                      <m:nor/>
                    </m:rPr>
                    <m:t>mid</m:t>
                  </m:r>
                </m:sub>
              </m:sSub>
            </m:oMath>
            <w:r>
              <w:t xml:space="preserve"> </w:t>
            </w:r>
            <w:r>
              <w:t xml:space="preserve">(main-text Fig. 6c)</w:t>
            </w:r>
          </w:p>
        </w:tc>
      </w:tr>
      <w:tr>
        <w:trPr>
          <w:cantSplit/>
        </w:trPr>
        <w:tc>
          <w:tcPr>
            <w:tcW w:type="dxa" w:w="345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5617"/>
          </w:tcPr>
          <w:p>
            <w:pPr>
              <w:pStyle w:val="Compact"/>
              <w:jc w:val="left"/>
            </w:pPr>
            <w:r>
              <w:t xml:space="preserve">rotation, shear and end-reaction indicators (Section 2.2, Section S3)</w:t>
            </w:r>
          </w:p>
        </w:tc>
      </w:tr>
      <w:tr>
        <w:trPr>
          <w:cantSplit/>
        </w:trPr>
        <w:tc>
          <w:tcPr>
            <w:tcW w:type="dxa" w:w="3452"/>
          </w:tcPr>
          <w:p>
            <w:pPr>
              <w:pStyle w:val="Compact"/>
              <w:jc w:val="left"/>
            </w:pPr>
            <m:oMath>
              <m:sSub>
                <m:e>
                  <m:r>
                    <m:t>P</m:t>
                  </m:r>
                </m:e>
                <m:sub>
                  <m:r>
                    <m:t>i</m:t>
                  </m:r>
                </m:sub>
              </m:sSub>
            </m:oMath>
          </w:p>
        </w:tc>
        <w:tc>
          <w:tcPr>
            <w:tcW w:type="dxa" w:w="5617"/>
          </w:tcPr>
          <w:p>
            <w:pPr>
              <w:pStyle w:val="Compact"/>
              <w:jc w:val="left"/>
            </w:pPr>
            <w:r>
              <w:t xml:space="preserve">load of axle</w:t>
            </w:r>
            <w:r>
              <w:t xml:space="preserve"> </w:t>
            </w:r>
            <m:oMath>
              <m:r>
                <m:t>i</m:t>
              </m:r>
            </m:oMath>
            <w:r>
              <w:t xml:space="preserve">, Eq. (1) (kN)</w:t>
            </w:r>
          </w:p>
        </w:tc>
      </w:tr>
      <w:tr>
        <w:trPr>
          <w:cantSplit/>
        </w:trPr>
        <w:tc>
          <w:tcPr>
            <w:tcW w:type="dxa" w:w="3452"/>
          </w:tcPr>
          <w:p>
            <w:pPr>
              <w:pStyle w:val="Compact"/>
              <w:jc w:val="left"/>
            </w:pPr>
            <m:oMath>
              <m:sSub>
                <m:e>
                  <m:r>
                    <m:t>P</m:t>
                  </m:r>
                </m:e>
                <m:sub>
                  <m:r>
                    <m:rPr>
                      <m:sty m:val="p"/>
                      <m:nor/>
                    </m:rPr>
                    <m:t>tot</m:t>
                  </m:r>
                </m:sub>
              </m:sSub>
            </m:oMath>
            <w:r>
              <w:t xml:space="preserve">,</w:t>
            </w:r>
            <w:r>
              <w:t xml:space="preserve"> </w:t>
            </w:r>
            <m:oMath>
              <m:sSub>
                <m:e>
                  <m:r>
                    <m:t>P</m:t>
                  </m:r>
                </m:e>
                <m:sub>
                  <m:r>
                    <m:t>0</m:t>
                  </m:r>
                </m:sub>
              </m:sSub>
            </m:oMath>
          </w:p>
        </w:tc>
        <w:tc>
          <w:tcPr>
            <w:tcW w:type="dxa" w:w="5617"/>
          </w:tcPr>
          <w:p>
            <w:pPr>
              <w:pStyle w:val="Compact"/>
              <w:jc w:val="left"/>
            </w:pPr>
            <w:r>
              <w:t xml:space="preserve">total load of a crossing; weighed reference load (kN)</w:t>
            </w:r>
          </w:p>
        </w:tc>
      </w:tr>
      <w:tr>
        <w:trPr>
          <w:cantSplit/>
        </w:trPr>
        <w:tc>
          <w:tcPr>
            <w:tcW w:type="dxa" w:w="345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5617"/>
          </w:tcPr>
          <w:p>
            <w:pPr>
              <w:pStyle w:val="Compact"/>
              <w:jc w:val="left"/>
            </w:pPr>
            <w:r>
              <w:t xml:space="preserve">load and record integral of a target crossing; record integral of the reference crossing</w:t>
            </w:r>
          </w:p>
        </w:tc>
      </w:tr>
      <w:tr>
        <w:trPr>
          <w:cantSplit/>
        </w:trPr>
        <w:tc>
          <w:tcPr>
            <w:tcW w:type="dxa" w:w="3452"/>
          </w:tcPr>
          <w:p>
            <w:pPr>
              <w:pStyle w:val="Compact"/>
              <w:jc w:val="left"/>
            </w:pPr>
            <m:oMath>
              <m:sSub>
                <m:e>
                  <m:r>
                    <m:t>P</m:t>
                  </m:r>
                </m:e>
                <m:sub>
                  <m:r>
                    <m:t>δ</m:t>
                  </m:r>
                </m:sub>
              </m:sSub>
            </m:oMath>
          </w:p>
        </w:tc>
        <w:tc>
          <w:tcPr>
            <w:tcW w:type="dxa" w:w="5617"/>
          </w:tcPr>
          <w:p>
            <w:pPr>
              <w:pStyle w:val="Compact"/>
              <w:jc w:val="left"/>
            </w:pPr>
            <w:r>
              <w:t xml:space="preserve">offset-equivalent load</w:t>
            </w:r>
            <w:r>
              <w:t xml:space="preserve"> </w:t>
            </w:r>
            <m:oMath>
              <m:sSub>
                <m:e>
                  <m:r>
                    <m:t>δ</m:t>
                  </m:r>
                </m:e>
                <m:sub>
                  <m:r>
                    <m:t>0</m:t>
                  </m:r>
                </m:sub>
              </m:sSub>
              <m:sSub>
                <m:e>
                  <m:r>
                    <m:t>L</m:t>
                  </m:r>
                </m:e>
                <m:sub>
                  <m:r>
                    <m:rPr>
                      <m:sty m:val="p"/>
                      <m:nor/>
                    </m:rPr>
                    <m:t>tot</m:t>
                  </m:r>
                </m:sub>
              </m:sSub>
              <m:r>
                <m:rPr>
                  <m:sty m:val="p"/>
                </m:rPr>
                <m:t>/</m:t>
              </m:r>
              <m:r>
                <m:t>C</m:t>
              </m:r>
            </m:oMath>
            <w:r>
              <w:t xml:space="preserve"> </w:t>
            </w:r>
            <w:r>
              <w:t xml:space="preserve">(kN)</w:t>
            </w:r>
          </w:p>
        </w:tc>
      </w:tr>
      <w:tr>
        <w:trPr>
          <w:cantSplit/>
        </w:trPr>
        <w:tc>
          <w:tcPr>
            <w:tcW w:type="dxa" w:w="3452"/>
          </w:tcPr>
          <w:p>
            <w:pPr>
              <w:pStyle w:val="Compact"/>
              <w:jc w:val="left"/>
            </w:pPr>
            <m:oMath>
              <m:sSub>
                <m:e>
                  <m:r>
                    <m:t>q</m:t>
                  </m:r>
                </m:e>
                <m:sub>
                  <m:r>
                    <m:t>0</m:t>
                  </m:r>
                </m:sub>
              </m:sSub>
            </m:oMath>
          </w:p>
        </w:tc>
        <w:tc>
          <w:tcPr>
            <w:tcW w:type="dxa" w:w="5617"/>
          </w:tcPr>
          <w:p>
            <w:pPr>
              <w:pStyle w:val="Compact"/>
              <w:jc w:val="left"/>
            </w:pPr>
            <w:r>
              <w:t xml:space="preserve">intensity of a uniform load over the whole path (kN/m)</w:t>
            </w:r>
          </w:p>
        </w:tc>
      </w:tr>
      <w:tr>
        <w:trPr>
          <w:cantSplit/>
        </w:trPr>
        <w:tc>
          <w:tcPr>
            <w:tcW w:type="dxa" w:w="3452"/>
          </w:tcPr>
          <w:p>
            <w:pPr>
              <w:pStyle w:val="Compact"/>
              <w:jc w:val="left"/>
            </w:pPr>
            <m:oMath>
              <m:r>
                <m:t>R</m:t>
              </m:r>
            </m:oMath>
          </w:p>
        </w:tc>
        <w:tc>
          <w:tcPr>
            <w:tcW w:type="dxa" w:w="5617"/>
          </w:tcPr>
          <w:p>
            <w:pPr>
              <w:pStyle w:val="Compact"/>
              <w:jc w:val="left"/>
            </w:pPr>
            <w:r>
              <w:t xml:space="preserve">cancellation ratio</w:t>
            </w:r>
            <w:r>
              <w:t xml:space="preserve"> </w:t>
            </w:r>
            <m:oMath>
              <m:r>
                <m:t>C</m:t>
              </m:r>
              <m:r>
                <m:rPr>
                  <m:sty m:val="p"/>
                </m:rPr>
                <m:t>/</m:t>
              </m:r>
              <m:sSup>
                <m:e>
                  <m:r>
                    <m:t>A</m:t>
                  </m:r>
                </m:e>
                <m:sup>
                  <m:r>
                    <m:rPr>
                      <m:nor/>
                    </m:rPr>
                    <m:t>+</m:t>
                  </m:r>
                </m:sup>
              </m:sSup>
            </m:oMath>
          </w:p>
        </w:tc>
      </w:tr>
      <w:tr>
        <w:trPr>
          <w:cantSplit/>
        </w:trPr>
        <w:tc>
          <w:tcPr>
            <w:tcW w:type="dxa" w:w="3452"/>
          </w:tcPr>
          <w:p>
            <w:pPr>
              <w:pStyle w:val="Compact"/>
              <w:jc w:val="left"/>
            </w:pPr>
            <m:oMath>
              <m:sSub>
                <m:e>
                  <m:r>
                    <m:t>r</m:t>
                  </m:r>
                </m:e>
                <m:sub>
                  <m:r>
                    <m:t>87</m:t>
                  </m:r>
                </m:sub>
              </m:sSub>
            </m:oMath>
          </w:p>
        </w:tc>
        <w:tc>
          <w:tcPr>
            <w:tcW w:type="dxa" w:w="561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3452"/>
          </w:tcPr>
          <w:p>
            <w:pPr>
              <w:pStyle w:val="Compact"/>
              <w:jc w:val="left"/>
            </w:pPr>
            <m:oMath>
              <m:sSub>
                <m:e>
                  <m:r>
                    <m:t>S</m:t>
                  </m:r>
                </m:e>
                <m:sub>
                  <m:r>
                    <m:t>α</m:t>
                  </m:r>
                </m:sub>
              </m:sSub>
            </m:oMath>
            <w:r>
              <w:t xml:space="preserve">,</w:t>
            </w:r>
            <w:r>
              <w:t xml:space="preserve"> </w:t>
            </w:r>
            <m:oMath>
              <m:sSub>
                <m:e>
                  <m:r>
                    <m:t>S</m:t>
                  </m:r>
                </m:e>
                <m:sub>
                  <m:r>
                    <m:t>k</m:t>
                  </m:r>
                </m:sub>
              </m:sSub>
            </m:oMath>
          </w:p>
        </w:tc>
        <w:tc>
          <w:tcPr>
            <w:tcW w:type="dxa" w:w="5617"/>
          </w:tcPr>
          <w:p>
            <w:pPr>
              <w:pStyle w:val="Compact"/>
              <w:jc w:val="left"/>
            </w:pPr>
            <w:r>
              <w:t xml:space="preserve">logarithmic sensitivities</w:t>
            </w:r>
            <w:r>
              <w:t xml:space="preserve"> </w:t>
            </w:r>
            <m:oMath>
              <m:r>
                <m:rPr>
                  <m:sty m:val="p"/>
                </m:rPr>
                <m:t>∂</m:t>
              </m:r>
              <m:r>
                <m:rPr>
                  <m:sty m:val="p"/>
                  <m:nor/>
                </m:rPr>
                <m:t>ln</m:t>
              </m:r>
              <m:sSub>
                <m:e>
                  <m:r>
                    <m:t>C</m:t>
                  </m:r>
                </m:e>
                <m:sub>
                  <m:r>
                    <m:t>m</m:t>
                  </m:r>
                </m:sub>
              </m:sSub>
              <m:r>
                <m:rPr>
                  <m:sty m:val="p"/>
                </m:rPr>
                <m:t>/</m:t>
              </m:r>
              <m:r>
                <m:rPr>
                  <m:sty m:val="p"/>
                </m:rPr>
                <m:t>∂</m:t>
              </m:r>
              <m:r>
                <m:rPr>
                  <m:sty m:val="p"/>
                  <m:nor/>
                </m:rPr>
                <m:t>ln</m:t>
              </m:r>
              <m:r>
                <m:t>α</m:t>
              </m:r>
            </m:oMath>
            <w:r>
              <w:t xml:space="preserve">,</w:t>
            </w:r>
            <w:r>
              <w:t xml:space="preserve"> </w:t>
            </w:r>
            <m:oMath>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(Section S5)</w:t>
            </w:r>
          </w:p>
        </w:tc>
      </w:tr>
      <w:tr>
        <w:trPr>
          <w:cantSplit/>
        </w:trPr>
        <w:tc>
          <w:tcPr>
            <w:tcW w:type="dxa" w:w="3452"/>
          </w:tcPr>
          <w:p>
            <w:pPr>
              <w:pStyle w:val="Compact"/>
              <w:jc w:val="left"/>
            </w:pPr>
            <m:oMath>
              <m:sSub>
                <m:e>
                  <m:r>
                    <m:t>t</m:t>
                  </m:r>
                </m:e>
                <m:sub>
                  <m:r>
                    <m:rPr>
                      <m:sty m:val="p"/>
                      <m:nor/>
                    </m:rPr>
                    <m:t>cr</m:t>
                  </m:r>
                </m:sub>
              </m:sSub>
            </m:oMath>
          </w:p>
        </w:tc>
        <w:tc>
          <w:tcPr>
            <w:tcW w:type="dxa" w:w="5617"/>
          </w:tcPr>
          <w:p>
            <w:pPr>
              <w:pStyle w:val="Compact"/>
              <w:jc w:val="left"/>
            </w:pPr>
            <w:r>
              <w:t xml:space="preserve">duration of a crossing (s)</w:t>
            </w:r>
          </w:p>
        </w:tc>
      </w:tr>
      <w:tr>
        <w:trPr>
          <w:cantSplit/>
        </w:trPr>
        <w:tc>
          <w:tcPr>
            <w:tcW w:type="dxa" w:w="3452"/>
          </w:tcPr>
          <w:p>
            <w:pPr>
              <w:pStyle w:val="Compact"/>
              <w:jc w:val="left"/>
            </w:pPr>
            <m:oMath>
              <m:r>
                <m:t>w</m:t>
              </m:r>
            </m:oMath>
            <w:r>
              <w:t xml:space="preserve">,</w:t>
            </w:r>
            <w:r>
              <w:t xml:space="preserve"> </w:t>
            </w:r>
            <m:oMath>
              <m:sSub>
                <m:e>
                  <m:r>
                    <m:t>w</m:t>
                  </m:r>
                </m:e>
                <m:sub>
                  <m:r>
                    <m:t>q</m:t>
                  </m:r>
                </m:sub>
              </m:sSub>
            </m:oMath>
          </w:p>
        </w:tc>
        <w:tc>
          <w:tcPr>
            <w:tcW w:type="dxa" w:w="561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r>
                <m:t>x</m:t>
              </m:r>
            </m:oMath>
            <w:r>
              <w:t xml:space="preserve">,</w:t>
            </w:r>
            <w:r>
              <w:t xml:space="preserve"> </w:t>
            </w:r>
            <m:oMath>
              <m:sSub>
                <m:e>
                  <m:r>
                    <m:t>x</m:t>
                  </m:r>
                </m:e>
                <m:sub>
                  <m:r>
                    <m:t>m</m:t>
                  </m:r>
                </m:sub>
              </m:sSub>
            </m:oMath>
          </w:p>
        </w:tc>
        <w:tc>
          <w:tcPr>
            <w:tcW w:type="dxa" w:w="5617"/>
          </w:tcPr>
          <w:p>
            <w:pPr>
              <w:pStyle w:val="Compact"/>
              <w:jc w:val="left"/>
            </w:pPr>
            <w:r>
              <w:t xml:space="preserve">coordinate along the path or span (in Eq. (1), position of the first axle); position of the sensor of channel</w:t>
            </w:r>
            <w:r>
              <w:t xml:space="preserve"> </w:t>
            </w:r>
            <m:oMath>
              <m:r>
                <m:t>m</m:t>
              </m:r>
            </m:oMath>
            <w:r>
              <w:t xml:space="preserve"> </w:t>
            </w:r>
            <w:r>
              <w:t xml:space="preserve">(m)</w:t>
            </w:r>
          </w:p>
        </w:tc>
      </w:tr>
      <w:tr>
        <w:trPr>
          <w:cantSplit/>
        </w:trPr>
        <w:tc>
          <w:tcPr>
            <w:tcW w:type="dxa" w:w="3452"/>
          </w:tcPr>
          <w:p>
            <w:pPr>
              <w:pStyle w:val="Compact"/>
              <w:jc w:val="left"/>
            </w:pPr>
            <m:oMath>
              <m:sSub>
                <m:e>
                  <m:r>
                    <m:t>y</m:t>
                  </m:r>
                </m:e>
                <m:sub>
                  <m:r>
                    <m:t>m</m:t>
                  </m:r>
                </m:sub>
              </m:sSub>
            </m:oMath>
          </w:p>
        </w:tc>
        <w:tc>
          <w:tcPr>
            <w:tcW w:type="dxa" w:w="5617"/>
          </w:tcPr>
          <w:p>
            <w:pPr>
              <w:pStyle w:val="Compact"/>
              <w:jc w:val="left"/>
            </w:pPr>
            <w:r>
              <w:t xml:space="preserve">record of the channel at</w:t>
            </w:r>
            <w:r>
              <w:t xml:space="preserve"> </w:t>
            </w:r>
            <m:oMath>
              <m:r>
                <m:t>m</m:t>
              </m:r>
            </m:oMath>
            <w:r>
              <w:t xml:space="preserve">, Eq. (1)</w:t>
            </w:r>
          </w:p>
        </w:tc>
      </w:tr>
      <w:tr>
        <w:trPr>
          <w:cantSplit/>
        </w:trPr>
        <w:tc>
          <w:tcPr>
            <w:tcW w:type="dxa" w:w="3452"/>
          </w:tcPr>
          <w:p>
            <w:pPr>
              <w:pStyle w:val="Compact"/>
              <w:jc w:val="left"/>
            </w:pPr>
            <m:oMath>
              <m:r>
                <m:t>α</m:t>
              </m:r>
            </m:oMath>
          </w:p>
        </w:tc>
        <w:tc>
          <w:tcPr>
            <w:tcW w:type="dxa" w:w="5617"/>
          </w:tcPr>
          <w:p>
            <w:pPr>
              <w:pStyle w:val="Compact"/>
              <w:jc w:val="left"/>
            </w:pPr>
            <w:r>
              <w:t xml:space="preserve">ratio of effective to design girder rigidity</w:t>
            </w:r>
          </w:p>
        </w:tc>
      </w:tr>
      <w:tr>
        <w:trPr>
          <w:cantSplit/>
        </w:trPr>
        <w:tc>
          <w:tcPr>
            <w:tcW w:type="dxa" w:w="3452"/>
          </w:tcPr>
          <w:p>
            <w:pPr>
              <w:pStyle w:val="Compact"/>
              <w:jc w:val="left"/>
            </w:pPr>
            <m:oMath>
              <m:r>
                <m:t>β</m:t>
              </m:r>
            </m:oMath>
          </w:p>
        </w:tc>
        <w:tc>
          <w:tcPr>
            <w:tcW w:type="dxa" w:w="5617"/>
          </w:tcPr>
          <w:p>
            <w:pPr>
              <w:pStyle w:val="Compact"/>
              <w:jc w:val="left"/>
            </w:pPr>
            <w:r>
              <w:t xml:space="preserve">main-to-side span ratio</w:t>
            </w:r>
            <w:r>
              <w:t xml:space="preserve"> </w:t>
            </w:r>
            <m:oMath>
              <m:sSub>
                <m:e>
                  <m:r>
                    <m:t>L</m:t>
                  </m:r>
                </m:e>
                <m:sub>
                  <m:r>
                    <m:rPr>
                      <m:sty m:val="p"/>
                      <m:nor/>
                    </m:rPr>
                    <m:t>main</m:t>
                  </m:r>
                </m:sub>
              </m:sSub>
              <m:r>
                <m:rPr>
                  <m:sty m:val="p"/>
                </m:rPr>
                <m:t>/</m:t>
              </m:r>
              <m:sSub>
                <m:e>
                  <m:r>
                    <m:t>L</m:t>
                  </m:r>
                </m:e>
                <m:sub>
                  <m:r>
                    <m:rPr>
                      <m:sty m:val="p"/>
                      <m:nor/>
                    </m:rPr>
                    <m:t>side</m:t>
                  </m:r>
                </m:sub>
              </m:sSub>
            </m:oMath>
            <w:r>
              <w:t xml:space="preserve"> </w:t>
            </w:r>
            <w:r>
              <w:t xml:space="preserve">(three spans)</w:t>
            </w:r>
          </w:p>
        </w:tc>
      </w:tr>
      <w:tr>
        <w:trPr>
          <w:cantSplit/>
        </w:trPr>
        <w:tc>
          <w:tcPr>
            <w:tcW w:type="dxa" w:w="3452"/>
          </w:tcPr>
          <w:p>
            <w:pPr>
              <w:pStyle w:val="Compact"/>
              <w:jc w:val="left"/>
            </w:pPr>
            <m:oMath>
              <m:r>
                <m:t>γ</m:t>
              </m:r>
            </m:oMath>
          </w:p>
        </w:tc>
        <w:tc>
          <w:tcPr>
            <w:tcW w:type="dxa" w:w="561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(three spans)</w:t>
            </w:r>
          </w:p>
        </w:tc>
      </w:tr>
      <w:tr>
        <w:trPr>
          <w:cantSplit/>
        </w:trPr>
        <w:tc>
          <w:tcPr>
            <w:tcW w:type="dxa" w:w="3452"/>
          </w:tcPr>
          <w:p>
            <w:pPr>
              <w:pStyle w:val="Compact"/>
              <w:jc w:val="left"/>
            </w:pPr>
            <m:oMath>
              <m:sSub>
                <m:e>
                  <m:r>
                    <m:t>δ</m:t>
                  </m:r>
                </m:e>
                <m:sub>
                  <m:r>
                    <m:t>0</m:t>
                  </m:r>
                </m:sub>
              </m:sSub>
            </m:oMath>
          </w:p>
        </w:tc>
        <w:tc>
          <w:tcPr>
            <w:tcW w:type="dxa" w:w="5617"/>
          </w:tcPr>
          <w:p>
            <w:pPr>
              <w:pStyle w:val="Compact"/>
              <w:jc w:val="left"/>
            </w:pPr>
            <w:r>
              <w:t xml:space="preserve">residual zero offset after re-zeroing before and after a crossing, in the units of the channel (mm for deflection)</w:t>
            </w:r>
          </w:p>
        </w:tc>
      </w:tr>
      <w:tr>
        <w:trPr>
          <w:cantSplit/>
        </w:trPr>
        <w:tc>
          <w:tcPr>
            <w:tcW w:type="dxa" w:w="3452"/>
          </w:tcPr>
          <w:p>
            <w:pPr>
              <w:pStyle w:val="Compact"/>
              <w:jc w:val="left"/>
            </w:pPr>
            <m:oMath>
              <m:r>
                <m:t>ζ</m:t>
              </m:r>
            </m:oMath>
          </w:p>
        </w:tc>
        <w:tc>
          <w:tcPr>
            <w:tcW w:type="dxa" w:w="5617"/>
          </w:tcPr>
          <w:p>
            <w:pPr>
              <w:pStyle w:val="Compact"/>
              <w:jc w:val="left"/>
            </w:pPr>
            <w:r>
              <w:t xml:space="preserve">position in the main span from the pier, as a fraction of the main span</w:t>
            </w:r>
          </w:p>
        </w:tc>
      </w:tr>
      <w:tr>
        <w:trPr>
          <w:cantSplit/>
        </w:trPr>
        <w:tc>
          <w:tcPr>
            <w:tcW w:type="dxa" w:w="3452"/>
          </w:tcPr>
          <w:p>
            <w:pPr>
              <w:pStyle w:val="Compact"/>
              <w:jc w:val="left"/>
            </w:pPr>
            <m:oMath>
              <m:sSub>
                <m:e>
                  <m:r>
                    <m:t>η</m:t>
                  </m:r>
                </m:e>
                <m:sub>
                  <m:r>
                    <m:t>m</m:t>
                  </m:r>
                </m:sub>
              </m:sSub>
            </m:oMath>
          </w:p>
        </w:tc>
        <w:tc>
          <w:tcPr>
            <w:tcW w:type="dxa" w:w="5617"/>
          </w:tcPr>
          <w:p>
            <w:pPr>
              <w:pStyle w:val="Compact"/>
              <w:jc w:val="left"/>
            </w:pPr>
            <w:r>
              <w:t xml:space="preserve">influence line of the channel at</w:t>
            </w:r>
            <w:r>
              <w:t xml:space="preserve"> </w:t>
            </w:r>
            <m:oMath>
              <m:r>
                <m:t>m</m:t>
              </m:r>
            </m:oMath>
          </w:p>
        </w:tc>
      </w:tr>
      <w:tr>
        <w:trPr>
          <w:cantSplit/>
        </w:trPr>
        <w:tc>
          <w:tcPr>
            <w:tcW w:type="dxa" w:w="3452"/>
          </w:tcPr>
          <w:p>
            <w:pPr>
              <w:pStyle w:val="Compact"/>
              <w:jc w:val="left"/>
            </w:pPr>
            <m:oMath>
              <m:r>
                <m:t>κ</m:t>
              </m:r>
            </m:oMath>
          </w:p>
        </w:tc>
        <w:tc>
          <w:tcPr>
            <w:tcW w:type="dxa" w:w="561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3452"/>
          </w:tcPr>
          <w:p>
            <w:pPr>
              <w:pStyle w:val="Compact"/>
              <w:jc w:val="left"/>
            </w:pPr>
            <m:oMath>
              <m:r>
                <m:t>λ</m:t>
              </m:r>
            </m:oMath>
            <w:r>
              <w:t xml:space="preserve">,</w:t>
            </w:r>
            <w:r>
              <w:t xml:space="preserve"> </w:t>
            </w:r>
            <m:oMath>
              <m:sSub>
                <m:e>
                  <m:r>
                    <m:t>λ</m:t>
                  </m:r>
                </m:e>
                <m:sub>
                  <m:r>
                    <m:rPr>
                      <m:sty m:val="p"/>
                      <m:nor/>
                    </m:rPr>
                    <m:t>crit</m:t>
                  </m:r>
                </m:sub>
              </m:sSub>
            </m:oMath>
          </w:p>
        </w:tc>
        <w:tc>
          <w:tcPr>
            <w:tcW w:type="dxa" w:w="561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 its blind value for a mid-span deflection gauge, Eq. (S1)</w:t>
            </w:r>
          </w:p>
        </w:tc>
      </w:tr>
      <w:tr>
        <w:trPr>
          <w:cantSplit/>
        </w:trPr>
        <w:tc>
          <w:tcPr>
            <w:tcW w:type="dxa" w:w="3452"/>
          </w:tcPr>
          <w:p>
            <w:pPr>
              <w:pStyle w:val="Compact"/>
              <w:jc w:val="left"/>
            </w:pPr>
            <m:oMath>
              <m:r>
                <m:t>μ</m:t>
              </m:r>
            </m:oMath>
          </w:p>
        </w:tc>
        <w:tc>
          <w:tcPr>
            <w:tcW w:type="dxa" w:w="561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nor/>
                    </m:rPr>
                    <m:t>side</m:t>
                  </m:r>
                </m:sub>
              </m:sSub>
            </m:oMath>
            <w:r>
              <w:t xml:space="preserve"> </w:t>
            </w:r>
            <w:r>
              <w:t xml:space="preserve">(three spans); Eqs. (4), (14)</w:t>
            </w:r>
          </w:p>
        </w:tc>
      </w:tr>
      <w:tr>
        <w:trPr>
          <w:cantSplit/>
        </w:trPr>
        <w:tc>
          <w:tcPr>
            <w:tcW w:type="dxa" w:w="3452"/>
          </w:tcPr>
          <w:p>
            <w:pPr>
              <w:pStyle w:val="Compact"/>
              <w:jc w:val="left"/>
            </w:pPr>
            <m:oMath>
              <m:sSub>
                <m:e>
                  <m:r>
                    <m:t>μ</m:t>
                  </m:r>
                </m:e>
                <m:sub>
                  <m:r>
                    <m:rPr>
                      <m:sty m:val="p"/>
                      <m:nor/>
                    </m:rPr>
                    <m:t>crit</m:t>
                  </m:r>
                </m:sub>
              </m:sSub>
            </m:oMath>
          </w:p>
        </w:tc>
        <w:tc>
          <w:tcPr>
            <w:tcW w:type="dxa" w:w="5617"/>
          </w:tcPr>
          <w:p>
            <w:pPr>
              <w:pStyle w:val="Compact"/>
              <w:jc w:val="left"/>
            </w:pPr>
            <w:r>
              <w:t xml:space="preserve">value of</w:t>
            </w:r>
            <w:r>
              <w:t xml:space="preserve"> </w:t>
            </w:r>
            <m:oMath>
              <m:r>
                <m:t>μ</m:t>
              </m:r>
            </m:oMath>
            <w:r>
              <w:t xml:space="preserve"> </w:t>
            </w:r>
            <w:r>
              <w:t xml:space="preserve">at which a deflection gauge at</w:t>
            </w:r>
            <w:r>
              <w:t xml:space="preserve"> </w:t>
            </w:r>
            <m:oMath>
              <m:r>
                <m:t>ξ</m:t>
              </m:r>
            </m:oMath>
            <w:r>
              <w:t xml:space="preserve"> </w:t>
            </w:r>
            <w:r>
              <w:t xml:space="preserve">is blind, Eq. (6)</w:t>
            </w:r>
          </w:p>
        </w:tc>
      </w:tr>
      <w:tr>
        <w:trPr>
          <w:cantSplit/>
        </w:trPr>
        <w:tc>
          <w:tcPr>
            <w:tcW w:type="dxa" w:w="3452"/>
          </w:tcPr>
          <w:p>
            <w:pPr>
              <w:pStyle w:val="Compact"/>
              <w:jc w:val="left"/>
            </w:pPr>
            <m:oMath>
              <m:r>
                <m:t>ν</m:t>
              </m:r>
            </m:oMath>
          </w:p>
        </w:tc>
        <w:tc>
          <w:tcPr>
            <w:tcW w:type="dxa" w:w="5617"/>
          </w:tcPr>
          <w:p>
            <w:pPr>
              <w:pStyle w:val="Compact"/>
              <w:jc w:val="left"/>
            </w:pPr>
            <w:r>
              <w:t xml:space="preserve">moment parameter of the main span of a symmetric three-span beam (Section S2)</w:t>
            </w:r>
          </w:p>
        </w:tc>
      </w:tr>
      <w:tr>
        <w:trPr>
          <w:cantSplit/>
        </w:trPr>
        <w:tc>
          <w:tcPr>
            <w:tcW w:type="dxa" w:w="3452"/>
          </w:tcPr>
          <w:p>
            <w:pPr>
              <w:pStyle w:val="Compact"/>
              <w:jc w:val="left"/>
            </w:pPr>
            <m:oMath>
              <m:sSup>
                <m:e>
                  <m:r>
                    <m:t>r</m:t>
                  </m:r>
                </m:e>
                <m:sup>
                  <m:r>
                    <m:t>2</m:t>
                  </m:r>
                </m:sup>
              </m:sSup>
            </m:oMath>
          </w:p>
        </w:tc>
        <w:tc>
          <w:tcPr>
            <w:tcW w:type="dxa" w:w="5617"/>
          </w:tcPr>
          <w:p>
            <w:pPr>
              <w:pStyle w:val="Compact"/>
              <w:jc w:val="left"/>
            </w:pPr>
            <w:r>
              <w:t xml:space="preserve">coefficient of determination</w:t>
            </w:r>
          </w:p>
        </w:tc>
      </w:tr>
      <w:tr>
        <w:trPr>
          <w:cantSplit/>
        </w:trPr>
        <w:tc>
          <w:tcPr>
            <w:tcW w:type="dxa" w:w="3452"/>
          </w:tcPr>
          <w:p>
            <w:pPr>
              <w:pStyle w:val="Compact"/>
              <w:jc w:val="left"/>
            </w:pPr>
            <m:oMath>
              <m:r>
                <m:t>ρ</m:t>
              </m:r>
            </m:oMath>
          </w:p>
        </w:tc>
        <w:tc>
          <w:tcPr>
            <w:tcW w:type="dxa" w:w="5617"/>
          </w:tcPr>
          <w:p>
            <w:pPr>
              <w:pStyle w:val="Compact"/>
              <w:jc w:val="left"/>
            </w:pPr>
            <w:r>
              <w:t xml:space="preserve">common-mode fraction of the offset or noise between channels</w:t>
            </w:r>
          </w:p>
        </w:tc>
      </w:tr>
      <w:tr>
        <w:trPr>
          <w:cantSplit/>
        </w:trPr>
        <w:tc>
          <w:tcPr>
            <w:tcW w:type="dxa" w:w="3452"/>
          </w:tcPr>
          <w:p>
            <w:pPr>
              <w:pStyle w:val="Compact"/>
              <w:jc w:val="left"/>
            </w:pPr>
            <m:oMath>
              <m:r>
                <m:t>Σ</m:t>
              </m:r>
            </m:oMath>
          </w:p>
        </w:tc>
        <w:tc>
          <w:tcPr>
            <w:tcW w:type="dxa" w:w="5617"/>
          </w:tcPr>
          <w:p>
            <w:pPr>
              <w:pStyle w:val="Compact"/>
              <w:jc w:val="left"/>
            </w:pPr>
            <w:r>
              <w:t xml:space="preserve">covariance matrix of the channel integrals</w:t>
            </w:r>
          </w:p>
        </w:tc>
      </w:tr>
      <w:tr>
        <w:trPr>
          <w:cantSplit/>
        </w:trPr>
        <w:tc>
          <w:tcPr>
            <w:tcW w:type="dxa" w:w="3452"/>
          </w:tcPr>
          <w:p>
            <w:pPr>
              <w:pStyle w:val="Compact"/>
              <w:jc w:val="left"/>
            </w:pPr>
            <m:oMath>
              <m:r>
                <m:t>σ</m:t>
              </m:r>
            </m:oMath>
            <w:r>
              <w:t xml:space="preserve">,</w:t>
            </w:r>
            <w:r>
              <w:t xml:space="preserve"> </w:t>
            </w:r>
            <m:oMath>
              <m:r>
                <m:t>Δ</m:t>
              </m:r>
              <m:r>
                <m:t>x</m:t>
              </m:r>
            </m:oMath>
          </w:p>
        </w:tc>
        <w:tc>
          <w:tcPr>
            <w:tcW w:type="dxa" w:w="5617"/>
          </w:tcPr>
          <w:p>
            <w:pPr>
              <w:pStyle w:val="Compact"/>
              <w:jc w:val="left"/>
            </w:pPr>
            <w:r>
              <w:t xml:space="preserve">standard deviation of the white noise of a record; sampling interval along the record</w:t>
            </w:r>
          </w:p>
        </w:tc>
      </w:tr>
      <w:tr>
        <w:trPr>
          <w:cantSplit/>
        </w:trPr>
        <w:tc>
          <w:tcPr>
            <w:tcW w:type="dxa" w:w="3452"/>
          </w:tcPr>
          <w:p>
            <w:pPr>
              <w:pStyle w:val="Compact"/>
              <w:jc w:val="left"/>
            </w:pPr>
            <m:oMath>
              <m:sSub>
                <m:e>
                  <m:r>
                    <m:t>σ</m:t>
                  </m:r>
                </m:e>
                <m:sub>
                  <m:r>
                    <m:t>P</m:t>
                  </m:r>
                  <m:r>
                    <m:rPr>
                      <m:sty m:val="p"/>
                    </m:rPr>
                    <m:t>,</m:t>
                  </m:r>
                  <m:r>
                    <m:rPr>
                      <m:sty m:val="p"/>
                      <m:nor/>
                    </m:rPr>
                    <m:t>noise</m:t>
                  </m:r>
                </m:sub>
              </m:sSub>
            </m:oMath>
          </w:p>
        </w:tc>
        <w:tc>
          <w:tcPr>
            <w:tcW w:type="dxa" w:w="5617"/>
          </w:tcPr>
          <w:p>
            <w:pPr>
              <w:pStyle w:val="Compact"/>
              <w:jc w:val="left"/>
            </w:pPr>
            <w:r>
              <w:t xml:space="preserve">standard deviation of the load estimate caused by white noise</w:t>
            </w:r>
          </w:p>
        </w:tc>
      </w:tr>
      <w:tr>
        <w:trPr>
          <w:cantSplit/>
        </w:trPr>
        <w:tc>
          <w:tcPr>
            <w:tcW w:type="dxa" w:w="3452"/>
          </w:tcPr>
          <w:p>
            <w:pPr>
              <w:pStyle w:val="Compact"/>
              <w:jc w:val="left"/>
            </w:pPr>
            <m:oMath>
              <m:r>
                <m:t>τ</m:t>
              </m:r>
            </m:oMath>
          </w:p>
        </w:tc>
        <w:tc>
          <w:tcPr>
            <w:tcW w:type="dxa" w:w="5617"/>
          </w:tcPr>
          <w:p>
            <w:pPr>
              <w:pStyle w:val="Compact"/>
              <w:jc w:val="left"/>
            </w:pPr>
            <w:r>
              <w:t xml:space="preserve">tolerance on the static misfit of a gauge</w:t>
            </w:r>
          </w:p>
        </w:tc>
      </w:tr>
      <w:tr>
        <w:trPr>
          <w:cantSplit/>
        </w:trPr>
        <w:tc>
          <w:tcPr>
            <w:tcW w:type="dxa" w:w="3452"/>
          </w:tcPr>
          <w:p>
            <w:pPr>
              <w:pStyle w:val="Compact"/>
              <w:jc w:val="left"/>
            </w:pPr>
            <m:oMath>
              <m:r>
                <m:t>ξ</m:t>
              </m:r>
            </m:oMath>
            <w:r>
              <w:t xml:space="preserve">,</w:t>
            </w:r>
            <w:r>
              <w:t xml:space="preserve"> </w:t>
            </w:r>
            <m:oMath>
              <m:sSub>
                <m:e>
                  <m:r>
                    <m:t>ξ</m:t>
                  </m:r>
                </m:e>
                <m:sub>
                  <m:r>
                    <m:t>0</m:t>
                  </m:r>
                </m:sub>
              </m:sSub>
            </m:oMath>
            <w:r>
              <w:t xml:space="preserve">,</w:t>
            </w:r>
            <w:r>
              <w:t xml:space="preserve"> </w:t>
            </w:r>
            <m:oMath>
              <m:sSup>
                <m:e>
                  <m:r>
                    <m:t>ξ</m:t>
                  </m:r>
                </m:e>
                <m:sup>
                  <m:r>
                    <m:rPr>
                      <m:nor/>
                    </m:rPr>
                    <m:t>*</m:t>
                  </m:r>
                </m:sup>
              </m:sSup>
            </m:oMath>
          </w:p>
        </w:tc>
        <w:tc>
          <w:tcPr>
            <w:tcW w:type="dxa" w:w="5617"/>
          </w:tcPr>
          <w:p>
            <w:pPr>
              <w:pStyle w:val="Compact"/>
              <w:jc w:val="left"/>
            </w:pPr>
            <w:r>
              <w:t xml:space="preserve">sensor position as a fraction of its span; zero of the uniform-load moment in the span (main span:</w:t>
            </w:r>
            <w:r>
              <w:t xml:space="preserve"> </w:t>
            </w:r>
            <m:oMath>
              <m:sSub>
                <m:e>
                  <m:r>
                    <m:t>ζ</m:t>
                  </m:r>
                </m:e>
                <m:sub>
                  <m:r>
                    <m:t>0</m:t>
                  </m:r>
                </m:sub>
              </m:sSub>
            </m:oMath>
            <w:r>
              <w:t xml:space="preserve">); optimal side-span position, Eq. (S1) and Table S2</w:t>
            </w:r>
          </w:p>
        </w:tc>
      </w:tr>
      <w:tr>
        <w:trPr>
          <w:cantSplit/>
        </w:trPr>
        <w:tc>
          <w:tcPr>
            <w:tcW w:type="dxa" w:w="3452"/>
          </w:tcPr>
          <w:p>
            <w:pPr>
              <w:pStyle w:val="Compact"/>
              <w:jc w:val="left"/>
            </w:pPr>
            <m:oMath>
              <m:r>
                <m:t>Φ</m:t>
              </m:r>
            </m:oMath>
          </w:p>
        </w:tc>
        <w:tc>
          <w:tcPr>
            <w:tcW w:type="dxa" w:w="5617"/>
          </w:tcPr>
          <w:p>
            <w:pPr>
              <w:pStyle w:val="Compact"/>
              <w:jc w:val="left"/>
            </w:pPr>
            <w:r>
              <w:t xml:space="preserve">normalized uniform-load deflection of a prismatic span with end moments (Section S3)</w:t>
            </w:r>
          </w:p>
        </w:tc>
      </w:tr>
      <w:tr>
        <w:trPr>
          <w:cantSplit/>
        </w:trPr>
        <w:tc>
          <w:tcPr>
            <w:tcW w:type="dxa" w:w="3452"/>
          </w:tcPr>
          <w:p>
            <w:pPr>
              <w:pStyle w:val="Compact"/>
              <w:jc w:val="left"/>
            </w:pPr>
            <w:r>
              <w:t xml:space="preserve">BPM</w:t>
            </w:r>
          </w:p>
        </w:tc>
        <w:tc>
          <w:tcPr>
            <w:tcW w:type="dxa" w:w="5617"/>
          </w:tcPr>
          <w:p>
            <w:pPr>
              <w:pStyle w:val="Compact"/>
              <w:jc w:val="left"/>
            </w:pPr>
            <w:r>
              <w:t xml:space="preserve">beam-property method: load = record integral / modeled constant</w:t>
            </w:r>
          </w:p>
        </w:tc>
      </w:tr>
      <w:tr>
        <w:trPr>
          <w:cantSplit/>
        </w:trPr>
        <w:tc>
          <w:tcPr>
            <w:tcW w:type="dxa" w:w="3452"/>
          </w:tcPr>
          <w:p>
            <w:pPr>
              <w:pStyle w:val="Compact"/>
              <w:jc w:val="left"/>
            </w:pPr>
            <w:r>
              <w:t xml:space="preserve">SLM</w:t>
            </w:r>
          </w:p>
        </w:tc>
        <w:tc>
          <w:tcPr>
            <w:tcW w:type="dxa" w:w="5617"/>
          </w:tcPr>
          <w:p>
            <w:pPr>
              <w:pStyle w:val="Compact"/>
              <w:jc w:val="left"/>
            </w:pPr>
            <w:r>
              <w:t xml:space="preserve">standard-load method: constant taken from a crossing of known weight</w:t>
            </w:r>
          </w:p>
        </w:tc>
      </w:tr>
      <w:tr>
        <w:trPr>
          <w:cantSplit/>
        </w:trPr>
        <w:tc>
          <w:tcPr>
            <w:tcW w:type="dxa" w:w="3452"/>
          </w:tcPr>
          <w:p>
            <w:pPr>
              <w:pStyle w:val="Compact"/>
              <w:jc w:val="left"/>
            </w:pPr>
            <w:r>
              <w:t xml:space="preserve">WIM, BWIM, NOR</w:t>
            </w:r>
          </w:p>
        </w:tc>
        <w:tc>
          <w:tcPr>
            <w:tcW w:type="dxa" w:w="5617"/>
          </w:tcPr>
          <w:p>
            <w:pPr>
              <w:pStyle w:val="Compact"/>
              <w:jc w:val="left"/>
            </w:pPr>
            <w:r>
              <w:t xml:space="preserve">weigh-in-motion; bridge weigh-in-motion; Nothing-on-Road (no sensors on the road surface)</w:t>
            </w:r>
          </w:p>
        </w:tc>
      </w:tr>
      <w:tr>
        <w:trPr>
          <w:cantSplit/>
        </w:trPr>
        <w:tc>
          <w:tcPr>
            <w:tcW w:type="dxa" w:w="3452"/>
          </w:tcPr>
          <w:p>
            <w:pPr>
              <w:pStyle w:val="Compact"/>
              <w:jc w:val="left"/>
            </w:pPr>
            <w:r>
              <w:t xml:space="preserve">CI, CV, MAE, SD</w:t>
            </w:r>
          </w:p>
        </w:tc>
        <w:tc>
          <w:tcPr>
            <w:tcW w:type="dxa" w:w="5617"/>
          </w:tcPr>
          <w:p>
            <w:pPr>
              <w:pStyle w:val="Compact"/>
              <w:jc w:val="left"/>
            </w:pPr>
            <w:r>
              <w:t xml:space="preserve">confidence interval; coefficient of variation; mean absolute error; standard deviation</w:t>
            </w:r>
          </w:p>
        </w:tc>
      </w:tr>
      <w:tr>
        <w:trPr>
          <w:cantSplit/>
        </w:trPr>
        <w:tc>
          <w:tcPr>
            <w:tcW w:type="dxa" w:w="3452"/>
          </w:tcPr>
          <w:p>
            <w:pPr>
              <w:pStyle w:val="Compact"/>
              <w:jc w:val="left"/>
            </w:pPr>
            <w:r>
              <w:t xml:space="preserve">FE</w:t>
            </w:r>
          </w:p>
        </w:tc>
        <w:tc>
          <w:tcPr>
            <w:tcW w:type="dxa" w:w="5617"/>
          </w:tcPr>
          <w:p>
            <w:pPr>
              <w:pStyle w:val="Compact"/>
              <w:jc w:val="left"/>
            </w:pPr>
            <w:r>
              <w:t xml:space="preserve">finite element</w:t>
            </w:r>
          </w:p>
        </w:tc>
      </w:tr>
      <w:tr>
        <w:trPr>
          <w:cantSplit/>
        </w:trPr>
        <w:tc>
          <w:tcPr>
            <w:tcW w:type="dxa" w:w="3452"/>
          </w:tcPr>
          <w:p>
            <w:pPr>
              <w:pStyle w:val="Compact"/>
              <w:jc w:val="left"/>
            </w:pPr>
            <w:r>
              <w:t xml:space="preserve">GLS</w:t>
            </w:r>
          </w:p>
        </w:tc>
        <w:tc>
          <w:tcPr>
            <w:tcW w:type="dxa" w:w="5617"/>
          </w:tcPr>
          <w:p>
            <w:pPr>
              <w:pStyle w:val="Compact"/>
              <w:jc w:val="left"/>
            </w:pPr>
            <w:r>
              <w:t xml:space="preserve">generalized least squares</w:t>
            </w:r>
          </w:p>
        </w:tc>
      </w:tr>
      <w:tr>
        <w:trPr>
          <w:cantSplit/>
        </w:trPr>
        <w:tc>
          <w:tcPr>
            <w:tcW w:type="dxa" w:w="3452"/>
          </w:tcPr>
          <w:p>
            <w:pPr>
              <w:pStyle w:val="Compact"/>
              <w:jc w:val="left"/>
            </w:pPr>
            <w:r>
              <w:t xml:space="preserve">GUM</w:t>
            </w:r>
          </w:p>
        </w:tc>
        <w:tc>
          <w:tcPr>
            <w:tcW w:type="dxa" w:w="5617"/>
          </w:tcPr>
          <w:p>
            <w:pPr>
              <w:pStyle w:val="Compact"/>
              <w:jc w:val="left"/>
            </w:pPr>
            <w:r>
              <w:t xml:space="preserve">Guide to the Expression of Uncertainty in Measurement</w:t>
            </w:r>
          </w:p>
        </w:tc>
      </w:tr>
      <w:tr>
        <w:trPr>
          <w:cantSplit/>
        </w:trPr>
        <w:tc>
          <w:tcPr>
            <w:tcW w:type="dxa" w:w="3452"/>
          </w:tcPr>
          <w:p>
            <w:pPr>
              <w:pStyle w:val="Compact"/>
              <w:jc w:val="left"/>
            </w:pPr>
            <w:r>
              <w:t xml:space="preserve">GVW</w:t>
            </w:r>
          </w:p>
        </w:tc>
        <w:tc>
          <w:tcPr>
            <w:tcW w:type="dxa" w:w="5617"/>
          </w:tcPr>
          <w:p>
            <w:pPr>
              <w:pStyle w:val="Compact"/>
              <w:jc w:val="left"/>
            </w:pPr>
            <w:r>
              <w:t xml:space="preserve">gross vehicle weight</w:t>
            </w:r>
          </w:p>
        </w:tc>
      </w:tr>
      <w:tr>
        <w:trPr>
          <w:cantSplit/>
        </w:trPr>
        <w:tc>
          <w:tcPr>
            <w:tcW w:type="dxa" w:w="3452"/>
          </w:tcPr>
          <w:p>
            <w:pPr>
              <w:pStyle w:val="Compact"/>
              <w:jc w:val="left"/>
            </w:pPr>
            <w:r>
              <w:t xml:space="preserve">LOO, LOTO</w:t>
            </w:r>
          </w:p>
        </w:tc>
        <w:tc>
          <w:tcPr>
            <w:tcW w:type="dxa" w:w="5617"/>
          </w:tcPr>
          <w:p>
            <w:pPr>
              <w:pStyle w:val="Compact"/>
              <w:jc w:val="left"/>
            </w:pPr>
            <w:r>
              <w:t xml:space="preserve">leave-one-run-out and leave-one-truck-out cross-validation</w:t>
            </w:r>
          </w:p>
        </w:tc>
      </w:tr>
      <w:tr>
        <w:trPr>
          <w:cantSplit/>
        </w:trPr>
        <w:tc>
          <w:tcPr>
            <w:tcW w:type="dxa" w:w="3452"/>
          </w:tcPr>
          <w:p>
            <w:pPr>
              <w:pStyle w:val="Compact"/>
              <w:jc w:val="left"/>
            </w:pPr>
            <w:r>
              <w:t xml:space="preserve">TOST</w:t>
            </w:r>
          </w:p>
        </w:tc>
        <w:tc>
          <w:tcPr>
            <w:tcW w:type="dxa" w:w="5617"/>
          </w:tcPr>
          <w:p>
            <w:pPr>
              <w:pStyle w:val="Compact"/>
              <w:jc w:val="left"/>
            </w:pPr>
            <w:r>
              <w:t xml:space="preserve">two one-sided tests of equivalence</w:t>
            </w:r>
          </w:p>
        </w:tc>
      </w:tr>
      <w:tr>
        <w:trPr>
          <w:cantSplit/>
        </w:trPr>
        <w:tc>
          <w:tcPr>
            <w:tcW w:type="dxa" w:w="3452"/>
          </w:tcPr>
          <w:p>
            <w:pPr>
              <w:pStyle w:val="Compact"/>
              <w:jc w:val="left"/>
            </w:pPr>
            <w:r>
              <w:t xml:space="preserve">N7, N8</w:t>
            </w:r>
          </w:p>
        </w:tc>
        <w:tc>
          <w:tcPr>
            <w:tcW w:type="dxa" w:w="561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3452"/>
          </w:tcPr>
          <w:p>
            <w:pPr>
              <w:pStyle w:val="Compact"/>
              <w:jc w:val="left"/>
            </w:pPr>
            <w:r>
              <w:t xml:space="preserve">T5–T8</w:t>
            </w:r>
          </w:p>
        </w:tc>
        <w:tc>
          <w:tcPr>
            <w:tcW w:type="dxa" w:w="561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nor/>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nor/>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nor/>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(S1)</w:t>
            </w:r>
          </w:p>
        </w:tc>
      </w:tr>
    </w:tbl>
    <w:p>
      <w:pPr>
        <w:pStyle w:val="BodyText"/>
      </w:pPr>
      <w:r>
        <w:t xml:space="preserve">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nor/>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nor/>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For a mid side-span sensor and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nor/>
                      </m:rPr>
                      <m:t>crit</m:t>
                    </m:r>
                  </m:sub>
                </m:sSub>
                <m:r>
                  <m:rPr>
                    <m:sty m:val="p"/>
                  </m:rPr>
                  <m:t>=</m:t>
                </m:r>
                <m:rad>
                  <m:radPr>
                    <m:degHide m:val="on"/>
                  </m:radPr>
                  <m:deg/>
                  <m:e>
                    <m:r>
                      <m:t>10</m:t>
                    </m:r>
                    <m:r>
                      <m:rPr>
                        <m:sty m:val="p"/>
                      </m:rPr>
                      <m:t>/</m:t>
                    </m:r>
                    <m:r>
                      <m:t>3</m:t>
                    </m:r>
                  </m:e>
                </m:rad>
                <m:r>
                  <m:t> </m:t>
                </m:r>
                <m:r>
                  <m:rPr>
                    <m:sty m:val="p"/>
                    <m:nor/>
                  </m:rPr>
                  <m:t>cos</m:t>
                </m:r>
                <m:r>
                  <m:t>​</m:t>
                </m:r>
                <m:d>
                  <m:dPr>
                    <m:begChr m:val="["/>
                    <m:endChr m:val="]"/>
                    <m:sepChr m:val=""/>
                    <m:grow/>
                  </m:dPr>
                  <m:e>
                    <m:f>
                      <m:fPr>
                        <m:type m:val="lin"/>
                      </m:fPr>
                      <m:num>
                        <m:r>
                          <m:t>1</m:t>
                        </m:r>
                      </m:num>
                      <m:den>
                        <m:r>
                          <m:t>3</m:t>
                        </m:r>
                      </m:den>
                    </m:f>
                    <m:r>
                      <m:rPr>
                        <m:sty m:val="p"/>
                        <m:nor/>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(S2)</w:t>
            </w:r>
          </w:p>
        </w:tc>
      </w:tr>
    </w:tbl>
    <w:p>
      <w:pPr>
        <w:pStyle w:val="BodyText"/>
      </w:pPr>
      <w:r>
        <w:t xml:space="preserve">The blind locus over all side-span positions ends at</w:t>
      </w:r>
      <w:r>
        <w:t xml:space="preserve"> </w:t>
      </w:r>
      <m:oMath>
        <m:r>
          <m:t>β</m:t>
        </m:r>
        <m:r>
          <m:rPr>
            <m:sty m:val="p"/>
          </m:rPr>
          <m:t>=</m:t>
        </m:r>
        <m:r>
          <m:t>2</m:t>
        </m:r>
        <m:r>
          <m:rPr>
            <m:sty m:val="p"/>
            <m:nor/>
          </m:rPr>
          <m:t>cos</m:t>
        </m:r>
        <m:d>
          <m:dPr>
            <m:begChr m:val="("/>
            <m:endChr m:val=")"/>
            <m:sepChr m:val=""/>
            <m:grow/>
          </m:dPr>
          <m:e>
            <m:r>
              <m:t>π</m:t>
            </m:r>
            <m:r>
              <m:rPr>
                <m:sty m:val="p"/>
              </m:rPr>
              <m:t>/</m:t>
            </m:r>
            <m:r>
              <m:t>9</m:t>
            </m:r>
          </m:e>
        </m:d>
        <m:r>
          <m:rPr>
            <m:sty m:val="p"/>
          </m:rPr>
          <m:t>=</m:t>
        </m:r>
        <m:r>
          <m:t>1.8794</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For the threshold 0.2, the near-blind band at mid side span,</w:t>
      </w:r>
      <w:r>
        <w:t xml:space="preserve"> </w:t>
      </w:r>
      <m:oMath>
        <m:r>
          <m:t>1.621</m:t>
        </m:r>
        <m:r>
          <m:rPr>
            <m:sty m:val="p"/>
          </m:rPr>
          <m:t>&lt;</m:t>
        </m:r>
        <m:r>
          <m:t>β</m:t>
        </m:r>
        <m:r>
          <m:rPr>
            <m:sty m:val="p"/>
          </m:rPr>
          <m:t>&lt;</m:t>
        </m:r>
        <m:r>
          <m:t>1.775</m:t>
        </m:r>
      </m:oMath>
      <w:r>
        <w:t xml:space="preserve">,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in the main span, blind points exist for</w:t>
      </w:r>
      <w:r>
        <w:t xml:space="preserve"> </w:t>
      </w:r>
      <m:oMath>
        <m:r>
          <m:t>0.9647</m:t>
        </m:r>
        <m:r>
          <m:rPr>
            <m:sty m:val="p"/>
          </m:rPr>
          <m:t>≤</m:t>
        </m:r>
        <m:r>
          <m:t>β</m:t>
        </m:r>
        <m:r>
          <m:rPr>
            <m:sty m:val="p"/>
          </m:rPr>
          <m:t>&lt;</m:t>
        </m:r>
        <m:rad>
          <m:radPr>
            <m:degHide m:val="on"/>
          </m:radPr>
          <m:deg/>
          <m:e>
            <m:r>
              <m:t>3</m:t>
            </m:r>
            <m:r>
              <m:rPr>
                <m:sty m:val="p"/>
              </m:rPr>
              <m:t>/</m:t>
            </m:r>
            <m:r>
              <m:t>2</m:t>
            </m:r>
          </m:e>
        </m:rad>
        <m:r>
          <m:rPr>
            <m:sty m:val="p"/>
          </m:rPr>
          <m:t>=</m:t>
        </m:r>
        <m:r>
          <m:t>1.2247</m:t>
        </m:r>
      </m:oMath>
      <w:r>
        <w:t xml:space="preserve">, where the blind condition is</w:t>
      </w:r>
      <w:r>
        <w:t xml:space="preserve"> </w:t>
      </w:r>
      <m:oMath>
        <m:r>
          <m:t>ν</m:t>
        </m:r>
        <m:r>
          <m:rPr>
            <m:sty m:val="p"/>
          </m:rPr>
          <m:t>=</m:t>
        </m:r>
        <m:r>
          <m:t>1</m:t>
        </m:r>
        <m:r>
          <m:rPr>
            <m:sty m:val="p"/>
          </m:rPr>
          <m:t>+</m:t>
        </m:r>
        <m:r>
          <m:t>ζ</m:t>
        </m:r>
        <m:r>
          <m:rPr>
            <m:sty m:val="p"/>
          </m:rPr>
          <m:t>−</m:t>
        </m:r>
        <m:sSup>
          <m:e>
            <m:r>
              <m:t>ζ</m:t>
            </m:r>
          </m:e>
          <m:sup>
            <m:r>
              <m:t>2</m:t>
            </m:r>
          </m:sup>
        </m:sSup>
      </m:oMath>
      <w:r>
        <w:t xml:space="preserve"> </w:t>
      </w:r>
      <w:r>
        <w:t xml:space="preserve">with</w:t>
      </w:r>
      <w:r>
        <w:t xml:space="preserve"> </w:t>
      </w:r>
      <m:oMath>
        <m:r>
          <m:t>ν</m:t>
        </m:r>
      </m:oMath>
      <w:r>
        <w:t xml:space="preserve"> </w:t>
      </w:r>
      <w:r>
        <w:t xml:space="preserve">defined below (three equal spans:</w:t>
      </w:r>
      <w:r>
        <w:t xml:space="preserve"> </w:t>
      </w:r>
      <m:oMath>
        <m:r>
          <m:t>ν</m:t>
        </m:r>
        <m:r>
          <m:rPr>
            <m:sty m:val="p"/>
          </m:rPr>
          <m:t>=</m:t>
        </m:r>
        <m:r>
          <m:t>1.2</m:t>
        </m:r>
      </m:oMath>
      <w:r>
        <w:t xml:space="preserve">,</w:t>
      </w:r>
      <w:r>
        <w:t xml:space="preserve"> </w:t>
      </w:r>
      <m:oMath>
        <m:r>
          <m:t>ζ</m:t>
        </m:r>
        <m:r>
          <m:rPr>
            <m:sty m:val="p"/>
          </m:rPr>
          <m:t>=</m:t>
        </m:r>
        <m:r>
          <m:t>0.276</m:t>
        </m:r>
      </m:oMath>
      <w:r>
        <w:t xml:space="preserve">, and</w:t>
      </w:r>
      <w:r>
        <w:t xml:space="preserve"> </w:t>
      </w:r>
      <m:oMath>
        <m:r>
          <m:rPr>
            <m:sty m:val="p"/>
          </m:rPr>
          <m:t>−</m:t>
        </m:r>
        <m:r>
          <m:t>0.08</m:t>
        </m:r>
        <m:r>
          <m:rPr>
            <m:sty m:val="p"/>
          </m:rPr>
          <m:t>≤</m:t>
        </m:r>
        <m:sSub>
          <m:e>
            <m:r>
              <m:t>N</m:t>
            </m:r>
          </m:e>
          <m:sub>
            <m:r>
              <m:t>w</m:t>
            </m:r>
          </m:sub>
        </m:sSub>
        <m:r>
          <m:rPr>
            <m:sty m:val="p"/>
          </m:rPr>
          <m:t>≤</m:t>
        </m:r>
        <m:r>
          <m:t>0.10</m:t>
        </m:r>
      </m:oMath>
      <w:r>
        <w:t xml:space="preserve"> </w:t>
      </w:r>
      <w:r>
        <w:t xml:space="preserve">along the main span). For a sensor at</w:t>
      </w:r>
      <w:r>
        <w:t xml:space="preserve"> </w:t>
      </w:r>
      <m:oMath>
        <m:r>
          <m:t>ζ</m:t>
        </m:r>
        <m:r>
          <m:rPr>
            <m:sty m:val="p"/>
          </m:rPr>
          <m:t>=</m:t>
        </m:r>
        <m:r>
          <m:t>x</m:t>
        </m:r>
        <m:r>
          <m:rPr>
            <m:sty m:val="p"/>
          </m:rPr>
          <m:t>/</m:t>
        </m:r>
        <m:sSub>
          <m:e>
            <m:r>
              <m:t>L</m:t>
            </m:r>
          </m:e>
          <m:sub>
            <m:r>
              <m:rPr>
                <m:sty m:val="p"/>
                <m:nor/>
              </m:rPr>
              <m:t>main</m:t>
            </m:r>
          </m:sub>
        </m:sSub>
      </m:oMath>
      <w:r>
        <w:t xml:space="preserve"> </w:t>
      </w:r>
      <w:r>
        <w:t xml:space="preserve">in the main span,</w:t>
      </w:r>
      <w:r>
        <w:t xml:space="preserve"> </w:t>
      </w:r>
      <m:oMath>
        <m:r>
          <m:t>192</m:t>
        </m:r>
        <m:r>
          <m:t>E</m:t>
        </m:r>
        <m:sSub>
          <m:e>
            <m:r>
              <m:t>I</m:t>
            </m:r>
          </m:e>
          <m:sub>
            <m:r>
              <m:rPr>
                <m:sty m:val="p"/>
                <m:nor/>
              </m:rPr>
              <m:t>main</m:t>
            </m:r>
          </m:sub>
        </m:sSub>
        <m:sSub>
          <m:e>
            <m:r>
              <m:t>C</m:t>
            </m:r>
          </m:e>
          <m:sub>
            <m:r>
              <m:t>m</m:t>
            </m:r>
          </m:sub>
        </m:sSub>
        <m:r>
          <m:rPr>
            <m:sty m:val="p"/>
          </m:rPr>
          <m:t>/</m:t>
        </m:r>
        <m:sSubSup>
          <m:e>
            <m:r>
              <m:t>L</m:t>
            </m:r>
          </m:e>
          <m:sub>
            <m:r>
              <m:rPr>
                <m:sty m:val="p"/>
                <m:nor/>
              </m:rPr>
              <m:t>main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nor/>
              </m:rPr>
              <m:t>*</m:t>
            </m:r>
          </m:sup>
        </m:sSup>
      </m:oMath>
      <w:r>
        <w:t xml:space="preserve"> </w:t>
      </w:r>
      <w:r>
        <w:t xml:space="preserve">(largest positive indicator; beyond</w:t>
      </w:r>
      <w:r>
        <w:t xml:space="preserve"> </w:t>
      </w:r>
      <m:oMath>
        <m:r>
          <m:t>β</m:t>
        </m:r>
      </m:oMath>
      <w:r>
        <w:t xml:space="preserve"> </w:t>
      </w:r>
      <w:r>
        <w:t xml:space="preserve">= 1.639 the negative indicator near the inner pier is larger in magnitude, −0.435 at</w:t>
      </w:r>
      <w:r>
        <w:t xml:space="preserve"> </w:t>
      </w:r>
      <m:oMath>
        <m:r>
          <m:t>ξ</m:t>
        </m:r>
      </m:oMath>
      <w:r>
        <w:t xml:space="preserve"> </w:t>
      </w:r>
      <w:r>
        <w:t xml:space="preserve">= 0.81 for</w:t>
      </w:r>
      <w:r>
        <w:t xml:space="preserve"> </w:t>
      </w:r>
      <m:oMath>
        <m:r>
          <m:t>β</m:t>
        </m:r>
      </m:oMath>
      <w:r>
        <w:t xml:space="preserve"> </w:t>
      </w:r>
      <w:r>
        <w:t xml:space="preserve">= 1.7) and deflection indicator</w:t>
      </w:r>
      <w:r>
        <w:t xml:space="preserve"> </w:t>
      </w:r>
      <m:oMath>
        <m:sSub>
          <m:e>
            <m:r>
              <m:t>N</m:t>
            </m:r>
          </m:e>
          <m:sub>
            <m:r>
              <m:t>w</m:t>
            </m:r>
          </m:sub>
        </m:sSub>
      </m:oMath>
      <w:r>
        <w:t xml:space="preserve"> </w:t>
      </w:r>
      <w:r>
        <w:t xml:space="preserve">(Eq. (8);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p>
      <w:pPr>
        <w:pStyle w:val="BodyText"/>
      </w:pPr>
      <w:r>
        <w:t xml:space="preserve">Threshold sensitivity. The threshold 0.2 is a design convention (Section 2.3). Table S3 gives the near-blind bands of three gauges for thresholds of 0.1, 0.2 and 0.3 (script</w:t>
      </w:r>
      <w:r>
        <w:t xml:space="preserve"> </w:t>
      </w:r>
      <w:r>
        <w:rPr>
          <w:rStyle w:val="VerbatimChar"/>
        </w:rPr>
        <w:t xml:space="preserve">s06_threshold_sensitivity.py</w:t>
      </w:r>
      <w:r>
        <w:t xml:space="preserve">).</w:t>
      </w:r>
    </w:p>
    <w:p>
      <w:pPr>
        <w:pStyle w:val="BodyText"/>
        <w:keepNext/>
      </w:pPr>
      <w:r>
        <w:rPr>
          <w:bCs/>
          <w:b/>
        </w:rPr>
        <w:t xml:space="preserve">Table S3.</w:t>
      </w:r>
      <w:r>
        <w:t xml:space="preserve"> </w:t>
      </w:r>
      <w:r>
        <w:t xml:space="preserve">Near-blind bands against the threshold on the indicator magnitude; prismatic beams of uniform rigidity. Strain: two equal spans, distance from the interior support as a fraction of the span. Deflection: mid-span gauge on two spans (span ratio</w:t>
      </w:r>
      <w:r>
        <w:t xml:space="preserve"> </w:t>
      </w:r>
      <m:oMath>
        <m:r>
          <m:t>λ</m:t>
        </m:r>
      </m:oMath>
      <w:r>
        <w:t xml:space="preserve">) and mid side-span gauge on a symmetric three-span beam (span ratio</w:t>
      </w:r>
      <w:r>
        <w:t xml:space="preserve"> </w:t>
      </w:r>
      <m:oMath>
        <m:r>
          <m:t>β</m:t>
        </m:r>
      </m:oMath>
      <w:r>
        <w:t xml:space="preserv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79"/>
        <w:gridCol w:w="2075"/>
        <w:gridCol w:w="2707"/>
        <w:gridCol w:w="2707"/>
      </w:tblGrid>
      <w:tr>
        <w:trPr>
          <w:tblHeader w:val="true"/>
          <w:tblHeader w:val="true"/>
          <w:cantSplit/>
        </w:trPr>
        <w:tc>
          <w:tcPr>
            <w:tcW w:type="dxa" w:w="1579"/>
            <w:tcBorders>
              <w:top w:val="nil"/>
              <w:left w:val="nil"/>
              <w:bottom w:val="single" w:sz="6" w:space="0" w:color="000000"/>
              <w:right w:val="nil"/>
            </w:tcBorders>
          </w:tcPr>
          <w:p>
            <w:pPr>
              <w:pStyle w:val="Compact"/>
              <w:jc w:val="right"/>
            </w:pPr>
            <w:r>
              <w:t xml:space="preserve">Threshold</w:t>
            </w:r>
          </w:p>
        </w:tc>
        <w:tc>
          <w:tcPr>
            <w:tcW w:type="dxa" w:w="2075"/>
            <w:tcBorders>
              <w:top w:val="nil"/>
              <w:left w:val="nil"/>
              <w:bottom w:val="single" w:sz="6" w:space="0" w:color="000000"/>
              <w:right w:val="nil"/>
            </w:tcBorders>
          </w:tcPr>
          <w:p>
            <w:pPr>
              <w:pStyle w:val="Compact"/>
              <w:jc w:val="right"/>
            </w:pPr>
            <w:r>
              <w:t xml:space="preserve">Strain, two equal spans</w:t>
            </w:r>
          </w:p>
        </w:tc>
        <w:tc>
          <w:tcPr>
            <w:tcW w:type="dxa" w:w="2707"/>
            <w:tcBorders>
              <w:top w:val="nil"/>
              <w:left w:val="nil"/>
              <w:bottom w:val="single" w:sz="6" w:space="0" w:color="000000"/>
              <w:right w:val="nil"/>
            </w:tcBorders>
          </w:tcPr>
          <w:p>
            <w:pPr>
              <w:pStyle w:val="Compact"/>
              <w:jc w:val="right"/>
            </w:pPr>
            <w:r>
              <w:t xml:space="preserve">Deflection, mid-span, two spans:</w:t>
            </w:r>
            <w:r>
              <w:t xml:space="preserve"> </w:t>
            </w:r>
            <m:oMath>
              <m:r>
                <m:t>λ</m:t>
              </m:r>
            </m:oMath>
          </w:p>
        </w:tc>
        <w:tc>
          <w:tcPr>
            <w:tcW w:type="dxa" w:w="2707"/>
            <w:tcBorders>
              <w:top w:val="nil"/>
              <w:left w:val="nil"/>
              <w:bottom w:val="single" w:sz="6" w:space="0" w:color="000000"/>
              <w:right w:val="nil"/>
            </w:tcBorders>
          </w:tcPr>
          <w:p>
            <w:pPr>
              <w:pStyle w:val="Compact"/>
              <w:jc w:val="right"/>
            </w:pPr>
            <w:r>
              <w:t xml:space="preserve">Deflection, mid side span, three spans:</w:t>
            </w:r>
            <w:r>
              <w:t xml:space="preserve"> </w:t>
            </w:r>
            <m:oMath>
              <m:r>
                <m:t>β</m:t>
              </m:r>
            </m:oMath>
          </w:p>
        </w:tc>
      </w:tr>
      <w:tr>
        <w:trPr>
          <w:cantSplit/>
        </w:trPr>
        <w:tc>
          <w:tcPr>
            <w:tcW w:type="dxa" w:w="1579"/>
          </w:tcPr>
          <w:p>
            <w:pPr>
              <w:pStyle w:val="Compact"/>
              <w:jc w:val="right"/>
            </w:pPr>
            <w:r>
              <w:t xml:space="preserve">0.1</w:t>
            </w:r>
          </w:p>
        </w:tc>
        <w:tc>
          <w:tcPr>
            <w:tcW w:type="dxa" w:w="2075"/>
          </w:tcPr>
          <w:p>
            <w:pPr>
              <w:pStyle w:val="Compact"/>
              <w:jc w:val="right"/>
            </w:pPr>
            <w:r>
              <w:t xml:space="preserve">0.218–0.285</w:t>
            </w:r>
          </w:p>
        </w:tc>
        <w:tc>
          <w:tcPr>
            <w:tcW w:type="dxa" w:w="2707"/>
          </w:tcPr>
          <w:p>
            <w:pPr>
              <w:pStyle w:val="Compact"/>
              <w:jc w:val="right"/>
            </w:pPr>
            <w:r>
              <w:t xml:space="preserve">1.422–1.492</w:t>
            </w:r>
          </w:p>
        </w:tc>
        <w:tc>
          <w:tcPr>
            <w:tcW w:type="dxa" w:w="2707"/>
          </w:tcPr>
          <w:p>
            <w:pPr>
              <w:pStyle w:val="Compact"/>
              <w:jc w:val="right"/>
            </w:pPr>
            <w:r>
              <w:t xml:space="preserve">1.662–1.738</w:t>
            </w:r>
          </w:p>
        </w:tc>
      </w:tr>
      <w:tr>
        <w:trPr>
          <w:cantSplit/>
        </w:trPr>
        <w:tc>
          <w:tcPr>
            <w:tcW w:type="dxa" w:w="1579"/>
          </w:tcPr>
          <w:p>
            <w:pPr>
              <w:pStyle w:val="Compact"/>
              <w:jc w:val="right"/>
            </w:pPr>
            <w:r>
              <w:t xml:space="preserve">0.2</w:t>
            </w:r>
          </w:p>
        </w:tc>
        <w:tc>
          <w:tcPr>
            <w:tcW w:type="dxa" w:w="2075"/>
          </w:tcPr>
          <w:p>
            <w:pPr>
              <w:pStyle w:val="Compact"/>
              <w:jc w:val="right"/>
            </w:pPr>
            <w:r>
              <w:t xml:space="preserve">0.188–0.324</w:t>
            </w:r>
          </w:p>
        </w:tc>
        <w:tc>
          <w:tcPr>
            <w:tcW w:type="dxa" w:w="2707"/>
          </w:tcPr>
          <w:p>
            <w:pPr>
              <w:pStyle w:val="Compact"/>
              <w:jc w:val="right"/>
            </w:pPr>
            <w:r>
              <w:t xml:space="preserve">1.385–1.525</w:t>
            </w:r>
          </w:p>
        </w:tc>
        <w:tc>
          <w:tcPr>
            <w:tcW w:type="dxa" w:w="2707"/>
          </w:tcPr>
          <w:p>
            <w:pPr>
              <w:pStyle w:val="Compact"/>
              <w:jc w:val="right"/>
            </w:pPr>
            <w:r>
              <w:t xml:space="preserve">1.621–1.775</w:t>
            </w:r>
          </w:p>
        </w:tc>
      </w:tr>
      <w:tr>
        <w:trPr>
          <w:cantSplit/>
        </w:trPr>
        <w:tc>
          <w:tcPr>
            <w:tcW w:type="dxa" w:w="1579"/>
          </w:tcPr>
          <w:p>
            <w:pPr>
              <w:pStyle w:val="Compact"/>
              <w:jc w:val="right"/>
            </w:pPr>
            <w:r>
              <w:t xml:space="preserve">0.3</w:t>
            </w:r>
          </w:p>
        </w:tc>
        <w:tc>
          <w:tcPr>
            <w:tcW w:type="dxa" w:w="2075"/>
          </w:tcPr>
          <w:p>
            <w:pPr>
              <w:pStyle w:val="Compact"/>
              <w:jc w:val="right"/>
            </w:pPr>
            <w:r>
              <w:t xml:space="preserve">0.161–0.369</w:t>
            </w:r>
          </w:p>
        </w:tc>
        <w:tc>
          <w:tcPr>
            <w:tcW w:type="dxa" w:w="2707"/>
          </w:tcPr>
          <w:p>
            <w:pPr>
              <w:pStyle w:val="Compact"/>
              <w:jc w:val="right"/>
            </w:pPr>
            <w:r>
              <w:t xml:space="preserve">1.347–1.557</w:t>
            </w:r>
          </w:p>
        </w:tc>
        <w:tc>
          <w:tcPr>
            <w:tcW w:type="dxa" w:w="2707"/>
          </w:tcPr>
          <w:p>
            <w:pPr>
              <w:pStyle w:val="Compact"/>
              <w:jc w:val="right"/>
            </w:pPr>
            <w:r>
              <w:t xml:space="preserve">1.580–1.811</w:t>
            </w:r>
          </w:p>
        </w:tc>
      </w:tr>
    </w:tbl>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(7)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(14) and the main-span values from</w:t>
      </w:r>
      <w:r>
        <w:t xml:space="preserve"> </w:t>
      </w:r>
      <m:oMath>
        <m:sSub>
          <m:e>
            <m:acc>
              <m:accPr>
                <m:chr m:val="¯"/>
              </m:accPr>
              <m:e>
                <m:r>
                  <m:t>M</m:t>
                </m:r>
              </m:e>
            </m:acc>
          </m:e>
          <m:sub>
            <m:r>
              <m:rPr>
                <m:sty m:val="p"/>
                <m:nor/>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and entry-shift ranges of 2–160 m (the range of axle positions over which the estimate must stay invariant)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In Eqs. (11) and (12) the offsets are random, with zero mean and standard deviation</w:t>
      </w:r>
      <w:r>
        <w:t xml:space="preserve"> </w:t>
      </w:r>
      <m:oMath>
        <m:sSub>
          <m:e>
            <m:r>
              <m:t>δ</m:t>
            </m:r>
          </m:e>
          <m:sub>
            <m:r>
              <m:t>0</m:t>
            </m:r>
          </m:sub>
        </m:sSub>
      </m:oMath>
      <w:r>
        <w:t xml:space="preserve">; Eq. (10) gives the bias of one realization. For one channel, Eq. (11)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nor/>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nor/>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(12) is only about 5 × 10⁻⁶ of</w:t>
      </w:r>
      <w:r>
        <w:t xml:space="preserve"> </w:t>
      </w:r>
      <m:oMath>
        <m:sSubSup>
          <m:e>
            <m:r>
              <m:t>δ</m:t>
            </m:r>
          </m:e>
          <m:sub>
            <m:r>
              <m:t>0</m:t>
            </m:r>
          </m:sub>
          <m:sup>
            <m:r>
              <m:t>2</m:t>
            </m:r>
          </m:sup>
        </m:sSubSup>
        <m:sSubSup>
          <m:e>
            <m:r>
              <m:t>L</m:t>
            </m:r>
          </m:e>
          <m:sub>
            <m:r>
              <m:rPr>
                <m:sty m:val="p"/>
                <m:nor/>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nor/>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(12)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(11) and (12) hold to within 0.6 %. Figure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32290"/>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2290"/>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 two sensors solid, three sensors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α</m:t>
        </m:r>
      </m:oMath>
      <w:r>
        <w:t xml:space="preserve"> </w:t>
      </w:r>
      <w:r>
        <w:t xml:space="preserve">and</w:t>
      </w:r>
      <w:r>
        <w:t xml:space="preserve"> </w:t>
      </w:r>
      <m:oMath>
        <m:sSub>
          <m:e>
            <m:r>
              <m:t>S</m:t>
            </m:r>
          </m:e>
          <m:sub>
            <m:r>
              <m:t>k</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two pier-rotation patterns,</w:t>
      </w:r>
      <w:r>
        <w:t xml:space="preserve"> </w:t>
      </w:r>
      <m:oMath>
        <m:sSub>
          <m:e>
            <m:r>
              <m:t>θ</m:t>
            </m:r>
          </m:e>
          <m:sub>
            <m:r>
              <m:t>6</m:t>
            </m:r>
          </m:sub>
        </m:sSub>
        <m:r>
          <m:rPr>
            <m:sty m:val="p"/>
          </m:rPr>
          <m:t>=</m:t>
        </m:r>
        <m:sSub>
          <m:e>
            <m:r>
              <m:t>θ</m:t>
            </m:r>
          </m:e>
          <m:sub>
            <m:r>
              <m:t>7</m:t>
            </m:r>
          </m:sub>
        </m:sSub>
      </m:oMath>
      <w:r>
        <w:t xml:space="preserve"> </w:t>
      </w:r>
      <w:r>
        <w:t xml:space="preserve">and</w:t>
      </w:r>
      <w:r>
        <w:t xml:space="preserve"> </w:t>
      </w:r>
      <m:oMath>
        <m:sSub>
          <m:e>
            <m:r>
              <m:t>θ</m:t>
            </m:r>
          </m:e>
          <m:sub>
            <m:r>
              <m:t>6</m:t>
            </m:r>
          </m:sub>
        </m:sSub>
        <m:r>
          <m:rPr>
            <m:sty m:val="p"/>
          </m:rPr>
          <m:t>=</m:t>
        </m:r>
        <m:r>
          <m:rPr>
            <m:sty m:val="p"/>
          </m:rPr>
          <m:t>−</m:t>
        </m:r>
        <m:sSub>
          <m:e>
            <m:r>
              <m:t>θ</m:t>
            </m:r>
          </m:e>
          <m:sub>
            <m:r>
              <m:t>7</m:t>
            </m:r>
          </m:sub>
        </m:sSub>
      </m:oMath>
      <w:r>
        <w:t xml:space="preserve">; the mirror-symmetric uniform load excites only the pattern</w:t>
      </w:r>
      <w:r>
        <w:t xml:space="preserve"> </w:t>
      </w:r>
      <m:oMath>
        <m:sSub>
          <m:e>
            <m:r>
              <m:t>θ</m:t>
            </m:r>
          </m:e>
          <m:sub>
            <m:r>
              <m:t>6</m:t>
            </m:r>
          </m:sub>
        </m:sSub>
        <m:r>
          <m:rPr>
            <m:sty m:val="p"/>
          </m:rPr>
          <m:t>=</m:t>
        </m:r>
        <m:r>
          <m:rPr>
            <m:sty m:val="p"/>
          </m:rPr>
          <m:t>−</m:t>
        </m:r>
        <m:sSub>
          <m:e>
            <m:r>
              <m:t>θ</m:t>
            </m:r>
          </m:e>
          <m:sub>
            <m:r>
              <m:t>7</m:t>
            </m:r>
          </m:sub>
        </m:sSub>
      </m:oMath>
      <w:r>
        <w:t xml:space="preserve">, and the Sherman–Morrison formula gives the linear-fractional (Möbius) law of Eq. (13) with</w:t>
      </w:r>
      <w:r>
        <w:t xml:space="preserve"> </w:t>
      </w:r>
      <m:oMath>
        <m:r>
          <m:t>1</m:t>
        </m:r>
        <m:r>
          <m:rPr>
            <m:sty m:val="p"/>
          </m:rPr>
          <m:t>/</m:t>
        </m:r>
        <m:sSub>
          <m:e>
            <m:r>
              <m:t>k</m:t>
            </m:r>
          </m:e>
          <m:sub>
            <m:r>
              <m:t>g</m:t>
            </m:r>
          </m:sub>
        </m:sSub>
      </m:oMath>
      <w:r>
        <w:t xml:space="preserve"> </w:t>
      </w:r>
      <w:r>
        <w:t xml:space="preserve">the pier flexibility of the girder in this pattern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(14)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pier stiffness in the pattern</w:t>
      </w:r>
      <w:r>
        <w:t xml:space="preserve"> </w:t>
      </w:r>
      <m:oMath>
        <m:sSub>
          <m:e>
            <m:r>
              <m:t>θ</m:t>
            </m:r>
          </m:e>
          <m:sub>
            <m:r>
              <m:t>6</m:t>
            </m:r>
          </m:sub>
        </m:sSub>
        <m:r>
          <m:rPr>
            <m:sty m:val="p"/>
          </m:rPr>
          <m:t>=</m:t>
        </m:r>
        <m:r>
          <m:rPr>
            <m:sty m:val="p"/>
          </m:rPr>
          <m:t>−</m:t>
        </m:r>
        <m:sSub>
          <m:e>
            <m:r>
              <m:t>θ</m:t>
            </m:r>
          </m:e>
          <m:sub>
            <m:r>
              <m:t>7</m:t>
            </m:r>
          </m:sub>
        </m:sSub>
      </m:oMath>
      <w:r>
        <w:t xml:space="preserve">,</w:t>
      </w:r>
      <w:r>
        <w:t xml:space="preserve"> </w:t>
      </w:r>
      <m:oMath>
        <m:sSub>
          <m:e>
            <m:r>
              <m:t>k</m:t>
            </m:r>
          </m:e>
          <m:sub>
            <m:r>
              <m:t>g</m:t>
            </m:r>
          </m:sub>
        </m:sSub>
        <m:sSub>
          <m:e>
            <m:r>
              <m:t>L</m:t>
            </m:r>
          </m:e>
          <m:sub>
            <m:r>
              <m:rPr>
                <m:sty m:val="p"/>
                <m:nor/>
              </m:rPr>
              <m:t>side</m:t>
            </m:r>
          </m:sub>
        </m:sSub>
        <m:r>
          <m:rPr>
            <m:sty m:val="p"/>
          </m:rPr>
          <m:t>/</m:t>
        </m:r>
        <m:r>
          <m:t>E</m:t>
        </m:r>
        <m:sSub>
          <m:e>
            <m:r>
              <m:t>I</m:t>
            </m:r>
          </m:e>
          <m:sub>
            <m:r>
              <m:rPr>
                <m:sty m:val="p"/>
                <m:nor/>
              </m:rPr>
              <m:t>side</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pattern</w:t>
      </w:r>
      <w:r>
        <w:t xml:space="preserve"> </w:t>
      </w:r>
      <m:oMath>
        <m:sSub>
          <m:e>
            <m:r>
              <m:t>θ</m:t>
            </m:r>
          </m:e>
          <m:sub>
            <m:r>
              <m:t>6</m:t>
            </m:r>
          </m:sub>
        </m:sSub>
        <m:r>
          <m:rPr>
            <m:sty m:val="p"/>
          </m:rPr>
          <m:t>=</m:t>
        </m:r>
        <m:sSub>
          <m:e>
            <m:r>
              <m:t>θ</m:t>
            </m:r>
          </m:e>
          <m:sub>
            <m:r>
              <m:t>7</m:t>
            </m:r>
          </m:sub>
        </m:sSub>
      </m:oMath>
      <w:r>
        <w:t xml:space="preserve">, which Eq. (13)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The SLM deviations match the growth of the measured-to-analytical integral ratio (1.010, 1.016 and 1.017 for one, two and three loads), which the data cannot assign to either support seating or the stated masses. Table S4 compares the identified total loads with direct weighing, and Table S5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S5).</w:t>
      </w:r>
    </w:p>
    <w:p>
      <w:pPr>
        <w:pStyle w:val="BodyText"/>
        <w:keepNext/>
      </w:pPr>
      <w:r>
        <w:rPr>
          <w:bCs/>
          <w:b/>
        </w:rPr>
        <w:t xml:space="preserve">Table S4.</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S5.</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S6), but only ch11 shows equal constants for both trucks within ±10 % (main-text Fig. 5a); each equivalence test wrongly declares equivalence with probability at most 5 %, so chance alone would produce at most about 0.6 passes in 12 tests, and one pass is weak evidence. The first truck ran at 10.4–12.8 m/s and the second at 19.1–19.8 m/s, so speed and truck are almost perfectly confounded (correlation 0.98). Day-2 speeds were 13–28 m/s; no speed effect was resolved (+6 % per 10 m/s, 95 % CI −23 to +35 %), but the confidence interval of the slope is too wide to call the constant speed-independent (Fig. S9). Equivalence was tested by two one-sided tests (TOST; Table S7); for the day-2 gauge average, the 90 % CI used for the equivalence test is 0.76–1.27, so differences of up to about 27 % cannot be excluded.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 For the gauge average the lane-B constant is 0.79 of that in lane A (95 % CI 0.59–1.00), so the lane effect is resolved only for st36. Lane-B speeds came from the lag between gauges, so the lane ratios also contain any difference between the two speed estimates.</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S9 and Fig. S11 give the correlations behind this result, and Table S10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an MAE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pPr>
      <w:r>
        <w:rPr>
          <w:bCs/>
          <w:b/>
        </w:rPr>
        <w:t xml:space="preserve">Table S6.</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m:oMath>
              <m:sSup>
                <m:e>
                  <m:r>
                    <m:t>χ</m:t>
                  </m:r>
                </m:e>
                <m:sup>
                  <m:r>
                    <m:t>2</m:t>
                  </m:r>
                </m:sup>
              </m:sSup>
            </m:oMath>
            <w:r>
              <w:t xml:space="preserve"> </w:t>
            </w:r>
            <m:oMath>
              <m:r>
                <m:t>p</m:t>
              </m:r>
            </m:oMath>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S7.</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S6)</w:t>
            </w:r>
          </w:p>
        </w:tc>
      </w:tr>
    </w:tbl>
    <w:p>
      <w:pPr>
        <w:pStyle w:val="BodyText"/>
        <w:keepNext/>
      </w:pPr>
      <w:r>
        <w:rPr>
          <w:bCs/>
          <w:b/>
        </w:rPr>
        <w:t xml:space="preserve">Table S8.</w:t>
      </w:r>
      <w:r>
        <w:t xml:space="preserve"> </w:t>
      </w:r>
      <w:r>
        <w:t xml:space="preserve">Mean absolute error of the gross weight (% of GVW), out of sample, with 95 % bootstrap CIs over the test runs (8 on day 2,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S9.</w:t>
      </w:r>
      <w:r>
        <w:t xml:space="preserve"> </w:t>
      </w:r>
      <w:r>
        <w:t xml:space="preserve">Correlation between gauges of the integrated strain: means over gauge pairs, with 95 % bootstrap CIs in parentheses.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0.42</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0.30</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S10.</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S11). Mitutoyo dial gauges, mounted on independent frames fixed to the ground, read the peak deflection under central and eccentric transverse positions at three measuring points across each section (Table S12).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Tolerance. The six readings of each section have a standard deviation of 4.7–5.0 % about their mean (Table S12), so the standard error of the mean is 1.9–2.0 %. Dividing the six-reading SD by</w:t>
      </w:r>
      <w:r>
        <w:t xml:space="preserve"> </w:t>
      </w:r>
      <m:oMath>
        <m:rad>
          <m:radPr>
            <m:degHide m:val="on"/>
          </m:radPr>
          <m:deg/>
          <m:e>
            <m:r>
              <m:t>6</m:t>
            </m:r>
          </m:e>
        </m:rad>
      </m:oMath>
      <w:r>
        <w:t xml:space="preserve"> </w:t>
      </w:r>
      <w:r>
        <w:t xml:space="preserve">treats the transverse readings as independent samples; this is an assumption, because the scatter comes from the transverse positions and the readings are not replicates. The model-form standard uncertainty of 1.75 % is half the spread of</w:t>
      </w:r>
      <w:r>
        <w:t xml:space="preserve"> </w:t>
      </w:r>
      <m:oMath>
        <m:r>
          <m:rPr>
            <m:sty m:val="p"/>
            <m:nor/>
          </m:rPr>
          <m:t>ln</m:t>
        </m:r>
      </m:oMath>
      <w:r>
        <w:t xml:space="preserve"> </w:t>
      </w:r>
      <w:r>
        <w:t xml:space="preserve">of the predicted N8-to-N7 ratio across the model-form variants at the minimum of the misfit ratio (</w:t>
      </w:r>
      <m:oMath>
        <m:r>
          <m:t>κ</m:t>
        </m:r>
      </m:oMath>
      <w:r>
        <w:t xml:space="preserve"> </w:t>
      </w:r>
      <w:r>
        <w:t xml:space="preserve">= 1.68 × 10⁸ kN m/rad), divided by</w:t>
      </w:r>
      <w:r>
        <w:t xml:space="preserve"> </w:t>
      </w:r>
      <m:oMath>
        <m:rad>
          <m:radPr>
            <m:degHide m:val="on"/>
          </m:radPr>
          <m:deg/>
          <m:e>
            <m:r>
              <m:t>2</m:t>
            </m:r>
          </m:e>
        </m:rad>
      </m:oMath>
      <w:r>
        <w:t xml:space="preserve"> </w:t>
      </w:r>
      <w:r>
        <w:t xml:space="preserve">to give a per-gauge value (script</w:t>
      </w:r>
      <w:r>
        <w:t xml:space="preserve"> </w:t>
      </w:r>
      <w:r>
        <w:rPr>
          <w:rStyle w:val="VerbatimChar"/>
        </w:rPr>
        <w:t xml:space="preserve">ident_static.py</w:t>
      </w:r>
      <w:r>
        <w:t xml:space="preserve">). Combined in quadrature with the pooled standard error of the mean, it gives 2.64 % for each section mean and</w:t>
      </w:r>
      <w:r>
        <w:t xml:space="preserve"> </w:t>
      </w:r>
      <m:oMath>
        <m:r>
          <m:t>τ</m:t>
        </m:r>
      </m:oMath>
      <w:r>
        <w:t xml:space="preserve"> </w:t>
      </w:r>
      <w:r>
        <w:t xml:space="preserve">= 5.3 % at two standard deviations.</w:t>
      </w:r>
    </w:p>
    <w:p>
      <w:pPr>
        <w:pStyle w:val="BodyText"/>
      </w:pPr>
      <w:r>
        <w:t xml:space="preserve">Admissible sets (Table S13). The conclusions depend on the tolerance, so Table S13 gives the admissible set at</w:t>
      </w:r>
      <w:r>
        <w:t xml:space="preserve"> </w:t>
      </w:r>
      <m:oMath>
        <m:r>
          <m:t>τ</m:t>
        </m:r>
      </m:oMath>
      <w:r>
        <w:t xml:space="preserve"> </w:t>
      </w:r>
      <w:r>
        <w:t xml:space="preserve">= 3, 4 and 5.3 %.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 The ratio of the largest to the smallest</w:t>
      </w:r>
      <w:r>
        <w:t xml:space="preserve"> </w:t>
      </w:r>
      <m:oMath>
        <m:sSub>
          <m:e>
            <m:r>
              <m:t>C</m:t>
            </m:r>
          </m:e>
          <m:sub>
            <m:r>
              <m:t>8</m:t>
            </m:r>
          </m:sub>
        </m:sSub>
      </m:oMath>
      <w:r>
        <w:t xml:space="preserve"> </w:t>
      </w:r>
      <w:r>
        <w:t xml:space="preserve">over the admissible set is 1.5 at</w:t>
      </w:r>
      <w:r>
        <w:t xml:space="preserve"> </w:t>
      </w:r>
      <m:oMath>
        <m:r>
          <m:t>τ</m:t>
        </m:r>
      </m:oMath>
      <w:r>
        <w:t xml:space="preserve"> </w:t>
      </w:r>
      <w:r>
        <w:t xml:space="preserve">= 3 %, 3.4 at 4 % and 6.6 at 5.3 %, and 2.4 at 5.3 % with the prior</w:t>
      </w:r>
      <w:r>
        <w:t xml:space="preserve"> </w:t>
      </w:r>
      <m:oMath>
        <m:r>
          <m:t>α</m:t>
        </m:r>
      </m:oMath>
      <w:r>
        <w:t xml:space="preserve"> </w:t>
      </w:r>
      <w:r>
        <w:t xml:space="preserve">= 0.9–1.3; for</w:t>
      </w:r>
      <w:r>
        <w:t xml:space="preserve"> </w:t>
      </w:r>
      <m:oMath>
        <m:sSub>
          <m:e>
            <m:r>
              <m:t>C</m:t>
            </m:r>
          </m:e>
          <m:sub>
            <m:r>
              <m:t>7</m:t>
            </m:r>
          </m:sub>
        </m:sSub>
      </m:oMath>
      <w:r>
        <w:t xml:space="preserve"> </w:t>
      </w:r>
      <w:r>
        <w:t xml:space="preserve">the same ratios are 1.1, 1.4, 1.5 and 1.1. The upper end of</w:t>
      </w:r>
      <w:r>
        <w:t xml:space="preserve"> </w:t>
      </w:r>
      <m:oMath>
        <m:sSub>
          <m:e>
            <m:r>
              <m:t>C</m:t>
            </m:r>
          </m:e>
          <m:sub>
            <m:r>
              <m:t>8</m:t>
            </m:r>
          </m:sub>
        </m:sSub>
      </m:oMath>
      <w:r>
        <w:t xml:space="preserve"> </w:t>
      </w:r>
      <w:r>
        <w:t xml:space="preserve">at 5.3 %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w:t>
      </w:r>
    </w:p>
    <w:p>
      <w:pPr>
        <w:pStyle w:val="BodyText"/>
      </w:pPr>
      <w:r>
        <w:t xml:space="preserve">Frequencies. The measured vertical frequencies (3.43–3.64 Hz; Table S14)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on the standard deviation of</w:t>
      </w:r>
      <w:r>
        <w:t xml:space="preserve"> </w:t>
      </w:r>
      <m:oMath>
        <m:r>
          <m:rPr>
            <m:sty m:val="p"/>
            <m:nor/>
          </m:rPr>
          <m:t>ln</m:t>
        </m:r>
        <m:sSub>
          <m:e>
            <m:r>
              <m:t>C</m:t>
            </m:r>
          </m:e>
          <m:sub>
            <m:r>
              <m:t>8</m:t>
            </m:r>
          </m:sub>
        </m:sSub>
      </m:oMath>
      <w:r>
        <w:t xml:space="preserve"> </w:t>
      </w:r>
      <w:r>
        <w:t xml:space="preserve">that the first and third frequencies would give assumes a measurement that was not made. The bounds of Section 5.3 are evaluated at the design pier stiffness,</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w:t>
      </w:r>
      <w:r>
        <w:t xml:space="preserve"> </w:t>
      </w:r>
      <m:oMath>
        <m:sSup>
          <m:e>
            <m:r>
              <m:t>α</m:t>
            </m:r>
          </m:e>
          <m:sup>
            <m:r>
              <m:rPr>
                <m:nor/>
              </m:rPr>
              <m:t>*</m:t>
            </m:r>
          </m:sup>
        </m:sSup>
        <m:r>
          <m:rPr>
            <m:sty m:val="p"/>
          </m:rPr>
          <m:t>=</m:t>
        </m:r>
        <m:r>
          <m:t>1.07</m:t>
        </m:r>
      </m:oMath>
      <w:r>
        <w:t xml:space="preserve"> </w:t>
      </w:r>
      <w:r>
        <w:t xml:space="preserve">(Fig. 7b).</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Mây Bridge: static misfit over the effective-to-design rigidity ratio</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nor/>
              </m:rPr>
              <m:t>*</m:t>
            </m:r>
          </m:sup>
        </m:sSup>
        <m:d>
          <m:dPr>
            <m:begChr m:val="("/>
            <m:endChr m:val=")"/>
            <m:sep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 </w:t>
      </w:r>
      <w:r>
        <w:t xml:space="preserve">(5.3 % in the text).</w:t>
      </w:r>
    </w:p>
    <w:p>
      <w:pPr>
        <w:pStyle w:val="BodyText"/>
      </w:pPr>
      <w:r>
        <w:t xml:space="preserve">Indicators and channels (Table S15). In the base model,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 A rotation reading at the end bearing T8 adds little, because its sensitivity duplicates that of N8. At calibration B the two-reading Fisher matrix is singular, so the deflections alone cannot bound</w:t>
      </w:r>
      <w:r>
        <w:t xml:space="preserve"> </w:t>
      </w:r>
      <m:oMath>
        <m:r>
          <m:rPr>
            <m:sty m:val="p"/>
            <m:nor/>
          </m:rPr>
          <m:t>ln</m:t>
        </m:r>
        <m:sSub>
          <m:e>
            <m:r>
              <m:t>C</m:t>
            </m:r>
          </m:e>
          <m:sub>
            <m:r>
              <m:t>8</m:t>
            </m:r>
          </m:sub>
        </m:sSub>
      </m:oMath>
      <w:r>
        <w:t xml:space="preserve"> </w:t>
      </w:r>
      <w:r>
        <w:t xml:space="preserve">(Section S5); with the pier tiltmeter the bound is 0.04.</w:t>
      </w:r>
    </w:p>
    <w:p>
      <w:pPr>
        <w:pStyle w:val="BodyText"/>
      </w:pPr>
      <w:r>
        <w:t xml:space="preserve">Strain and end-reaction channels.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At mid main span the small strain indicator reflects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their gain</w:t>
      </w:r>
      <w:r>
        <w:t xml:space="preserve"> </w:t>
      </w:r>
      <m:oMath>
        <m:r>
          <m:t>c</m:t>
        </m:r>
        <m:r>
          <m:rPr>
            <m:sty m:val="p"/>
          </m:rPr>
          <m:t>/</m:t>
        </m:r>
        <m:r>
          <m:t>E</m:t>
        </m:r>
        <m:r>
          <m:t>I</m:t>
        </m:r>
      </m:oMath>
      <w:r>
        <w:t xml:space="preserve"> </w:t>
      </w:r>
      <w:r>
        <w:t xml:space="preserve">is about one quarter to one third of that at mid-span, and one fifth at the pier face (main-text Fig. 6c).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Test-load positions. The longitudinal axle positions of the static test load, taken from the test plan (the test report gives them as drawings), are listed in Table S16 (script</w:t>
      </w:r>
      <w:r>
        <w:t xml:space="preserve"> </w:t>
      </w:r>
      <w:r>
        <w:rPr>
          <w:rStyle w:val="VerbatimChar"/>
        </w:rPr>
        <w:t xml:space="preserve">wp3_run.py</w:t>
      </w:r>
      <w:r>
        <w:t xml:space="preserve">).</w:t>
      </w:r>
    </w:p>
    <w:p>
      <w:pPr>
        <w:pStyle w:val="BodyText"/>
        <w:keepNext/>
      </w:pPr>
      <w:r>
        <w:rPr>
          <w:bCs/>
          <w:b/>
        </w:rPr>
        <w:t xml:space="preserve">Table S11.</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S12.</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S13.</w:t>
      </w:r>
      <w:r>
        <w:t xml:space="preserve"> </w:t>
      </w:r>
      <w:r>
        <w:t xml:space="preserve">Admissible set of the Mây Bridge model (base model,</w:t>
      </w:r>
      <w:r>
        <w:t xml:space="preserve"> </w:t>
      </w:r>
      <m:oMath>
        <m:sSub>
          <m:e>
            <m:r>
              <m:t>L</m:t>
            </m:r>
          </m:e>
          <m:sub>
            <m:r>
              <m:rPr>
                <m:sty m:val="p"/>
              </m:rPr>
              <m:t>v</m:t>
            </m:r>
          </m:sub>
        </m:sSub>
      </m:oMath>
      <w:r>
        <w:t xml:space="preserve"> </w:t>
      </w:r>
      <w:r>
        <w:t xml:space="preserve">= 44 m) against the tolerance</w:t>
      </w:r>
      <w:r>
        <w:t xml:space="preserve"> </w:t>
      </w:r>
      <m:oMath>
        <m:r>
          <m:t>τ</m:t>
        </m:r>
      </m:oMath>
      <w:r>
        <w:t xml:space="preserve"> </w:t>
      </w:r>
      <w:r>
        <w:t xml:space="preserve">on the misfit of each gauge. Max/min: ratio of the largest to the smallest constant in the set.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46"/>
        <w:gridCol w:w="979"/>
        <w:gridCol w:w="901"/>
        <w:gridCol w:w="1030"/>
        <w:gridCol w:w="1339"/>
        <w:gridCol w:w="1082"/>
        <w:gridCol w:w="730"/>
        <w:gridCol w:w="730"/>
        <w:gridCol w:w="730"/>
      </w:tblGrid>
      <w:tr>
        <w:trPr>
          <w:tblHeader w:val="true"/>
          <w:tblHeader w:val="true"/>
          <w:cantSplit/>
        </w:trPr>
        <w:tc>
          <w:tcPr>
            <w:tcW w:type="dxa" w:w="1546"/>
            <w:tcBorders>
              <w:top w:val="nil"/>
              <w:left w:val="nil"/>
              <w:bottom w:val="single" w:sz="6" w:space="0" w:color="000000"/>
              <w:right w:val="nil"/>
            </w:tcBorders>
          </w:tcPr>
          <w:p>
            <w:pPr>
              <w:pStyle w:val="Compact"/>
              <w:jc w:val="left"/>
            </w:pPr>
            <w:r>
              <w:t xml:space="preserve">Tolerance, prior</w:t>
            </w:r>
          </w:p>
        </w:tc>
        <w:tc>
          <w:tcPr>
            <w:tcW w:type="dxa" w:w="979"/>
            <w:tcBorders>
              <w:top w:val="nil"/>
              <w:left w:val="nil"/>
              <w:bottom w:val="single" w:sz="6" w:space="0" w:color="000000"/>
              <w:right w:val="nil"/>
            </w:tcBorders>
          </w:tcPr>
          <w:p>
            <w:pPr>
              <w:pStyle w:val="Compact"/>
              <w:jc w:val="right"/>
            </w:pPr>
            <m:oMath>
              <m:r>
                <m:t>κ</m:t>
              </m:r>
            </m:oMath>
            <w:r>
              <w:t xml:space="preserve"> </w:t>
            </w:r>
            <w:r>
              <w:t xml:space="preserve">(kN m/rad)</w:t>
            </w:r>
          </w:p>
        </w:tc>
        <w:tc>
          <w:tcPr>
            <w:tcW w:type="dxa" w:w="901"/>
            <w:tcBorders>
              <w:top w:val="nil"/>
              <w:left w:val="nil"/>
              <w:bottom w:val="single" w:sz="6" w:space="0" w:color="000000"/>
              <w:right w:val="nil"/>
            </w:tcBorders>
          </w:tcPr>
          <w:p>
            <w:pPr>
              <w:pStyle w:val="Compact"/>
              <w:jc w:val="right"/>
            </w:pPr>
            <m:oMath>
              <m:r>
                <m:t>α</m:t>
              </m:r>
            </m:oMath>
          </w:p>
        </w:tc>
        <w:tc>
          <w:tcPr>
            <w:tcW w:type="dxa" w:w="1030"/>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nor/>
                    </m:rPr>
                    <m:t>mid</m:t>
                  </m:r>
                </m:sub>
              </m:sSub>
            </m:oMath>
          </w:p>
        </w:tc>
        <w:tc>
          <w:tcPr>
            <w:tcW w:type="dxa" w:w="1339"/>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nor/>
                    </m:rPr>
                    <m:t>mid</m:t>
                  </m:r>
                </m:sub>
              </m:sSub>
            </m:oMath>
          </w:p>
        </w:tc>
        <w:tc>
          <w:tcPr>
            <w:tcW w:type="dxa" w:w="1082"/>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max/min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max/min</w:t>
            </w:r>
          </w:p>
        </w:tc>
      </w:tr>
      <w:tr>
        <w:trPr>
          <w:cantSplit/>
        </w:trPr>
        <w:tc>
          <w:tcPr>
            <w:tcW w:type="dxa" w:w="1546"/>
          </w:tcPr>
          <w:p>
            <w:pPr>
              <w:pStyle w:val="Compact"/>
              <w:jc w:val="left"/>
            </w:pPr>
            <m:oMath>
              <m:r>
                <m:t>τ</m:t>
              </m:r>
            </m:oMath>
            <w:r>
              <w:t xml:space="preserve"> </w:t>
            </w:r>
            <w:r>
              <w:t xml:space="preserve">= 3 %</w:t>
            </w:r>
          </w:p>
        </w:tc>
        <w:tc>
          <w:tcPr>
            <w:tcW w:type="dxa" w:w="979"/>
          </w:tcPr>
          <w:p>
            <w:pPr>
              <w:pStyle w:val="Compact"/>
              <w:jc w:val="right"/>
            </w:pPr>
            <w:r>
              <w:t xml:space="preserve">1.0–3.0 × 10⁸</w:t>
            </w:r>
          </w:p>
        </w:tc>
        <w:tc>
          <w:tcPr>
            <w:tcW w:type="dxa" w:w="901"/>
          </w:tcPr>
          <w:p>
            <w:pPr>
              <w:pStyle w:val="Compact"/>
              <w:jc w:val="right"/>
            </w:pPr>
            <w:r>
              <w:t xml:space="preserve">0.64–0.80</w:t>
            </w:r>
          </w:p>
        </w:tc>
        <w:tc>
          <w:tcPr>
            <w:tcW w:type="dxa" w:w="1030"/>
          </w:tcPr>
          <w:p>
            <w:pPr>
              <w:pStyle w:val="Compact"/>
              <w:jc w:val="right"/>
            </w:pPr>
            <w:r>
              <w:t xml:space="preserve">0.30–0.37</w:t>
            </w:r>
          </w:p>
        </w:tc>
        <w:tc>
          <w:tcPr>
            <w:tcW w:type="dxa" w:w="1339"/>
          </w:tcPr>
          <w:p>
            <w:pPr>
              <w:pStyle w:val="Compact"/>
              <w:jc w:val="right"/>
            </w:pPr>
            <w:r>
              <w:t xml:space="preserve">0.38–0.58</w:t>
            </w:r>
          </w:p>
        </w:tc>
        <w:tc>
          <w:tcPr>
            <w:tcW w:type="dxa" w:w="1082"/>
          </w:tcPr>
          <w:p>
            <w:pPr>
              <w:pStyle w:val="Compact"/>
              <w:jc w:val="right"/>
            </w:pPr>
            <w:r>
              <w:t xml:space="preserve">9.1 × 10⁻⁵–1.4 × 10⁻⁴</w:t>
            </w:r>
          </w:p>
        </w:tc>
        <w:tc>
          <w:tcPr>
            <w:tcW w:type="dxa" w:w="730"/>
          </w:tcPr>
          <w:p>
            <w:pPr>
              <w:pStyle w:val="Compact"/>
              <w:jc w:val="right"/>
            </w:pPr>
            <w:r>
              <w:t xml:space="preserve">1.5</w:t>
            </w:r>
          </w:p>
        </w:tc>
        <w:tc>
          <w:tcPr>
            <w:tcW w:type="dxa" w:w="730"/>
          </w:tcPr>
          <w:p>
            <w:pPr>
              <w:pStyle w:val="Compact"/>
              <w:jc w:val="right"/>
            </w:pPr>
            <w:r>
              <w:t xml:space="preserve">3.8–4.3 × 10⁻⁴</w:t>
            </w:r>
          </w:p>
        </w:tc>
        <w:tc>
          <w:tcPr>
            <w:tcW w:type="dxa" w:w="730"/>
          </w:tcPr>
          <w:p>
            <w:pPr>
              <w:pStyle w:val="Compact"/>
              <w:jc w:val="right"/>
            </w:pPr>
            <w:r>
              <w:t xml:space="preserve">1.1</w:t>
            </w:r>
          </w:p>
        </w:tc>
      </w:tr>
      <w:tr>
        <w:trPr>
          <w:cantSplit/>
        </w:trPr>
        <w:tc>
          <w:tcPr>
            <w:tcW w:type="dxa" w:w="1546"/>
          </w:tcPr>
          <w:p>
            <w:pPr>
              <w:pStyle w:val="Compact"/>
              <w:jc w:val="left"/>
            </w:pPr>
            <m:oMath>
              <m:r>
                <m:t>τ</m:t>
              </m:r>
            </m:oMath>
            <w:r>
              <w:t xml:space="preserve"> </w:t>
            </w:r>
            <w:r>
              <w:t xml:space="preserve">= 4 %</w:t>
            </w:r>
          </w:p>
        </w:tc>
        <w:tc>
          <w:tcPr>
            <w:tcW w:type="dxa" w:w="979"/>
          </w:tcPr>
          <w:p>
            <w:pPr>
              <w:pStyle w:val="Compact"/>
              <w:jc w:val="right"/>
            </w:pPr>
            <w:r>
              <w:t xml:space="preserve">4.2 × 10⁷–2.0 × 10⁹</w:t>
            </w:r>
          </w:p>
        </w:tc>
        <w:tc>
          <w:tcPr>
            <w:tcW w:type="dxa" w:w="901"/>
          </w:tcPr>
          <w:p>
            <w:pPr>
              <w:pStyle w:val="Compact"/>
              <w:jc w:val="right"/>
            </w:pPr>
            <w:r>
              <w:t xml:space="preserve">0.54–0.98</w:t>
            </w:r>
          </w:p>
        </w:tc>
        <w:tc>
          <w:tcPr>
            <w:tcW w:type="dxa" w:w="1030"/>
          </w:tcPr>
          <w:p>
            <w:pPr>
              <w:pStyle w:val="Compact"/>
              <w:jc w:val="right"/>
            </w:pPr>
            <w:r>
              <w:t xml:space="preserve">0.22–0.41</w:t>
            </w:r>
          </w:p>
        </w:tc>
        <w:tc>
          <w:tcPr>
            <w:tcW w:type="dxa" w:w="1339"/>
          </w:tcPr>
          <w:p>
            <w:pPr>
              <w:pStyle w:val="Compact"/>
              <w:jc w:val="right"/>
            </w:pPr>
            <w:r>
              <w:t xml:space="preserve">0.23–0.77</w:t>
            </w:r>
          </w:p>
        </w:tc>
        <w:tc>
          <w:tcPr>
            <w:tcW w:type="dxa" w:w="1082"/>
          </w:tcPr>
          <w:p>
            <w:pPr>
              <w:pStyle w:val="Compact"/>
              <w:jc w:val="right"/>
            </w:pPr>
            <w:r>
              <w:t xml:space="preserve">5.5 × 10⁻⁵–1.8 × 10⁻⁴</w:t>
            </w:r>
          </w:p>
        </w:tc>
        <w:tc>
          <w:tcPr>
            <w:tcW w:type="dxa" w:w="730"/>
          </w:tcPr>
          <w:p>
            <w:pPr>
              <w:pStyle w:val="Compact"/>
              <w:jc w:val="right"/>
            </w:pPr>
            <w:r>
              <w:t xml:space="preserve">3.4</w:t>
            </w:r>
          </w:p>
        </w:tc>
        <w:tc>
          <w:tcPr>
            <w:tcW w:type="dxa" w:w="730"/>
          </w:tcPr>
          <w:p>
            <w:pPr>
              <w:pStyle w:val="Compact"/>
              <w:jc w:val="right"/>
            </w:pPr>
            <w:r>
              <w:t xml:space="preserve">3.5–4.8 × 10⁻⁴</w:t>
            </w:r>
          </w:p>
        </w:tc>
        <w:tc>
          <w:tcPr>
            <w:tcW w:type="dxa" w:w="730"/>
          </w:tcPr>
          <w:p>
            <w:pPr>
              <w:pStyle w:val="Compact"/>
              <w:jc w:val="right"/>
            </w:pPr>
            <w:r>
              <w:t xml:space="preserve">1.4</w:t>
            </w:r>
          </w:p>
        </w:tc>
      </w:tr>
      <w:tr>
        <w:trPr>
          <w:cantSplit/>
        </w:trPr>
        <w:tc>
          <w:tcPr>
            <w:tcW w:type="dxa" w:w="1546"/>
          </w:tcPr>
          <w:p>
            <w:pPr>
              <w:pStyle w:val="Compact"/>
              <w:jc w:val="left"/>
            </w:pPr>
            <m:oMath>
              <m:r>
                <m:t>τ</m:t>
              </m:r>
            </m:oMath>
            <w:r>
              <w:t xml:space="preserve"> </w:t>
            </w:r>
            <w:r>
              <w:t xml:space="preserve">= 5.3 %</w:t>
            </w:r>
          </w:p>
        </w:tc>
        <w:tc>
          <w:tcPr>
            <w:tcW w:type="dxa" w:w="979"/>
          </w:tcPr>
          <w:p>
            <w:pPr>
              <w:pStyle w:val="Compact"/>
              <w:jc w:val="right"/>
            </w:pPr>
            <w:r>
              <w:t xml:space="preserve">≥ 1.8 × 10⁷</w:t>
            </w:r>
          </w:p>
        </w:tc>
        <w:tc>
          <w:tcPr>
            <w:tcW w:type="dxa" w:w="901"/>
          </w:tcPr>
          <w:p>
            <w:pPr>
              <w:pStyle w:val="Compact"/>
              <w:jc w:val="right"/>
            </w:pPr>
            <w:r>
              <w:t xml:space="preserve">0.51–1.15</w:t>
            </w:r>
          </w:p>
        </w:tc>
        <w:tc>
          <w:tcPr>
            <w:tcW w:type="dxa" w:w="1030"/>
          </w:tcPr>
          <w:p>
            <w:pPr>
              <w:pStyle w:val="Compact"/>
              <w:jc w:val="right"/>
            </w:pPr>
            <w:r>
              <w:t xml:space="preserve">0.14–0.42</w:t>
            </w:r>
          </w:p>
        </w:tc>
        <w:tc>
          <w:tcPr>
            <w:tcW w:type="dxa" w:w="1339"/>
          </w:tcPr>
          <w:p>
            <w:pPr>
              <w:pStyle w:val="Compact"/>
              <w:jc w:val="right"/>
            </w:pPr>
            <w:r>
              <w:t xml:space="preserve">0.12–0.82</w:t>
            </w:r>
          </w:p>
        </w:tc>
        <w:tc>
          <w:tcPr>
            <w:tcW w:type="dxa" w:w="1082"/>
          </w:tcPr>
          <w:p>
            <w:pPr>
              <w:pStyle w:val="Compact"/>
              <w:jc w:val="right"/>
            </w:pPr>
            <w:r>
              <w:t xml:space="preserve">3.0 × 10⁻⁵–2.0 × 10⁻⁴</w:t>
            </w:r>
          </w:p>
        </w:tc>
        <w:tc>
          <w:tcPr>
            <w:tcW w:type="dxa" w:w="730"/>
          </w:tcPr>
          <w:p>
            <w:pPr>
              <w:pStyle w:val="Compact"/>
              <w:jc w:val="right"/>
            </w:pPr>
            <w:r>
              <w:t xml:space="preserve">6.6</w:t>
            </w:r>
          </w:p>
        </w:tc>
        <w:tc>
          <w:tcPr>
            <w:tcW w:type="dxa" w:w="730"/>
          </w:tcPr>
          <w:p>
            <w:pPr>
              <w:pStyle w:val="Compact"/>
              <w:jc w:val="right"/>
            </w:pPr>
            <w:r>
              <w:t xml:space="preserve">3.3–4.9 × 10⁻⁴</w:t>
            </w:r>
          </w:p>
        </w:tc>
        <w:tc>
          <w:tcPr>
            <w:tcW w:type="dxa" w:w="730"/>
          </w:tcPr>
          <w:p>
            <w:pPr>
              <w:pStyle w:val="Compact"/>
              <w:jc w:val="right"/>
            </w:pPr>
            <w:r>
              <w:t xml:space="preserve">1.5</w:t>
            </w:r>
          </w:p>
        </w:tc>
      </w:tr>
      <w:tr>
        <w:trPr>
          <w:cantSplit/>
        </w:trPr>
        <w:tc>
          <w:tcPr>
            <w:tcW w:type="dxa" w:w="1546"/>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979"/>
          </w:tcPr>
          <w:p>
            <w:pPr>
              <w:pStyle w:val="Compact"/>
              <w:jc w:val="right"/>
            </w:pPr>
            <w:r>
              <w:t xml:space="preserve">1.8–6.7 × 10⁷</w:t>
            </w:r>
          </w:p>
        </w:tc>
        <w:tc>
          <w:tcPr>
            <w:tcW w:type="dxa" w:w="901"/>
          </w:tcPr>
          <w:p>
            <w:pPr>
              <w:pStyle w:val="Compact"/>
              <w:jc w:val="right"/>
            </w:pPr>
            <w:r>
              <w:t xml:space="preserve">0.90–1.15</w:t>
            </w:r>
          </w:p>
        </w:tc>
        <w:tc>
          <w:tcPr>
            <w:tcW w:type="dxa" w:w="1030"/>
          </w:tcPr>
          <w:p>
            <w:pPr>
              <w:pStyle w:val="Compact"/>
              <w:jc w:val="right"/>
            </w:pPr>
            <w:r>
              <w:t xml:space="preserve">0.14–0.27</w:t>
            </w:r>
          </w:p>
        </w:tc>
        <w:tc>
          <w:tcPr>
            <w:tcW w:type="dxa" w:w="1339"/>
          </w:tcPr>
          <w:p>
            <w:pPr>
              <w:pStyle w:val="Compact"/>
              <w:jc w:val="right"/>
            </w:pPr>
            <w:r>
              <w:t xml:space="preserve">0.12–0.30</w:t>
            </w:r>
          </w:p>
        </w:tc>
        <w:tc>
          <w:tcPr>
            <w:tcW w:type="dxa" w:w="1082"/>
          </w:tcPr>
          <w:p>
            <w:pPr>
              <w:pStyle w:val="Compact"/>
              <w:jc w:val="right"/>
            </w:pPr>
            <w:r>
              <w:t xml:space="preserve">3.0 × 10⁻⁵–7.2 × 10⁻⁵</w:t>
            </w:r>
          </w:p>
        </w:tc>
        <w:tc>
          <w:tcPr>
            <w:tcW w:type="dxa" w:w="730"/>
          </w:tcPr>
          <w:p>
            <w:pPr>
              <w:pStyle w:val="Compact"/>
              <w:jc w:val="right"/>
            </w:pPr>
            <w:r>
              <w:t xml:space="preserve">2.4</w:t>
            </w:r>
          </w:p>
        </w:tc>
        <w:tc>
          <w:tcPr>
            <w:tcW w:type="dxa" w:w="730"/>
          </w:tcPr>
          <w:p>
            <w:pPr>
              <w:pStyle w:val="Compact"/>
              <w:jc w:val="right"/>
            </w:pPr>
            <w:r>
              <w:t xml:space="preserve">3.3–3.6 × 10⁻⁴</w:t>
            </w:r>
          </w:p>
        </w:tc>
        <w:tc>
          <w:tcPr>
            <w:tcW w:type="dxa" w:w="730"/>
          </w:tcPr>
          <w:p>
            <w:pPr>
              <w:pStyle w:val="Compact"/>
              <w:jc w:val="right"/>
            </w:pPr>
            <w:r>
              <w:t xml:space="preserve">1.1</w:t>
            </w:r>
          </w:p>
        </w:tc>
      </w:tr>
    </w:tbl>
    <w:p>
      <w:pPr>
        <w:pStyle w:val="BodyText"/>
        <w:keepNext/>
      </w:pPr>
      <w:r>
        <w:rPr>
          <w:bCs/>
          <w:b/>
        </w:rPr>
        <w:t xml:space="preserve">Table S14.</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S15.</w:t>
      </w:r>
      <w:r>
        <w:t xml:space="preserve"> </w:t>
      </w:r>
      <w:r>
        <w:t xml:space="preserve">Deflection indicator</w:t>
      </w:r>
      <w:r>
        <w:t xml:space="preserve"> </w:t>
      </w:r>
      <m:oMath>
        <m:sSub>
          <m:e>
            <m:r>
              <m:t>N</m:t>
            </m:r>
          </m:e>
          <m:sub>
            <m:r>
              <m:t>w</m:t>
            </m:r>
          </m:sub>
        </m:sSub>
      </m:oMath>
      <w:r>
        <w:t xml:space="preserve"> </w:t>
      </w:r>
      <w:r>
        <w:t xml:space="preserve">(Eq. (8)), cancellation ratio</w:t>
      </w:r>
      <w:r>
        <w:t xml:space="preserve"> </w:t>
      </w:r>
      <m:oMath>
        <m:r>
          <m:t>R</m:t>
        </m:r>
      </m:oMath>
      <w:r>
        <w:t xml:space="preserve"> </w:t>
      </w:r>
      <w:r>
        <w:t xml:space="preserve">(Eq. (9))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rows are the base model (</w:t>
      </w:r>
      <m:oMath>
        <m:sSub>
          <m:e>
            <m:r>
              <m:t>L</m:t>
            </m:r>
          </m:e>
          <m:sub>
            <m:r>
              <m:rPr>
                <m:sty m:val="p"/>
              </m:rPr>
              <m:t>v</m:t>
            </m:r>
          </m:sub>
        </m:sSub>
      </m:oMath>
      <w:r>
        <w:t xml:space="preserve"> </w:t>
      </w:r>
      <w:r>
        <w:t xml:space="preserve">= 44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0.030</w:t>
            </w:r>
          </w:p>
        </w:tc>
        <w:tc>
          <w:tcPr>
            <w:tcW w:type="dxa" w:w="1330"/>
          </w:tcPr>
          <w:p>
            <w:pPr>
              <w:pStyle w:val="Compact"/>
              <w:jc w:val="right"/>
            </w:pPr>
            <w:r>
              <w:t xml:space="preserve">−0.052</w:t>
            </w:r>
          </w:p>
        </w:tc>
        <w:tc>
          <w:tcPr>
            <w:tcW w:type="dxa" w:w="1204"/>
          </w:tcPr>
          <w:p>
            <w:pPr>
              <w:pStyle w:val="Compact"/>
              <w:jc w:val="right"/>
            </w:pPr>
            <w:r>
              <w:t xml:space="preserve">0.248</w:t>
            </w:r>
          </w:p>
        </w:tc>
        <w:tc>
          <w:tcPr>
            <w:tcW w:type="dxa" w:w="1012"/>
          </w:tcPr>
          <w:p>
            <w:pPr>
              <w:pStyle w:val="Compact"/>
              <w:jc w:val="right"/>
            </w:pPr>
            <w:r>
              <w:t xml:space="preserve">0.02</w:t>
            </w:r>
          </w:p>
        </w:tc>
        <w:tc>
          <w:tcPr>
            <w:tcW w:type="dxa" w:w="1272"/>
          </w:tcPr>
          <w:p>
            <w:pPr>
              <w:pStyle w:val="Compact"/>
              <w:jc w:val="right"/>
            </w:pPr>
            <w:r>
              <w:t xml:space="preserve">−0.04</w:t>
            </w:r>
          </w:p>
        </w:tc>
        <w:tc>
          <w:tcPr>
            <w:tcW w:type="dxa" w:w="1012"/>
          </w:tcPr>
          <w:p>
            <w:pPr>
              <w:pStyle w:val="Compact"/>
              <w:jc w:val="right"/>
            </w:pPr>
            <w:r>
              <w:t xml:space="preserve">0.51</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0.422</w:t>
            </w:r>
          </w:p>
        </w:tc>
        <w:tc>
          <w:tcPr>
            <w:tcW w:type="dxa" w:w="1330"/>
          </w:tcPr>
          <w:p>
            <w:pPr>
              <w:pStyle w:val="Compact"/>
              <w:jc w:val="right"/>
            </w:pPr>
            <w:r>
              <w:t xml:space="preserve">0.354</w:t>
            </w:r>
          </w:p>
        </w:tc>
        <w:tc>
          <w:tcPr>
            <w:tcW w:type="dxa" w:w="1204"/>
          </w:tcPr>
          <w:p>
            <w:pPr>
              <w:pStyle w:val="Compact"/>
              <w:jc w:val="right"/>
            </w:pPr>
            <w:r>
              <w:t xml:space="preserve">0.147</w:t>
            </w:r>
          </w:p>
        </w:tc>
        <w:tc>
          <w:tcPr>
            <w:tcW w:type="dxa" w:w="1012"/>
          </w:tcPr>
          <w:p>
            <w:pPr>
              <w:pStyle w:val="Compact"/>
              <w:jc w:val="right"/>
            </w:pPr>
            <w:r>
              <w:t xml:space="preserve">1.00</w:t>
            </w:r>
          </w:p>
        </w:tc>
        <w:tc>
          <w:tcPr>
            <w:tcW w:type="dxa" w:w="1272"/>
          </w:tcPr>
          <w:p>
            <w:pPr>
              <w:pStyle w:val="Compact"/>
              <w:jc w:val="right"/>
            </w:pPr>
            <w:r>
              <w:t xml:space="preserve">1.00</w:t>
            </w:r>
          </w:p>
        </w:tc>
        <w:tc>
          <w:tcPr>
            <w:tcW w:type="dxa" w:w="1012"/>
          </w:tcPr>
          <w:p>
            <w:pPr>
              <w:pStyle w:val="Compact"/>
              <w:jc w:val="right"/>
            </w:pPr>
            <w:r>
              <w:t xml:space="preserve">1.00</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p>
      <w:pPr>
        <w:pStyle w:val="BodyText"/>
        <w:keepNext/>
      </w:pPr>
      <w:r>
        <w:rPr>
          <w:bCs/>
          <w:b/>
        </w:rPr>
        <w:t xml:space="preserve">Table S16.</w:t>
      </w:r>
      <w:r>
        <w:t xml:space="preserve"> </w:t>
      </w:r>
      <w:r>
        <w:t xml:space="preserve">Longitudinal axle positions of the static test load (model positions from the test plan). Each longitudinal row consists of two 3-axle trucks side by side, so the axle loads per row are 10, 20 and 20 t (5, 10 and 10 t per truck).</w:t>
      </w:r>
      <w:r>
        <w:t xml:space="preserve"> </w:t>
      </w:r>
      <m:oMath>
        <m:r>
          <m:t>x</m:t>
        </m:r>
      </m:oMath>
      <w:r>
        <w:t xml:space="preserve"> </w:t>
      </w:r>
      <w:r>
        <w:t xml:space="preserve">is measured from T5, with T8 at</w:t>
      </w:r>
      <w:r>
        <w:t xml:space="preserve"> </w:t>
      </w:r>
      <m:oMath>
        <m:r>
          <m:t>x</m:t>
        </m:r>
      </m:oMath>
      <w:r>
        <w:t xml:space="preserve"> </w:t>
      </w:r>
      <w:r>
        <w:t xml:space="preserve">= 200 m.</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433"/>
        <w:gridCol w:w="3318"/>
        <w:gridCol w:w="3318"/>
      </w:tblGrid>
      <w:tr>
        <w:trPr>
          <w:tblHeader w:val="true"/>
          <w:tblHeader w:val="true"/>
          <w:cantSplit/>
        </w:trPr>
        <w:tc>
          <w:tcPr>
            <w:tcW w:type="dxa" w:w="2433"/>
            <w:tcBorders>
              <w:top w:val="nil"/>
              <w:left w:val="nil"/>
              <w:bottom w:val="single" w:sz="6" w:space="0" w:color="000000"/>
              <w:right w:val="nil"/>
            </w:tcBorders>
          </w:tcPr>
          <w:p>
            <w:pPr>
              <w:pStyle w:val="Compact"/>
              <w:jc w:val="left"/>
            </w:pPr>
            <w:r>
              <w:t xml:space="preserve">Scheme</w:t>
            </w:r>
          </w:p>
        </w:tc>
        <w:tc>
          <w:tcPr>
            <w:tcW w:type="dxa" w:w="3318"/>
            <w:tcBorders>
              <w:top w:val="nil"/>
              <w:left w:val="nil"/>
              <w:bottom w:val="single" w:sz="6" w:space="0" w:color="000000"/>
              <w:right w:val="nil"/>
            </w:tcBorders>
          </w:tcPr>
          <w:p>
            <w:pPr>
              <w:pStyle w:val="Compact"/>
              <w:jc w:val="left"/>
            </w:pPr>
            <w:r>
              <w:t xml:space="preserve">Axle positions</w:t>
            </w:r>
            <w:r>
              <w:t xml:space="preserve"> </w:t>
            </w:r>
            <m:oMath>
              <m:r>
                <m:t>x</m:t>
              </m:r>
            </m:oMath>
            <w:r>
              <w:t xml:space="preserve"> </w:t>
            </w:r>
            <w:r>
              <w:t xml:space="preserve">(m), with axle load per row (t)</w:t>
            </w:r>
          </w:p>
        </w:tc>
        <w:tc>
          <w:tcPr>
            <w:tcW w:type="dxa" w:w="3318"/>
            <w:tcBorders>
              <w:top w:val="nil"/>
              <w:left w:val="nil"/>
              <w:bottom w:val="single" w:sz="6" w:space="0" w:color="000000"/>
              <w:right w:val="nil"/>
            </w:tcBorders>
          </w:tcPr>
          <w:p>
            <w:pPr>
              <w:pStyle w:val="Compact"/>
              <w:jc w:val="left"/>
            </w:pPr>
            <w:r>
              <w:t xml:space="preserve">Distance from T8 (m)</w:t>
            </w:r>
          </w:p>
        </w:tc>
      </w:tr>
      <w:tr>
        <w:trPr>
          <w:cantSplit/>
        </w:trPr>
        <w:tc>
          <w:tcPr>
            <w:tcW w:type="dxa" w:w="2433"/>
          </w:tcPr>
          <w:p>
            <w:pPr>
              <w:pStyle w:val="Compact"/>
              <w:jc w:val="left"/>
            </w:pPr>
            <w:r>
              <w:t xml:space="preserve">N8, side span (2 rows)</w:t>
            </w:r>
          </w:p>
        </w:tc>
        <w:tc>
          <w:tcPr>
            <w:tcW w:type="dxa" w:w="3318"/>
          </w:tcPr>
          <w:p>
            <w:pPr>
              <w:pStyle w:val="Compact"/>
              <w:jc w:val="left"/>
            </w:pPr>
            <w:r>
              <w:t xml:space="preserve">163.45 (10), 167.05 (20), 168.40 (20); 174.40 (10), 178.00 (20), 179.35 (20)</w:t>
            </w:r>
          </w:p>
        </w:tc>
        <w:tc>
          <w:tcPr>
            <w:tcW w:type="dxa" w:w="3318"/>
          </w:tcPr>
          <w:p>
            <w:pPr>
              <w:pStyle w:val="Compact"/>
              <w:jc w:val="left"/>
            </w:pPr>
            <w:r>
              <w:t xml:space="preserve">36.55, 32.95, 31.60; 25.60, 22.00, 20.65</w:t>
            </w:r>
          </w:p>
        </w:tc>
      </w:tr>
      <w:tr>
        <w:trPr>
          <w:cantSplit/>
        </w:trPr>
        <w:tc>
          <w:tcPr>
            <w:tcW w:type="dxa" w:w="2433"/>
          </w:tcPr>
          <w:p>
            <w:pPr>
              <w:pStyle w:val="Compact"/>
              <w:jc w:val="left"/>
            </w:pPr>
            <w:r>
              <w:t xml:space="preserve">N7, main span (3 rows)</w:t>
            </w:r>
          </w:p>
        </w:tc>
        <w:tc>
          <w:tcPr>
            <w:tcW w:type="dxa" w:w="3318"/>
          </w:tcPr>
          <w:p>
            <w:pPr>
              <w:pStyle w:val="Compact"/>
              <w:jc w:val="left"/>
            </w:pPr>
            <w:r>
              <w:t xml:space="preserve">87.70 (20), 89.05 (20), 92.65 (10); 98.65 (20), 100.00 (20), 103.60 (10); 109.60 (20), 110.95 (20), 114.55 (10)</w:t>
            </w:r>
          </w:p>
        </w:tc>
        <w:tc>
          <w:tcPr>
            <w:tcW w:type="dxa" w:w="3318"/>
          </w:tcPr>
          <w:p>
            <w:pPr>
              <w:pStyle w:val="Compact"/>
              <w:jc w:val="left"/>
            </w:pPr>
            <w:r>
              <w:t xml:space="preserve">–</w:t>
            </w:r>
          </w:p>
        </w:tc>
      </w:tr>
    </w:tbl>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nor/>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nor/>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(10),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S17 evaluates Eq. (10) for the Mây Bridge gauges over the admissible set, with</w:t>
      </w:r>
      <w:r>
        <w:t xml:space="preserve"> </w:t>
      </w:r>
      <m:oMath>
        <m:sSub>
          <m:e>
            <m:r>
              <m:t>L</m:t>
            </m:r>
          </m:e>
          <m:sub>
            <m:r>
              <m:rPr>
                <m:sty m:val="p"/>
                <m:nor/>
              </m:rPr>
              <m:t>tot</m:t>
            </m:r>
          </m:sub>
        </m:sSub>
        <m:r>
          <m:rPr>
            <m:sty m:val="p"/>
          </m:rPr>
          <m:t>=</m:t>
        </m:r>
        <m:r>
          <m:t>200</m:t>
        </m:r>
      </m:oMath>
      <w:r>
        <w:t xml:space="preserve"> </w:t>
      </w:r>
      <w:r>
        <w:t xml:space="preserve">m and a truck of the mean weighed gross weight, 25.06 t. The smaller offsets in Table S17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S18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S17.</w:t>
      </w:r>
      <w:r>
        <w:t xml:space="preserve"> </w:t>
      </w:r>
      <w:r>
        <w:t xml:space="preserve">Bias of a single-channel estimate caused by a residual offset</w:t>
      </w:r>
      <w:r>
        <w:t xml:space="preserve"> </w:t>
      </w:r>
      <m:oMath>
        <m:sSub>
          <m:e>
            <m:r>
              <m:t>δ</m:t>
            </m:r>
          </m:e>
          <m:sub>
            <m:r>
              <m:t>0</m:t>
            </m:r>
          </m:sub>
        </m:sSub>
      </m:oMath>
      <w:r>
        <w:t xml:space="preserve">, Eq. (10), for a 25.06 t truck;</w:t>
      </w:r>
      <w:r>
        <w:t xml:space="preserve"> </w:t>
      </w:r>
      <m:oMath>
        <m:sSub>
          <m:e>
            <m:r>
              <m:t>L</m:t>
            </m:r>
          </m:e>
          <m:sub>
            <m:r>
              <m:rPr>
                <m:sty m:val="p"/>
                <m:nor/>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3.3–4.9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82–542 %</w:t>
            </w:r>
          </w:p>
        </w:tc>
        <w:tc>
          <w:tcPr>
            <w:tcW w:type="dxa" w:w="1361"/>
          </w:tcPr>
          <w:p>
            <w:pPr>
              <w:pStyle w:val="Compact"/>
              <w:jc w:val="right"/>
            </w:pPr>
            <w:r>
              <w:t xml:space="preserve">206–1356 %</w:t>
            </w:r>
          </w:p>
        </w:tc>
      </w:tr>
    </w:tbl>
    <w:p>
      <w:pPr>
        <w:pStyle w:val="BodyText"/>
        <w:keepNext/>
      </w:pPr>
      <w:r>
        <w:rPr>
          <w:bCs/>
          <w:b/>
        </w:rPr>
        <w:t xml:space="preserve">Table S18.</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pStyle w:val="Compact"/>
              <w:jc w:val="left"/>
            </w:pPr>
            <w:r>
              <w:t xml:space="preserve">Term</w:t>
            </w:r>
          </w:p>
        </w:tc>
        <w:tc>
          <w:tcPr>
            <w:tcW w:type="dxa" w:w="2124"/>
            <w:tcBorders>
              <w:top w:val="nil"/>
              <w:left w:val="nil"/>
              <w:bottom w:val="single" w:sz="6" w:space="0" w:color="000000"/>
              <w:right w:val="nil"/>
            </w:tcBorders>
          </w:tcPr>
          <w:p>
            <w:pPr>
              <w:pStyle w:val="Compact"/>
              <w:jc w:val="left"/>
            </w:pPr>
            <w:r>
              <w:t xml:space="preserve">Sensitivity</w:t>
            </w:r>
          </w:p>
        </w:tc>
        <w:tc>
          <w:tcPr>
            <w:tcW w:type="dxa" w:w="2451"/>
            <w:tcBorders>
              <w:top w:val="nil"/>
              <w:left w:val="nil"/>
              <w:bottom w:val="single" w:sz="6" w:space="0" w:color="000000"/>
              <w:right w:val="nil"/>
            </w:tcBorders>
          </w:tcPr>
          <w:p>
            <w:pPr>
              <w:pStyle w:val="Compact"/>
              <w:jc w:val="left"/>
            </w:pPr>
            <w:r>
              <w:t xml:space="preserve">Cancels in SLM?</w:t>
            </w:r>
          </w:p>
        </w:tc>
        <w:tc>
          <w:tcPr>
            <w:tcW w:type="dxa" w:w="2451"/>
            <w:tcBorders>
              <w:top w:val="nil"/>
              <w:left w:val="nil"/>
              <w:bottom w:val="single" w:sz="6" w:space="0" w:color="000000"/>
              <w:right w:val="nil"/>
            </w:tcBorders>
          </w:tcPr>
          <w:p>
            <w:pPr>
              <w:pStyle w:val="Compact"/>
              <w:jc w:val="left"/>
            </w:pPr>
            <w:r>
              <w:t xml:space="preserve">Value in this study</w:t>
            </w:r>
          </w:p>
        </w:tc>
      </w:tr>
      <w:tr>
        <w:trPr>
          <w:cantSplit/>
        </w:trPr>
        <w:tc>
          <w:tcPr>
            <w:tcW w:type="dxa" w:w="2042"/>
          </w:tcPr>
          <w:p>
            <w:pPr>
              <w:pStyle w:val="Compact"/>
              <w:jc w:val="left"/>
            </w:pPr>
            <w:r>
              <w:t xml:space="preserve">Flexural rigidity</w:t>
            </w:r>
            <w:r>
              <w:t xml:space="preserve"> </w:t>
            </w:r>
            <m:oMath>
              <m:r>
                <m:t>E</m:t>
              </m:r>
              <m:r>
                <m:t>I</m:t>
              </m:r>
            </m:oMath>
          </w:p>
        </w:tc>
        <w:tc>
          <w:tcPr>
            <w:tcW w:type="dxa" w:w="2124"/>
          </w:tcPr>
          <w:p>
            <w:pPr>
              <w:pStyle w:val="Compact"/>
              <w:jc w:val="left"/>
            </w:pPr>
            <w:r>
              <w:t xml:space="preserve">1</w:t>
            </w:r>
          </w:p>
        </w:tc>
        <w:tc>
          <w:tcPr>
            <w:tcW w:type="dxa" w:w="2451"/>
          </w:tcPr>
          <w:p>
            <w:pPr>
              <w:pStyle w:val="Compact"/>
              <w:jc w:val="left"/>
            </w:pPr>
            <w:r>
              <w:t xml:space="preserve">yes</w:t>
            </w:r>
          </w:p>
        </w:tc>
        <w:tc>
          <w:tcPr>
            <w:tcW w:type="dxa" w:w="2451"/>
          </w:tcPr>
          <w:p>
            <w:pPr>
              <w:pStyle w:val="Compact"/>
              <w:jc w:val="left"/>
            </w:pPr>
            <w:r>
              <w:t xml:space="preserve">BPM only; Mây Bridge N8 constant varies 6.6-fold over the admissible set</w:t>
            </w:r>
          </w:p>
        </w:tc>
      </w:tr>
      <w:tr>
        <w:trPr>
          <w:cantSplit/>
        </w:trPr>
        <w:tc>
          <w:tcPr>
            <w:tcW w:type="dxa" w:w="2042"/>
          </w:tcPr>
          <w:p>
            <w:pPr>
              <w:pStyle w:val="Compact"/>
              <w:jc w:val="left"/>
            </w:pPr>
            <w:r>
              <w:t xml:space="preserve">Span length</w:t>
            </w:r>
          </w:p>
        </w:tc>
        <w:tc>
          <w:tcPr>
            <w:tcW w:type="dxa" w:w="2124"/>
          </w:tcPr>
          <w:p>
            <w:pPr>
              <w:pStyle w:val="Compact"/>
              <w:jc w:val="left"/>
            </w:pPr>
            <w:r>
              <w:t xml:space="preserve">4 (deflection), 2 (strain)</w:t>
            </w:r>
          </w:p>
        </w:tc>
        <w:tc>
          <w:tcPr>
            <w:tcW w:type="dxa" w:w="2451"/>
          </w:tcPr>
          <w:p>
            <w:pPr>
              <w:pStyle w:val="Compact"/>
              <w:jc w:val="left"/>
            </w:pPr>
            <w:r>
              <w:t xml:space="preserve">yes</w:t>
            </w:r>
          </w:p>
        </w:tc>
        <w:tc>
          <w:tcPr>
            <w:tcW w:type="dxa" w:w="2451"/>
          </w:tcPr>
          <w:p>
            <w:pPr>
              <w:pStyle w:val="Compact"/>
              <w:jc w:val="left"/>
            </w:pPr>
            <w:r>
              <w:t xml:space="preserve">BPM only</w:t>
            </w:r>
          </w:p>
        </w:tc>
      </w:tr>
      <w:tr>
        <w:trPr>
          <w:cantSplit/>
        </w:trPr>
        <w:tc>
          <w:tcPr>
            <w:tcW w:type="dxa" w:w="2042"/>
          </w:tcPr>
          <w:p>
            <w:pPr>
              <w:pStyle w:val="Compact"/>
              <w:jc w:val="left"/>
            </w:pPr>
            <w:r>
              <w:t xml:space="preserve">Gain</w:t>
            </w:r>
          </w:p>
        </w:tc>
        <w:tc>
          <w:tcPr>
            <w:tcW w:type="dxa" w:w="2124"/>
          </w:tcPr>
          <w:p>
            <w:pPr>
              <w:pStyle w:val="Compact"/>
              <w:jc w:val="left"/>
            </w:pPr>
            <w:r>
              <w:t xml:space="preserve">1</w:t>
            </w:r>
          </w:p>
        </w:tc>
        <w:tc>
          <w:tcPr>
            <w:tcW w:type="dxa" w:w="2451"/>
          </w:tcPr>
          <w:p>
            <w:pPr>
              <w:pStyle w:val="Compact"/>
              <w:jc w:val="left"/>
            </w:pPr>
            <w:r>
              <w:t xml:space="preserve">if not recalibrated between crossings</w:t>
            </w:r>
          </w:p>
        </w:tc>
        <w:tc>
          <w:tcPr>
            <w:tcW w:type="dxa" w:w="2451"/>
          </w:tcPr>
          <w:p>
            <w:pPr>
              <w:pStyle w:val="Compact"/>
              <w:jc w:val="left"/>
            </w:pPr>
            <w:r>
              <w:t xml:space="preserve">not evaluated</w:t>
            </w:r>
          </w:p>
        </w:tc>
      </w:tr>
      <w:tr>
        <w:trPr>
          <w:cantSplit/>
        </w:trPr>
        <w:tc>
          <w:tcPr>
            <w:tcW w:type="dxa" w:w="2042"/>
          </w:tcPr>
          <w:p>
            <w:pPr>
              <w:pStyle w:val="Compact"/>
              <w:jc w:val="left"/>
            </w:pPr>
            <w:r>
              <w:t xml:space="preserve">Reference weighing</w:t>
            </w:r>
            <w:r>
              <w:t xml:space="preserve"> </w:t>
            </w:r>
            <m:oMath>
              <m:sSub>
                <m:e>
                  <m:r>
                    <m:t>P</m:t>
                  </m:r>
                </m:e>
                <m:sub>
                  <m:r>
                    <m:t>0</m:t>
                  </m:r>
                </m:sub>
              </m:sSub>
            </m:oMath>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International Organization of Legal Metrology (OIML) class M1 weights; field: day-1 weights driver-reported</w:t>
            </w:r>
          </w:p>
        </w:tc>
      </w:tr>
      <w:tr>
        <w:trPr>
          <w:cantSplit/>
        </w:trPr>
        <w:tc>
          <w:tcPr>
            <w:tcW w:type="dxa" w:w="2042"/>
          </w:tcPr>
          <w:p>
            <w:pPr>
              <w:pStyle w:val="Compact"/>
              <w:jc w:val="left"/>
            </w:pPr>
            <w:r>
              <w:t xml:space="preserve">Residual offset, drift</w:t>
            </w:r>
            <w:r>
              <w:t xml:space="preserve"> </w:t>
            </w:r>
            <m:oMath>
              <m:sSub>
                <m:e>
                  <m:r>
                    <m:t>δ</m:t>
                  </m:r>
                </m:e>
                <m:sub>
                  <m:r>
                    <m:t>0</m:t>
                  </m:r>
                </m:sub>
              </m:sSub>
            </m:oMath>
          </w:p>
        </w:tc>
        <w:tc>
          <w:tcPr>
            <w:tcW w:type="dxa" w:w="2124"/>
          </w:tcPr>
          <w:p>
            <w:pPr>
              <w:pStyle w:val="Compact"/>
              <w:jc w:val="left"/>
            </w:pPr>
            <m:oMath>
              <m:sSub>
                <m:e>
                  <m:r>
                    <m:t>L</m:t>
                  </m:r>
                </m:e>
                <m:sub>
                  <m:r>
                    <m:rPr>
                      <m:sty m:val="p"/>
                      <m:nor/>
                    </m:rPr>
                    <m:t>tot</m:t>
                  </m:r>
                </m:sub>
              </m:sSub>
              <m:r>
                <m:rPr>
                  <m:sty m:val="p"/>
                </m:rPr>
                <m:t>/</m:t>
              </m:r>
              <m:r>
                <m:t>J</m:t>
              </m:r>
            </m:oMath>
            <w:r>
              <w:t xml:space="preserve"> </w:t>
            </w:r>
            <w:r>
              <w:t xml:space="preserve">per unit offset</w:t>
            </w:r>
          </w:p>
        </w:tc>
        <w:tc>
          <w:tcPr>
            <w:tcW w:type="dxa" w:w="2451"/>
          </w:tcPr>
          <w:p>
            <w:pPr>
              <w:pStyle w:val="Compact"/>
              <w:jc w:val="left"/>
            </w:pPr>
            <w:r>
              <w:t xml:space="preserve">only if common-mode during crossings</w:t>
            </w:r>
          </w:p>
        </w:tc>
        <w:tc>
          <w:tcPr>
            <w:tcW w:type="dxa" w:w="2451"/>
          </w:tcPr>
          <w:p>
            <w:pPr>
              <w:pStyle w:val="Compact"/>
              <w:jc w:val="left"/>
            </w:pPr>
            <w:r>
              <w:t xml:space="preserve">Table S17; field per-crossing SD of the gauge average predicted 19.8 % (day 2), 5.3 % (day 1)</w:t>
            </w:r>
          </w:p>
        </w:tc>
      </w:tr>
      <w:tr>
        <w:trPr>
          <w:cantSplit/>
        </w:trPr>
        <w:tc>
          <w:tcPr>
            <w:tcW w:type="dxa" w:w="2042"/>
          </w:tcPr>
          <w:p>
            <w:pPr>
              <w:pStyle w:val="Compact"/>
              <w:jc w:val="left"/>
            </w:pPr>
            <w:r>
              <w:t xml:space="preserve">Speed effect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day 2: +6 % per 10 m/s (95 % CI −23 to +35 %), not resolved</w:t>
            </w:r>
          </w:p>
        </w:tc>
      </w:tr>
      <w:tr>
        <w:trPr>
          <w:cantSplit/>
        </w:trPr>
        <w:tc>
          <w:tcPr>
            <w:tcW w:type="dxa" w:w="2042"/>
          </w:tcPr>
          <w:p>
            <w:pPr>
              <w:pStyle w:val="Compact"/>
              <w:jc w:val="left"/>
            </w:pPr>
            <w:r>
              <w:t xml:space="preserve">Speed measurement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1.4 % on average (at most 4.6 %) against the dataset speeds; a second estimator differs by a factor of 1.139 (SD 0.124)</w:t>
            </w:r>
          </w:p>
        </w:tc>
      </w:tr>
      <w:tr>
        <w:trPr>
          <w:cantSplit/>
        </w:trPr>
        <w:tc>
          <w:tcPr>
            <w:tcW w:type="dxa" w:w="2042"/>
          </w:tcPr>
          <w:p>
            <w:pPr>
              <w:pStyle w:val="Compact"/>
              <w:jc w:val="left"/>
            </w:pPr>
            <w:r>
              <w:t xml:space="preserve">Dynamics</w:t>
            </w:r>
          </w:p>
        </w:tc>
        <w:tc>
          <w:tcPr>
            <w:tcW w:type="dxa" w:w="2124"/>
          </w:tcPr>
          <w:p>
            <w:pPr>
              <w:pStyle w:val="Compact"/>
              <w:jc w:val="left"/>
            </w:pPr>
            <w:r>
              <w:t xml:space="preserve">1</w:t>
            </w:r>
          </w:p>
        </w:tc>
        <w:tc>
          <w:tcPr>
            <w:tcW w:type="dxa" w:w="2451"/>
          </w:tcPr>
          <w:p>
            <w:pPr>
              <w:pStyle w:val="Compact"/>
              <w:jc w:val="left"/>
            </w:pPr>
            <w:r>
              <w:t xml:space="preserve">partly</w:t>
            </w:r>
          </w:p>
        </w:tc>
        <w:tc>
          <w:tcPr>
            <w:tcW w:type="dxa" w:w="2451"/>
          </w:tcPr>
          <w:p>
            <w:pPr>
              <w:pStyle w:val="Compact"/>
              <w:jc w:val="left"/>
            </w:pPr>
            <w:r>
              <w:t xml:space="preserve">≤ 1 % for</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pStyle w:val="Compact"/>
              <w:jc w:val="left"/>
            </w:pPr>
            <w:r>
              <w:t xml:space="preserve">Transverse position</w:t>
            </w:r>
          </w:p>
        </w:tc>
        <w:tc>
          <w:tcPr>
            <w:tcW w:type="dxa" w:w="2124"/>
          </w:tcPr>
          <w:p>
            <w:pPr>
              <w:pStyle w:val="Compact"/>
              <w:jc w:val="left"/>
            </w:pPr>
            <w:r>
              <w:t xml:space="preserve">lane-dependent</w:t>
            </w:r>
            <w:r>
              <w:t xml:space="preserve"> </w:t>
            </w:r>
            <m:oMath>
              <m:r>
                <m:t>C</m:t>
              </m:r>
            </m:oMath>
          </w:p>
        </w:tc>
        <w:tc>
          <w:tcPr>
            <w:tcW w:type="dxa" w:w="2451"/>
          </w:tcPr>
          <w:p>
            <w:pPr>
              <w:pStyle w:val="Compact"/>
              <w:jc w:val="left"/>
            </w:pPr>
            <w:r>
              <w:t xml:space="preserve">no, unless lane-specific</w:t>
            </w:r>
          </w:p>
        </w:tc>
        <w:tc>
          <w:tcPr>
            <w:tcW w:type="dxa" w:w="2451"/>
          </w:tcPr>
          <w:p>
            <w:pPr>
              <w:pStyle w:val="Compact"/>
              <w:jc w:val="left"/>
            </w:pPr>
            <w:r>
              <w:t xml:space="preserve">field lane ratio 0.79; Mây Bridge range 2.05 mm across a section</w:t>
            </w:r>
          </w:p>
        </w:tc>
      </w:tr>
      <w:tr>
        <w:trPr>
          <w:cantSplit/>
        </w:trPr>
        <w:tc>
          <w:tcPr>
            <w:tcW w:type="dxa" w:w="2042"/>
          </w:tcPr>
          <w:p>
            <w:pPr>
              <w:pStyle w:val="Compact"/>
              <w:jc w:val="left"/>
            </w:pPr>
            <w:r>
              <w:t xml:space="preserve">Multiple presence</w:t>
            </w:r>
          </w:p>
        </w:tc>
        <w:tc>
          <w:tcPr>
            <w:tcW w:type="dxa" w:w="2124"/>
          </w:tcPr>
          <w:p>
            <w:pPr>
              <w:pStyle w:val="Compact"/>
              <w:jc w:val="left"/>
            </w:pPr>
            <w:r>
              <w:t xml:space="preserve">group weight</w:t>
            </w:r>
          </w:p>
        </w:tc>
        <w:tc>
          <w:tcPr>
            <w:tcW w:type="dxa" w:w="2451"/>
          </w:tcPr>
          <w:p>
            <w:pPr>
              <w:pStyle w:val="Compact"/>
              <w:jc w:val="left"/>
            </w:pPr>
            <w:r>
              <w:t xml:space="preserve">–</w:t>
            </w:r>
          </w:p>
        </w:tc>
        <w:tc>
          <w:tcPr>
            <w:tcW w:type="dxa" w:w="2451"/>
          </w:tcPr>
          <w:p>
            <w:pPr>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(4)–(7), (S1) and (S2)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nor/>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(13)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For GLS or zero-sum weights, vehicle-free windows are not enough to estimate</w:t>
      </w:r>
      <w:r>
        <w:t xml:space="preserve"> </w:t>
      </w:r>
      <m:oMath>
        <m:r>
          <m:t>Σ</m:t>
        </m:r>
      </m:oMath>
      <w:r>
        <w:t xml:space="preserve">; they misled on the field records (Section 4.3). Residuals of calibration crossings are the better basis but were not sufficient on the field records: with eight runs,</w:t>
      </w:r>
      <w:r>
        <w:t xml:space="preserve"> </w:t>
      </w:r>
      <m:oMath>
        <m:r>
          <m:t>Σ</m:t>
        </m:r>
      </m:oMath>
      <w:r>
        <w:t xml:space="preserve"> </w:t>
      </w:r>
      <w:r>
        <w:t xml:space="preserve">estimated from them over-fitted (MAE 8.5 % in sample against 23.4 % out of sample; Section S7). Combine channels only with enough calibration crossings and an out-of-sample check against the gauge average.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(10), for the residual offset that the instrumentation achieves after re-zeroing, and compare it with the lightest vehicle to be screened. Check</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p>
      <w:pPr>
        <w:pStyle w:val="BodyText"/>
      </w:pPr>
      <w:r>
        <w:t xml:space="preserve">Validation test. For the Mây Bridge, a moving-load test with weighed trucks has been designed but not performed; Table S19 gives the predictions that would decide between calibrations A and B (Section S8).</w:t>
      </w:r>
    </w:p>
    <w:p>
      <w:pPr>
        <w:pStyle w:val="BodyText"/>
        <w:keepNext/>
      </w:pPr>
      <w:r>
        <w:rPr>
          <w:bCs/>
          <w:b/>
        </w:rPr>
        <w:t xml:space="preserve">Table S19.</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w:t>
            </w:r>
            <m:oMath>
              <m:r>
                <m:t>L</m:t>
              </m:r>
            </m:oMath>
            <w:r>
              <w:t xml:space="preserve"> </w:t>
            </w:r>
            <w:r>
              <w:t xml:space="preserve">/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2026-10-21T10:37:30Z</dcterms:created>
  <dcterms:modified xsi:type="dcterms:W3CDTF">2026-10-21T10:37:30Z</dcterms:modified>
</cp:coreProperties>
</file>

<file path=docProps/custom.xml><?xml version="1.0" encoding="utf-8"?>
<Properties xmlns="http://schemas.openxmlformats.org/officeDocument/2006/custom-properties" xmlns:vt="http://schemas.openxmlformats.org/officeDocument/2006/docPropsVTypes"/>
</file>