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uncertain by a factor of 6.6 (2.4 for plausible rigidity,</w:t>
      </w:r>
      <w:r>
        <w:t xml:space="preserve"> </w:t>
      </w:r>
      <m:oMath>
        <m:r>
          <m:t>α</m:t>
        </m:r>
      </m:oMath>
      <w:r>
        <w:t xml:space="preserve"> </w:t>
      </w:r>
      <w:r>
        <w:t xml:space="preserve">= 0.9–1.3), against 1.5 at mid main span. A laboratory test is consistent with the influence-area identity. Strain gauges should avoid near-blind bands, deflection gauges belong at mid main span, and side-span constants need identified pier stiffness or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Single-channel SLM assumes that the integral constant is well away from zero and independent of the boundary conditions, yet none of these studies gives closed-form conditions under which this assumption fails, or how they shift with uncertain boundary conditions.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gives a closed-form placement rule in place of numerical optimization (Zhou et al., 2025): for position-independent noise, optimal sensors lie at the extremes of the uniform-load response, and on public records GLS weights from vehicle-free noise raised the out-of-sample error 8.5 percentage points above the gauge average. (iii) For a symmetric girder with equal piers, the constant depends on pier stiffness through a linear-fractional (Möbius) law, and on an in-service box girder two static readings leave the constant of a side-span deflection gauge uncertain by a factor of 6.6 from the static data alone (tolerance</w:t>
      </w:r>
      <w:r>
        <w:t xml:space="preserve"> </w:t>
      </w:r>
      <m:oMath>
        <m:r>
          <m:t>τ</m:t>
        </m:r>
      </m:oMath>
      <w:r>
        <w:t xml:space="preserve"> </w:t>
      </w:r>
      <w:r>
        <w:t xml:space="preserve">= 5.3 %), 2.4 for plausible rigidity (</w:t>
      </w:r>
      <m:oMath>
        <m:r>
          <m:t>α</m:t>
        </m:r>
      </m:oMath>
      <w:r>
        <w:t xml:space="preserve"> </w:t>
      </w:r>
      <w:r>
        <w:t xml:space="preserve">= 0.9–1.3), against 1.5 for the main-span constant. The laboratory test checks the identity, the public records check its assumptions and noise model (not weighing accuracy), and the in-service girder shows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(8)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In design terms, a deflection gauge cannot be blind on a girder of equal spans and rigidities; blindness needs a longer or stiffer adjacent span that raises the interior support moment above its value for two equal spans (</w:t>
      </w:r>
      <m:oMath>
        <m:r>
          <m:t>μ</m:t>
        </m:r>
        <m:r>
          <m:rPr>
            <m:sty m:val="p"/>
          </m:rPr>
          <m:t>=</m:t>
        </m:r>
        <m:r>
          <m:t>1</m:t>
        </m:r>
      </m:oMath>
      <w:r>
        <w:t xml:space="preserve">) but not to twice that value. The resulting blind span ratios, for example</w:t>
      </w:r>
      <w:r>
        <w:t xml:space="preserve"> </w:t>
      </w:r>
      <m:oMath>
        <m:r>
          <m:t>λ</m:t>
        </m:r>
        <m:r>
          <m:rPr>
            <m:sty m:val="p"/>
          </m:rPr>
          <m:t>=</m:t>
        </m:r>
        <m:r>
          <m:t>1.4574</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a symmetric three-span beam, are listed in Table 1; their closed forms, the optimal deflection-gauge position on two equal spans and the edges of the near-blind bands are in Supplementary Section S2 (Eqs. (S1) and (S2), Tables S2 and S3). A channel is called near-blind when its indicator (Section 2.3) is below 0.2 in magnitude (Fig. 2).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w:t>
      </w:r>
      <w:r>
        <w:t xml:space="preserve"> </w:t>
      </w:r>
      <m:oMath>
        <m:sSub>
          <m:e>
            <m:r>
              <m:t>P</m:t>
            </m:r>
          </m:e>
          <m:sub>
            <m:r>
              <m:t>δ</m:t>
            </m:r>
          </m:sub>
        </m:sSub>
        <m:r>
          <m:rPr>
            <m:sty m:val="p"/>
          </m:rPr>
          <m:t>=</m:t>
        </m:r>
        <m:sSub>
          <m:e>
            <m:r>
              <m:t>δ</m:t>
            </m:r>
          </m:e>
          <m:sub>
            <m:r>
              <m:t>0</m:t>
            </m:r>
          </m:sub>
        </m:sSub>
        <m:sSub>
          <m:e>
            <m:r>
              <m:t>L</m:t>
            </m:r>
          </m:e>
          <m:sub>
            <m:r>
              <m:rPr>
                <m:sty m:val="p"/>
              </m:rPr>
              <m:t>tot</m:t>
            </m:r>
          </m:sub>
        </m:sSub>
        <m:r>
          <m:rPr>
            <m:sty m:val="p"/>
          </m:rPr>
          <m:t>/</m:t>
        </m:r>
        <m:r>
          <m:t>C</m:t>
        </m:r>
      </m:oMath>
      <w:r>
        <w:t xml:space="preserve"> </w:t>
      </w:r>
      <w:r>
        <w:t xml:space="preserve">in Eq. (10), for the same offset and record length an indicator of 0.2 multiplies the offset-equivalent load by 12.5 relative to a simply supported mid-span deflection gauge (</w:t>
      </w:r>
      <m:oMath>
        <m:sSub>
          <m:e>
            <m:r>
              <m:t>N</m:t>
            </m:r>
          </m:e>
          <m:sub>
            <m:r>
              <m:t>w</m:t>
            </m:r>
          </m:sub>
        </m:sSub>
        <m:r>
          <m:rPr>
            <m:sty m:val="p"/>
          </m:rPr>
          <m:t>=</m:t>
        </m:r>
        <m:r>
          <m:t>2.5</m:t>
        </m:r>
      </m:oMath>
      <w:r>
        <w:t xml:space="preserve">) and by 5 relative to a simply supported mid-span strain gauge (</w:t>
      </w:r>
      <m:oMath>
        <m:sSub>
          <m:e>
            <m:r>
              <m:t>N</m:t>
            </m:r>
          </m:e>
          <m:sub>
            <m:r>
              <m:t>M</m:t>
            </m:r>
          </m:sub>
        </m:sSub>
        <m:r>
          <m:rPr>
            <m:sty m:val="p"/>
          </m:rPr>
          <m:t>=</m:t>
        </m:r>
        <m:r>
          <m:t>1</m:t>
        </m:r>
      </m:oMath>
      <w:r>
        <w:t xml:space="preserv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sty m:val="p"/>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sty m:val="p"/>
              </m:rPr>
              <m:t>+</m:t>
            </m:r>
          </m:sup>
        </m:sSup>
      </m:oMath>
      <w:r>
        <w:t xml:space="preserve"> </w:t>
      </w:r>
      <w:r>
        <w:t xml:space="preserve">and</w:t>
      </w:r>
      <w:r>
        <w:t xml:space="preserve"> </w:t>
      </w:r>
      <m:oMath>
        <m:sSup>
          <m:e>
            <m:r>
              <m:t>A</m:t>
            </m:r>
          </m:e>
          <m:sup>
            <m:r>
              <m:rPr>
                <m:sty m:val="p"/>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other channels of the same run, unfiltered.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10–27 %. On day 2, the ratio of the gauge-average constants of the 5-axle and the 3-axle truck is 0.98 (95 % CI 0.70–1.37; Fig. 5b): consistent with Eq. (2), but with eight runs it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Lane-B speeds came from the lag between gauges, so this ratio also contains any difference between the two speed estimates.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necessary but not sufficient: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S12 and S14); the longitudinal axle positions of the test load are listed in Supplementary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w:t>
      </w:r>
    </w:p>
    <w:bookmarkEnd w:id="51"/>
    <w:bookmarkStart w:id="55" w:name="what-the-static-data-identify"/>
    <w:p>
      <w:pPr>
        <w:pStyle w:val="Heading3"/>
      </w:pPr>
      <w:r>
        <w:t xml:space="preserve">5.2. What the static data identify</w:t>
      </w:r>
    </w:p>
    <w:p>
      <w:pPr>
        <w:pStyle w:val="FirstParagraph"/>
      </w:pPr>
      <w:r>
        <w:t xml:space="preserve">Two static readings leave the constant of the side-span gauge N8 uncertain by a factor of 6.6 from the static data alone (tolerance</w:t>
      </w:r>
      <w:r>
        <w:t xml:space="preserve"> </w:t>
      </w:r>
      <m:oMath>
        <m:r>
          <m:t>τ</m:t>
        </m:r>
      </m:oMath>
      <w:r>
        <w:t xml:space="preserve"> </w:t>
      </w:r>
      <w:r>
        <w:t xml:space="preserve">= 5.3 %), 2.4 for plausible rigidity (</w:t>
      </w:r>
      <m:oMath>
        <m:r>
          <m:t>α</m:t>
        </m:r>
      </m:oMath>
      <w:r>
        <w:t xml:space="preserve"> </w:t>
      </w:r>
      <w:r>
        <w:t xml:space="preserve">= 0.9–1.3), against 1.5 for the main-span constant (Table 3; Supplementary Table S13). The factor is carried by</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over the admissible set defined below;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(Fig. 7b).</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sty m:val="p"/>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admissible set contains every model whose misfit at each gauge is within</w:t>
      </w:r>
      <w:r>
        <w:t xml:space="preserve"> </w:t>
      </w:r>
      <m:oMath>
        <m:r>
          <m:t>τ</m:t>
        </m:r>
      </m:oMath>
      <w:r>
        <w:t xml:space="preserve">, two standard deviations of a section mean (2.64 %); this combines the standard error of the six readings with a model-form standard uncertainty of 1.75 %, half the spread of the predicted</w:t>
      </w:r>
      <w:r>
        <w:t xml:space="preserve"> </w:t>
      </w:r>
      <m:oMath>
        <m:r>
          <m:rPr>
            <m:sty m:val="p"/>
          </m:rPr>
          <m:t>ln</m:t>
        </m:r>
        <m:d>
          <m:dPr>
            <m:begChr m:val="("/>
            <m:endChr m:val=")"/>
            <m:sepChr m:val=""/>
            <m:grow/>
          </m:dPr>
          <m:e>
            <m:r>
              <m:t>N</m:t>
            </m:r>
            <m:r>
              <m:t>8</m:t>
            </m:r>
            <m:r>
              <m:rPr>
                <m:sty m:val="p"/>
              </m:rPr>
              <m:t>/</m:t>
            </m:r>
            <m:r>
              <m:t>N</m:t>
            </m:r>
            <m:r>
              <m:t>7</m:t>
            </m:r>
          </m:e>
        </m:d>
      </m:oMath>
      <w:r>
        <w:t xml:space="preserve"> </w:t>
      </w:r>
      <w:r>
        <w:t xml:space="preserve">across the model-form variants divided by</w:t>
      </w:r>
      <w:r>
        <w:t xml:space="preserve"> </w:t>
      </w:r>
      <m:oMath>
        <m:rad>
          <m:radPr>
            <m:degHide m:val="on"/>
          </m:radPr>
          <m:deg/>
          <m:e>
            <m:r>
              <m:t>2</m:t>
            </m:r>
          </m:e>
        </m:rad>
      </m:oMath>
      <w:r>
        <w:t xml:space="preserve"> </w:t>
      </w:r>
      <w:r>
        <w:t xml:space="preserve">per gauge (Supplementary Section S8). The standard error, the six-reading standard deviation divided by</w:t>
      </w:r>
      <w:r>
        <w:t xml:space="preserve"> </w:t>
      </w:r>
      <m:oMath>
        <m:rad>
          <m:radPr>
            <m:degHide m:val="on"/>
          </m:radPr>
          <m:deg/>
          <m:e>
            <m:r>
              <m:t>6</m:t>
            </m:r>
          </m:e>
        </m:rad>
      </m:oMath>
      <w:r>
        <w:t xml:space="preserve">, treats the transverse readings as independent samples, an assumption, since they come from different transverse positions; Supplementary Table S13 therefore gives the results at</w:t>
      </w:r>
      <w:r>
        <w:t xml:space="preserve"> </w:t>
      </w:r>
      <m:oMath>
        <m:r>
          <m:t>τ</m:t>
        </m:r>
      </m:oMath>
      <w:r>
        <w:t xml:space="preserve"> </w:t>
      </w:r>
      <w:r>
        <w:t xml:space="preserve">= 3, 4 and 5.3 %.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of N8 is several times that of N7. Calibrating to the N8 reading does not fix the N8 constant either, because the reading and the constant depend differently on</w:t>
      </w:r>
      <w:r>
        <w:t xml:space="preserve"> </w:t>
      </w:r>
      <m:oMath>
        <m:r>
          <m:t>κ</m:t>
        </m:r>
      </m:oMath>
      <w:r>
        <w:t xml:space="preserve"> </w:t>
      </w:r>
      <w:r>
        <w:t xml:space="preserve">(Supplementary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S15.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0.023</w:t>
            </w:r>
          </w:p>
        </w:tc>
        <w:tc>
          <w:tcPr>
            <w:tcW w:type="dxa" w:w="1744"/>
          </w:tcPr>
          <w:p>
            <w:pPr>
              <w:pStyle w:val="Compact"/>
              <w:jc w:val="right"/>
            </w:pPr>
            <w:r>
              <w:t xml:space="preserve">0.263</w:t>
            </w:r>
          </w:p>
        </w:tc>
        <w:tc>
          <w:tcPr>
            <w:tcW w:type="dxa" w:w="1465"/>
          </w:tcPr>
          <w:p>
            <w:pPr>
              <w:pStyle w:val="Compact"/>
              <w:jc w:val="right"/>
            </w:pPr>
            <w:r>
              <w:t xml:space="preserve">–</w:t>
            </w:r>
          </w:p>
        </w:tc>
        <w:tc>
          <w:tcPr>
            <w:tcW w:type="dxa" w:w="1465"/>
          </w:tcPr>
          <w:p>
            <w:pPr>
              <w:pStyle w:val="Compact"/>
              <w:jc w:val="right"/>
            </w:pPr>
            <w:r>
              <w:t xml:space="preserve">–</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0.446</w:t>
            </w:r>
          </w:p>
        </w:tc>
        <w:tc>
          <w:tcPr>
            <w:tcW w:type="dxa" w:w="1744"/>
          </w:tcPr>
          <w:p>
            <w:pPr>
              <w:pStyle w:val="Compact"/>
              <w:jc w:val="right"/>
            </w:pPr>
            <w:r>
              <w:t xml:space="preserve">0.145</w:t>
            </w:r>
          </w:p>
        </w:tc>
        <w:tc>
          <w:tcPr>
            <w:tcW w:type="dxa" w:w="1465"/>
          </w:tcPr>
          <w:p>
            <w:pPr>
              <w:pStyle w:val="Compact"/>
              <w:jc w:val="right"/>
            </w:pPr>
            <w:r>
              <w:t xml:space="preserve">–</w:t>
            </w:r>
          </w:p>
        </w:tc>
        <w:tc>
          <w:tcPr>
            <w:tcW w:type="dxa" w:w="1465"/>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0.9 % in variance of the calibration-specific optimum under both A and B. Under the assumed noise model of Supplementary Section S4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(Fig. 7b),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A moving-load test with weighed trucks has been designed but not performed; Table 4 gives the predictions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weighed vehicles of clearly different weights and lane-specific constants is preferred. GLS or zero-sum weights need</w:t>
      </w:r>
      <w:r>
        <w:t xml:space="preserve"> </w:t>
      </w:r>
      <m:oMath>
        <m:r>
          <m:t>Σ</m:t>
        </m:r>
      </m:oMath>
      <w:r>
        <w:t xml:space="preserve"> </w:t>
      </w:r>
      <w:r>
        <w:t xml:space="preserve">from enough calibration crossings,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uncertain by a factor of 6.6 (2.4 for plausible rigidity,</w:t>
      </w:r>
      <w:r>
        <w:t xml:space="preserve"> </w:t>
      </w:r>
      <m:oMath>
        <m:r>
          <m:t>α</m:t>
        </m:r>
      </m:oMath>
      <w:r>
        <w:t xml:space="preserve"> </w:t>
      </w:r>
      <w:r>
        <w:t xml:space="preserve">= 0.9–1.3), against 1.5 for the main-span constant;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2026-10-20T11:05:02Z</dcterms:created>
  <dcterms:modified xsi:type="dcterms:W3CDTF">2026-10-20T11:05:02Z</dcterms:modified>
</cp:coreProperties>
</file>

<file path=docProps/custom.xml><?xml version="1.0" encoding="utf-8"?>
<Properties xmlns="http://schemas.openxmlformats.org/officeDocument/2006/custom-properties" xmlns:vt="http://schemas.openxmlformats.org/officeDocument/2006/docPropsVTypes"/>
</file>