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loci and sensor layout for influence-area bridge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with strain and cancellation indicators that need no reference rigidity, showing that strain gauges that measure global bending (on a girder flange or web)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and,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BWIM on a two-span continuous bridge (Yamaguchi et al., 2009), and cites recent studies in the journal on vehicle-weight identification (Hao et al., 2019; Zuo et al., 2019) and on influence-line identification and model updating (Lin et al., 2023; Wang et al., 2026). It is just under 12,000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2026-10-20T12:43:27Z</dcterms:created>
  <dcterms:modified xsi:type="dcterms:W3CDTF">2026-10-20T12:43:27Z</dcterms:modified>
</cp:coreProperties>
</file>

<file path=docProps/custom.xml><?xml version="1.0" encoding="utf-8"?>
<Properties xmlns="http://schemas.openxmlformats.org/officeDocument/2006/custom-properties" xmlns:vt="http://schemas.openxmlformats.org/officeDocument/2006/docPropsVTypes"/>
</file>