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loci and sensor layout for influence-area bridge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892"/>
        <w:gridCol w:w="6177"/>
      </w:tblGrid>
      <w:tr>
        <w:trPr>
          <w:tblHeader w:val="true"/>
          <w:tblHeader w:val="true"/>
          <w:cantSplit/>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rPr>
          <w:cantSplit/>
        </w:trPr>
        <w:tc>
          <w:tcPr>
            <w:tcW w:type="dxa" w:w="2892"/>
          </w:tcPr>
          <w:p>
            <w:pPr>
              <w:pStyle w:val="Compact"/>
              <w:jc w:val="left"/>
            </w:pPr>
            <m:oMath>
              <m:sSup>
                <m:e>
                  <m:r>
                    <m:t>A</m:t>
                  </m:r>
                </m:e>
                <m:sup>
                  <m:r>
                    <m:rPr>
                      <m:nor/>
                    </m:rPr>
                    <m:t>+</m:t>
                  </m:r>
                </m:sup>
              </m:sSup>
            </m:oMath>
          </w:p>
        </w:tc>
        <w:tc>
          <w:tcPr>
            <w:tcW w:type="dxa" w:w="6177"/>
          </w:tcPr>
          <w:p>
            <w:pPr>
              <w:pStyle w:val="Compact"/>
              <w:jc w:val="left"/>
            </w:pPr>
            <w:r>
              <w:t xml:space="preserve">positive part of the area under an influence line</w:t>
            </w:r>
          </w:p>
        </w:tc>
      </w:tr>
      <w:tr>
        <w:trPr>
          <w:cantSplit/>
        </w:trP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rPr>
          <w:cantSplit/>
        </w:trP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(10)</w:t>
            </w:r>
          </w:p>
        </w:tc>
      </w:tr>
      <w:tr>
        <w:trPr>
          <w:cantSplit/>
        </w:trP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nor/>
                </m:rPr>
                <m:t>|</m:t>
              </m:r>
              <m:r>
                <m:rPr>
                  <m:sty m:val="p"/>
                </m:rPr>
                <m:t>∂</m:t>
              </m:r>
              <m:r>
                <m:rPr>
                  <m:sty m:val="p"/>
                </m:rPr>
                <m:t>ln</m:t>
              </m:r>
              <m:sSub>
                <m:e>
                  <m:r>
                    <m:t>C</m:t>
                  </m:r>
                </m:e>
                <m:sub>
                  <m:r>
                    <m:t>m</m:t>
                  </m:r>
                </m:sub>
              </m:sSub>
              <m:r>
                <m:rPr>
                  <m:sty m:val="p"/>
                </m:rPr>
                <m:t>/</m:t>
              </m:r>
              <m:r>
                <m:rPr>
                  <m:sty m:val="p"/>
                </m:rPr>
                <m:t>∂</m:t>
              </m:r>
              <m:r>
                <m:rPr>
                  <m:sty m:val="p"/>
                </m:rPr>
                <m:t>ln</m:t>
              </m:r>
              <m:r>
                <m:t>κ</m:t>
              </m:r>
              <m:r>
                <m:rPr>
                  <m:nor/>
                </m:rPr>
                <m:t>|</m:t>
              </m:r>
            </m:oMath>
          </w:p>
        </w:tc>
      </w:tr>
      <w:tr>
        <w:trPr>
          <w:cantSplit/>
        </w:trP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rPr>
          <w:cantSplit/>
        </w:trPr>
        <w:tc>
          <w:tcPr>
            <w:tcW w:type="dxa" w:w="2892"/>
          </w:tcPr>
          <w:p>
            <w:pPr>
              <w:pStyle w:val="Compact"/>
              <w:jc w:val="left"/>
            </w:pPr>
            <m:oMath>
              <m:r>
                <m:t>c</m:t>
              </m:r>
            </m:oMath>
          </w:p>
        </w:tc>
        <w:tc>
          <w:tcPr>
            <w:tcW w:type="dxa" w:w="6177"/>
          </w:tcPr>
          <w:p>
            <w:pPr>
              <w:pStyle w:val="Compact"/>
              <w:jc w:val="left"/>
            </w:pPr>
            <w:r>
              <w:t xml:space="preserve">distance of the gauged fiber from the neutral axis (m)</w:t>
            </w:r>
          </w:p>
        </w:tc>
      </w:tr>
      <w:tr>
        <w:trPr>
          <w:cantSplit/>
        </w:trP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rPr>
          <w:cantSplit/>
        </w:trPr>
        <w:tc>
          <w:tcPr>
            <w:tcW w:type="dxa" w:w="2892"/>
          </w:tcPr>
          <w:p>
            <w:pPr>
              <w:pStyle w:val="Compact"/>
              <w:jc w:val="left"/>
            </w:pPr>
            <m:oMath>
              <m:r>
                <m:t>E</m:t>
              </m:r>
              <m:r>
                <m:t>I</m:t>
              </m:r>
            </m:oMath>
            <w:r>
              <w:t xml:space="preserve">,</w:t>
            </w:r>
            <w:r>
              <w:t xml:space="preserve"> </w:t>
            </w:r>
            <m:oMath>
              <m:r>
                <m:t>E</m:t>
              </m:r>
              <m:sSub>
                <m:e>
                  <m:r>
                    <m:t>I</m:t>
                  </m:r>
                </m:e>
                <m:sub>
                  <m:r>
                    <m:rPr>
                      <m:sty m:val="p"/>
                    </m:rPr>
                    <m:t>mid</m:t>
                  </m:r>
                </m:sub>
              </m:sSub>
            </m:oMath>
            <w:r>
              <w:t xml:space="preserve">,</w:t>
            </w:r>
            <w:r>
              <w:t xml:space="preserve"> </w:t>
            </w:r>
            <m:oMath>
              <m:r>
                <m:t>E</m:t>
              </m:r>
              <m:sSub>
                <m:e>
                  <m:r>
                    <m:t>I</m:t>
                  </m:r>
                </m:e>
                <m:sub>
                  <m:r>
                    <m:rPr>
                      <m:sty m:val="p"/>
                    </m:rPr>
                    <m:t>ref</m:t>
                  </m:r>
                </m:sub>
              </m:sSub>
            </m:oMath>
          </w:p>
        </w:tc>
        <w:tc>
          <w:tcPr>
            <w:tcW w:type="dxa" w:w="6177"/>
          </w:tcPr>
          <w:p>
            <w:pPr>
              <w:pStyle w:val="Compact"/>
              <w:jc w:val="left"/>
            </w:pPr>
            <w:r>
              <w:t xml:space="preserve">flexural rigidity;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rPr>
          <w:cantSplit/>
        </w:trP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rPr>
          <w:cantSplit/>
        </w:trP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rPr>
          <w:cantSplit/>
        </w:trPr>
        <w:tc>
          <w:tcPr>
            <w:tcW w:type="dxa" w:w="2892"/>
          </w:tcPr>
          <w:p>
            <w:pPr>
              <w:pStyle w:val="Compact"/>
              <w:jc w:val="left"/>
            </w:pPr>
            <m:oMath>
              <m:r>
                <m:t>h</m:t>
              </m:r>
            </m:oMath>
          </w:p>
        </w:tc>
        <w:tc>
          <w:tcPr>
            <w:tcW w:type="dxa" w:w="6177"/>
          </w:tcPr>
          <w:p>
            <w:pPr>
              <w:pStyle w:val="Compact"/>
              <w:jc w:val="left"/>
            </w:pPr>
            <w:r>
              <w:t xml:space="preserve">girder depth (m)</w:t>
            </w:r>
          </w:p>
        </w:tc>
      </w:tr>
      <w:tr>
        <w:trPr>
          <w:cantSplit/>
        </w:trPr>
        <w:tc>
          <w:tcPr>
            <w:tcW w:type="dxa" w:w="2892"/>
          </w:tcPr>
          <w:p>
            <w:pPr>
              <w:pStyle w:val="Compact"/>
              <w:jc w:val="left"/>
            </w:pPr>
            <m:oMath>
              <m:r>
                <m:t>I</m:t>
              </m:r>
            </m:oMath>
          </w:p>
        </w:tc>
        <w:tc>
          <w:tcPr>
            <w:tcW w:type="dxa" w:w="6177"/>
          </w:tcPr>
          <w:p>
            <w:pPr>
              <w:pStyle w:val="Compact"/>
              <w:jc w:val="left"/>
            </w:pPr>
            <w:r>
              <w:t xml:space="preserve">second moment of area</w:t>
            </w:r>
          </w:p>
        </w:tc>
      </w:tr>
      <w:tr>
        <w:trPr>
          <w:cantSplit/>
        </w:trP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side</m:t>
                  </m:r>
                </m:sub>
              </m:sSub>
              <m:r>
                <m:rPr>
                  <m:sty m:val="p"/>
                </m:rPr>
                <m:t>/</m:t>
              </m:r>
              <m:r>
                <m:t>E</m:t>
              </m:r>
              <m:sSub>
                <m:e>
                  <m:r>
                    <m:t>I</m:t>
                  </m:r>
                </m:e>
                <m:sub>
                  <m:r>
                    <m:rPr>
                      <m:sty m:val="p"/>
                    </m:rPr>
                    <m:t>side</m:t>
                  </m:r>
                </m:sub>
              </m:sSub>
            </m:oMath>
          </w:p>
        </w:tc>
      </w:tr>
      <w:tr>
        <w:trPr>
          <w:cantSplit/>
        </w:trP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rPr>
          <w:cantSplit/>
        </w:trPr>
        <w:tc>
          <w:tcPr>
            <w:tcW w:type="dxa" w:w="2892"/>
          </w:tcPr>
          <w:p>
            <w:pPr>
              <w:pStyle w:val="Compact"/>
              <w:jc w:val="left"/>
            </w:pPr>
            <m:oMath>
              <m:r>
                <m:t>L</m:t>
              </m:r>
            </m:oMath>
          </w:p>
        </w:tc>
        <w:tc>
          <w:tcPr>
            <w:tcW w:type="dxa" w:w="6177"/>
          </w:tcPr>
          <w:p>
            <w:pPr>
              <w:pStyle w:val="Compact"/>
              <w:jc w:val="left"/>
            </w:pPr>
            <w:r>
              <w:t xml:space="preserve">length of the span containing the sensor, including the span of the laboratory beam (m)</w:t>
            </w:r>
          </w:p>
        </w:tc>
      </w:tr>
      <w:tr>
        <w:trPr>
          <w:cantSplit/>
        </w:trP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rPr>
          <w:cantSplit/>
        </w:trPr>
        <w:tc>
          <w:tcPr>
            <w:tcW w:type="dxa" w:w="2892"/>
          </w:tcPr>
          <w:p>
            <w:pPr>
              <w:pStyle w:val="Compact"/>
              <w:jc w:val="left"/>
            </w:pPr>
            <m:oMath>
              <m:sSub>
                <m:e>
                  <m:r>
                    <m:t>L</m:t>
                  </m:r>
                </m:e>
                <m:sub>
                  <m:r>
                    <m:rPr>
                      <m:sty m:val="p"/>
                    </m:rPr>
                    <m:t>tot</m:t>
                  </m:r>
                </m:sub>
              </m:sSub>
            </m:oMath>
          </w:p>
        </w:tc>
        <w:tc>
          <w:tcPr>
            <w:tcW w:type="dxa" w:w="6177"/>
          </w:tcPr>
          <w:p>
            <w:pPr>
              <w:pStyle w:val="Compact"/>
              <w:jc w:val="left"/>
            </w:pPr>
            <w:r>
              <w:t xml:space="preserve">length of the integration record (m)</w:t>
            </w:r>
          </w:p>
        </w:tc>
      </w:tr>
      <w:tr>
        <w:trPr>
          <w:cantSplit/>
        </w:trP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(8) and (7)</w:t>
            </w:r>
          </w:p>
        </w:tc>
      </w:tr>
      <w:tr>
        <w:trPr>
          <w:cantSplit/>
        </w:trP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rPr>
          <w:cantSplit/>
        </w:trPr>
        <w:tc>
          <w:tcPr>
            <w:tcW w:type="dxa" w:w="2892"/>
          </w:tcPr>
          <w:p>
            <w:pPr>
              <w:pStyle w:val="Compact"/>
              <w:jc w:val="left"/>
            </w:pPr>
            <m:oMath>
              <m:sSub>
                <m:e>
                  <m:r>
                    <m:t>P</m:t>
                  </m:r>
                </m:e>
                <m:sub>
                  <m:r>
                    <m:rPr>
                      <m:sty m:val="p"/>
                    </m:rPr>
                    <m:t>tot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rPr>
          <w:cantSplit/>
        </w:trP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rPr>
          <w:cantSplit/>
        </w:trP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tot</m:t>
                  </m:r>
                </m:sub>
              </m:sSub>
              <m:r>
                <m:rPr>
                  <m:sty m:val="p"/>
                </m:rPr>
                <m:t>/</m:t>
              </m:r>
              <m:r>
                <m:t>C</m:t>
              </m:r>
            </m:oMath>
            <w:r>
              <w:t xml:space="preserve"> </w:t>
            </w:r>
            <w:r>
              <w:t xml:space="preserve">(kN)</w:t>
            </w:r>
          </w:p>
        </w:tc>
      </w:tr>
      <w:tr>
        <w:trPr>
          <w:cantSplit/>
        </w:trP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nor/>
                    </m:rPr>
                    <m:t>+</m:t>
                  </m:r>
                </m:sup>
              </m:sSup>
            </m:oMath>
          </w:p>
        </w:tc>
      </w:tr>
      <w:tr>
        <w:trPr>
          <w:cantSplit/>
        </w:trP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rPr>
          <w:cantSplit/>
        </w:trPr>
        <w:tc>
          <w:tcPr>
            <w:tcW w:type="dxa" w:w="2892"/>
          </w:tcPr>
          <w:p>
            <w:pPr>
              <w:pStyle w:val="Compact"/>
              <w:jc w:val="left"/>
            </w:pPr>
            <m:oMath>
              <m:sSub>
                <m:e>
                  <m:r>
                    <m:t>t</m:t>
                  </m:r>
                </m:e>
                <m:sub>
                  <m:r>
                    <m:rPr>
                      <m:sty m:val="p"/>
                    </m:rPr>
                    <m:t>cr</m:t>
                  </m:r>
                </m:sub>
              </m:sSub>
            </m:oMath>
          </w:p>
        </w:tc>
        <w:tc>
          <w:tcPr>
            <w:tcW w:type="dxa" w:w="6177"/>
          </w:tcPr>
          <w:p>
            <w:pPr>
              <w:pStyle w:val="Compact"/>
              <w:jc w:val="left"/>
            </w:pPr>
            <w:r>
              <w:t xml:space="preserve">duration of a crossing (s)</w:t>
            </w:r>
          </w:p>
        </w:tc>
      </w:tr>
      <w:tr>
        <w:trPr>
          <w:cantSplit/>
        </w:trP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rPr>
          <w:cantSplit/>
        </w:trP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main</m:t>
                  </m:r>
                </m:sub>
              </m:sSub>
              <m:r>
                <m:rPr>
                  <m:sty m:val="p"/>
                </m:rPr>
                <m:t>/</m:t>
              </m:r>
              <m:sSub>
                <m:e>
                  <m:r>
                    <m:t>L</m:t>
                  </m:r>
                </m:e>
                <m:sub>
                  <m:r>
                    <m:rPr>
                      <m:sty m:val="p"/>
                    </m:rPr>
                    <m:t>side</m:t>
                  </m:r>
                </m:sub>
              </m:sSub>
            </m:oMath>
            <w:r>
              <w:t xml:space="preserve"> </w:t>
            </w:r>
            <w:r>
              <w:t xml:space="preserve">(three spans)</w:t>
            </w:r>
          </w:p>
        </w:tc>
      </w:tr>
      <w:tr>
        <w:trPr>
          <w:cantSplit/>
        </w:trP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(three spans)</w:t>
            </w:r>
          </w:p>
        </w:tc>
      </w:tr>
      <w:tr>
        <w:trPr>
          <w:cantSplit/>
        </w:trP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rPr>
          <w:cantSplit/>
        </w:trP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rPr>
          <w:cantSplit/>
        </w:trP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rPr>
          <w:cantSplit/>
        </w:trP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rPr>
          <w:cantSplit/>
        </w:trP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rPr>
                    <m:t>side</m:t>
                  </m:r>
                </m:sub>
              </m:sSub>
            </m:oMath>
            <w:r>
              <w:t xml:space="preserve"> </w:t>
            </w:r>
            <w:r>
              <w:t xml:space="preserve">(three spans); Eqs. (4), (14)</w:t>
            </w:r>
          </w:p>
        </w:tc>
      </w:tr>
      <w:tr>
        <w:trPr>
          <w:cantSplit/>
        </w:trP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rPr>
          <w:cantSplit/>
        </w:trP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rPr>
          <w:cantSplit/>
        </w:trP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rPr>
          <w:cantSplit/>
        </w:trP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rPr>
          <w:cantSplit/>
        </w:trPr>
        <w:tc>
          <w:tcPr>
            <w:tcW w:type="dxa" w:w="2892"/>
          </w:tcPr>
          <w:p>
            <w:pPr>
              <w:pStyle w:val="Compact"/>
              <w:jc w:val="left"/>
            </w:pPr>
            <m:oMath>
              <m:sSub>
                <m:e>
                  <m:r>
                    <m:t>σ</m:t>
                  </m:r>
                </m:e>
                <m:sub>
                  <m:r>
                    <m:t>P</m:t>
                  </m:r>
                  <m:r>
                    <m:rPr>
                      <m:sty m:val="p"/>
                    </m:rPr>
                    <m:t>,</m:t>
                  </m:r>
                  <m:r>
                    <m:rPr>
                      <m:sty m:val="p"/>
                    </m:rPr>
                    <m:t>noise</m:t>
                  </m:r>
                </m:sub>
              </m:sSub>
            </m:oMath>
          </w:p>
        </w:tc>
        <w:tc>
          <w:tcPr>
            <w:tcW w:type="dxa" w:w="6177"/>
          </w:tcPr>
          <w:p>
            <w:pPr>
              <w:pStyle w:val="Compact"/>
              <w:jc w:val="left"/>
            </w:pPr>
            <w:r>
              <w:t xml:space="preserve">standard deviation of the load estimate caused by white noise</w:t>
            </w:r>
          </w:p>
        </w:tc>
      </w:tr>
      <w:tr>
        <w:trPr>
          <w:cantSplit/>
        </w:trP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rPr>
          <w:cantSplit/>
        </w:trP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rPr>
          <w:cantSplit/>
        </w:trPr>
        <w:tc>
          <w:tcPr>
            <w:tcW w:type="dxa" w:w="2892"/>
          </w:tcPr>
          <w:p>
            <w:pPr>
              <w:pStyle w:val="Compact"/>
              <w:jc w:val="left"/>
            </w:pPr>
            <w:r>
              <w:t xml:space="preserve">BPM</w:t>
            </w:r>
          </w:p>
        </w:tc>
        <w:tc>
          <w:tcPr>
            <w:tcW w:type="dxa" w:w="6177"/>
          </w:tcPr>
          <w:p>
            <w:pPr>
              <w:pStyle w:val="Compact"/>
              <w:jc w:val="left"/>
            </w:pPr>
            <w:r>
              <w:t xml:space="preserve">beam-property method: load = record integral / modeled constant</w:t>
            </w:r>
          </w:p>
        </w:tc>
      </w:tr>
      <w:tr>
        <w:trPr>
          <w:cantSplit/>
        </w:trP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rPr>
          <w:cantSplit/>
        </w:trP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rPr>
          <w:cantSplit/>
        </w:trP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rPr>
          <w:cantSplit/>
        </w:trPr>
        <w:tc>
          <w:tcPr>
            <w:tcW w:type="dxa" w:w="2892"/>
          </w:tcPr>
          <w:p>
            <w:pPr>
              <w:pStyle w:val="Compact"/>
              <w:jc w:val="left"/>
            </w:pPr>
            <w:r>
              <w:t xml:space="preserve">FE</w:t>
            </w:r>
          </w:p>
        </w:tc>
        <w:tc>
          <w:tcPr>
            <w:tcW w:type="dxa" w:w="6177"/>
          </w:tcPr>
          <w:p>
            <w:pPr>
              <w:pStyle w:val="Compact"/>
              <w:jc w:val="left"/>
            </w:pPr>
            <w:r>
              <w:t xml:space="preserve">finite element</w:t>
            </w:r>
          </w:p>
        </w:tc>
      </w:tr>
      <w:tr>
        <w:trPr>
          <w:cantSplit/>
        </w:trPr>
        <w:tc>
          <w:tcPr>
            <w:tcW w:type="dxa" w:w="2892"/>
          </w:tcPr>
          <w:p>
            <w:pPr>
              <w:pStyle w:val="Compact"/>
              <w:jc w:val="left"/>
            </w:pPr>
            <w:r>
              <w:t xml:space="preserve">GLS</w:t>
            </w:r>
          </w:p>
        </w:tc>
        <w:tc>
          <w:tcPr>
            <w:tcW w:type="dxa" w:w="6177"/>
          </w:tcPr>
          <w:p>
            <w:pPr>
              <w:pStyle w:val="Compact"/>
              <w:jc w:val="left"/>
            </w:pPr>
            <w:r>
              <w:t xml:space="preserve">generalized least squares</w:t>
            </w:r>
          </w:p>
        </w:tc>
      </w:tr>
      <w:tr>
        <w:trPr>
          <w:cantSplit/>
        </w:trP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rPr>
          <w:cantSplit/>
        </w:trPr>
        <w:tc>
          <w:tcPr>
            <w:tcW w:type="dxa" w:w="2892"/>
          </w:tcPr>
          <w:p>
            <w:pPr>
              <w:pStyle w:val="Compact"/>
              <w:jc w:val="left"/>
            </w:pPr>
            <w:r>
              <w:t xml:space="preserve">GVW</w:t>
            </w:r>
          </w:p>
        </w:tc>
        <w:tc>
          <w:tcPr>
            <w:tcW w:type="dxa" w:w="6177"/>
          </w:tcPr>
          <w:p>
            <w:pPr>
              <w:pStyle w:val="Compact"/>
              <w:jc w:val="left"/>
            </w:pPr>
            <w:r>
              <w:t xml:space="preserve">gross vehicle weight</w:t>
            </w:r>
          </w:p>
        </w:tc>
      </w:tr>
      <w:tr>
        <w:trPr>
          <w:cantSplit/>
        </w:trP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rPr>
          <w:cantSplit/>
        </w:trP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rPr>
          <w:cantSplit/>
        </w:trPr>
        <w:tc>
          <w:tcPr>
            <w:tcW w:type="dxa" w:w="2892"/>
          </w:tcPr>
          <w:p>
            <w:pPr>
              <w:pStyle w:val="Compact"/>
              <w:jc w:val="left"/>
            </w:pPr>
            <w:r>
              <w:t xml:space="preserve">N7, N8</w:t>
            </w:r>
          </w:p>
        </w:tc>
        <w:tc>
          <w:tcPr>
            <w:tcW w:type="dxa" w:w="617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2892"/>
          </w:tcPr>
          <w:p>
            <w:pPr>
              <w:pStyle w:val="Compact"/>
              <w:jc w:val="left"/>
            </w:pPr>
            <w:r>
              <w:t xml:space="preserve">T5–T8</w:t>
            </w:r>
          </w:p>
        </w:tc>
        <w:tc>
          <w:tcPr>
            <w:tcW w:type="dxa" w:w="617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nor/>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(S1)</w:t>
            </w:r>
          </w:p>
        </w:tc>
      </w:tr>
    </w:tbl>
    <w:p>
      <w:pPr>
        <w:pStyle w:val="BodyText"/>
      </w:pPr>
      <w:r>
        <w:t xml:space="preserve">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rPr>
                      <m:t>crit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(S2)</w:t>
            </w:r>
          </w:p>
        </w:tc>
      </w:tr>
    </w:tbl>
    <w:p>
      <w:pPr>
        <w:pStyle w:val="BodyText"/>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in the main span, blind points exist for</w:t>
      </w:r>
      <w:r>
        <w:t xml:space="preserve"> </w:t>
      </w:r>
      <m:oMath>
        <m:r>
          <m:t>0.9647</m:t>
        </m:r>
        <m:r>
          <m:rPr>
            <m:sty m:val="p"/>
          </m:rPr>
          <m:t>≤</m:t>
        </m:r>
        <m:r>
          <m:t>β</m:t>
        </m:r>
        <m:r>
          <m:rPr>
            <m:sty m:val="p"/>
          </m:rPr>
          <m:t>&lt;</m:t>
        </m:r>
        <m:rad>
          <m:radPr>
            <m:degHide m:val="on"/>
          </m:radPr>
          <m:deg/>
          <m:e>
            <m:r>
              <m:t>3</m:t>
            </m:r>
            <m:r>
              <m:rPr>
                <m:sty m:val="p"/>
              </m:rPr>
              <m:t>/</m:t>
            </m:r>
            <m:r>
              <m:t>2</m:t>
            </m:r>
          </m:e>
        </m:rad>
        <m:r>
          <m:rPr>
            <m:sty m:val="p"/>
          </m:rPr>
          <m:t>=</m:t>
        </m:r>
        <m:r>
          <m:t>1.2247</m:t>
        </m:r>
      </m:oMath>
      <w:r>
        <w:t xml:space="preserve">, where</w:t>
      </w:r>
      <w:r>
        <w:t xml:space="preserve"> </w:t>
      </w:r>
      <m:oMath>
        <m:r>
          <m:t>ν</m:t>
        </m:r>
        <m:r>
          <m:rPr>
            <m:sty m:val="p"/>
          </m:rPr>
          <m:t>=</m:t>
        </m:r>
        <m:r>
          <m:t>1</m:t>
        </m:r>
        <m:r>
          <m:rPr>
            <m:sty m:val="p"/>
          </m:rPr>
          <m:t>+</m:t>
        </m:r>
        <m:r>
          <m:t>ζ</m:t>
        </m:r>
        <m:r>
          <m:rPr>
            <m:sty m:val="p"/>
          </m:rPr>
          <m:t>−</m:t>
        </m:r>
        <m:sSup>
          <m:e>
            <m:r>
              <m:t>ζ</m:t>
            </m:r>
          </m:e>
          <m:sup>
            <m:r>
              <m:t>2</m:t>
            </m:r>
          </m:sup>
        </m:sSup>
      </m:oMath>
      <w:r>
        <w:t xml:space="preserve"> </w:t>
      </w:r>
      <w:r>
        <w:t xml:space="preserve">(three equal spans:</w:t>
      </w:r>
      <w:r>
        <w:t xml:space="preserve"> </w:t>
      </w:r>
      <m:oMath>
        <m:r>
          <m:t>ν</m:t>
        </m:r>
        <m:r>
          <m:rPr>
            <m:sty m:val="p"/>
          </m:rPr>
          <m:t>=</m:t>
        </m:r>
        <m:r>
          <m:t>1.2</m:t>
        </m:r>
      </m:oMath>
      <w:r>
        <w:t xml:space="preserve">,</w:t>
      </w:r>
      <w:r>
        <w:t xml:space="preserve"> </w:t>
      </w:r>
      <m:oMath>
        <m:r>
          <m:t>ζ</m:t>
        </m:r>
        <m:r>
          <m:rPr>
            <m:sty m:val="p"/>
          </m:rPr>
          <m:t>=</m:t>
        </m:r>
        <m:r>
          <m:t>0.276</m:t>
        </m:r>
      </m:oMath>
      <w:r>
        <w:t xml:space="preserve">, and</w:t>
      </w:r>
      <w:r>
        <w:t xml:space="preserve"> </w:t>
      </w:r>
      <m:oMath>
        <m:r>
          <m:rPr>
            <m:sty m:val="p"/>
          </m:rPr>
          <m:t>−</m:t>
        </m:r>
        <m:r>
          <m:t>0.08</m:t>
        </m:r>
        <m:r>
          <m:rPr>
            <m:sty m:val="p"/>
          </m:rPr>
          <m:t>≤</m:t>
        </m:r>
        <m:sSub>
          <m:e>
            <m:r>
              <m:t>N</m:t>
            </m:r>
          </m:e>
          <m:sub>
            <m:r>
              <m:t>w</m:t>
            </m:r>
          </m:sub>
        </m:sSub>
        <m:r>
          <m:rPr>
            <m:sty m:val="p"/>
          </m:rPr>
          <m:t>≤</m:t>
        </m:r>
        <m:r>
          <m:t>0.10</m:t>
        </m:r>
      </m:oMath>
      <w:r>
        <w:t xml:space="preserve"> </w:t>
      </w:r>
      <w:r>
        <w:t xml:space="preserve">along the main span). For a sensor at</w:t>
      </w:r>
      <w:r>
        <w:t xml:space="preserve"> </w:t>
      </w:r>
      <m:oMath>
        <m:r>
          <m:t>ζ</m:t>
        </m:r>
        <m:r>
          <m:rPr>
            <m:sty m:val="p"/>
          </m:rPr>
          <m:t>=</m:t>
        </m:r>
        <m:r>
          <m:t>x</m:t>
        </m:r>
        <m:r>
          <m:rPr>
            <m:sty m:val="p"/>
          </m:rPr>
          <m:t>/</m:t>
        </m:r>
        <m:sSub>
          <m:e>
            <m:r>
              <m:t>L</m:t>
            </m:r>
          </m:e>
          <m:sub>
            <m:r>
              <m:rPr>
                <m:sty m:val="p"/>
              </m:rPr>
              <m:t>main</m:t>
            </m:r>
          </m:sub>
        </m:sSub>
      </m:oMath>
      <w:r>
        <w:t xml:space="preserve"> </w:t>
      </w:r>
      <w:r>
        <w:t xml:space="preserve">in the main span,</w:t>
      </w:r>
      <w:r>
        <w:t xml:space="preserve"> </w:t>
      </w:r>
      <m:oMath>
        <m:r>
          <m:t>192</m:t>
        </m:r>
        <m:r>
          <m:t>E</m:t>
        </m:r>
        <m:sSub>
          <m:e>
            <m:r>
              <m:t>I</m:t>
            </m:r>
          </m:e>
          <m:sub>
            <m:r>
              <m:rPr>
                <m:sty m:val="p"/>
              </m:rPr>
              <m:t>main</m:t>
            </m:r>
          </m:sub>
        </m:sSub>
        <m:sSub>
          <m:e>
            <m:r>
              <m:t>C</m:t>
            </m:r>
          </m:e>
          <m:sub>
            <m:r>
              <m:t>m</m:t>
            </m:r>
          </m:sub>
        </m:sSub>
        <m:r>
          <m:rPr>
            <m:sty m:val="p"/>
          </m:rPr>
          <m:t>/</m:t>
        </m:r>
        <m:sSubSup>
          <m:e>
            <m:r>
              <m:t>L</m:t>
            </m:r>
          </m:e>
          <m:sub>
            <m:r>
              <m:rPr>
                <m:sty m:val="p"/>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nor/>
              </m:rPr>
              <m:t>*</m:t>
            </m:r>
          </m:sup>
        </m:sSup>
      </m:oMath>
      <w:r>
        <w:t xml:space="preserve"> </w:t>
      </w:r>
      <w:r>
        <w:t xml:space="preserve">(largest positive indicator; beyond</w:t>
      </w:r>
      <w:r>
        <w:t xml:space="preserve"> </w:t>
      </w:r>
      <m:oMath>
        <m:r>
          <m:t>β</m:t>
        </m:r>
      </m:oMath>
      <w:r>
        <w:t xml:space="preserve"> </w:t>
      </w:r>
      <w:r>
        <w:t xml:space="preserve">= 1.639 the negative indicator near the inner pier is larger in magnitude, −0.435 at</w:t>
      </w:r>
      <w:r>
        <w:t xml:space="preserve"> </w:t>
      </w:r>
      <m:oMath>
        <m:r>
          <m:t>ξ</m:t>
        </m:r>
      </m:oMath>
      <w:r>
        <w:t xml:space="preserve"> </w:t>
      </w:r>
      <w:r>
        <w:t xml:space="preserve">= 0.81 for</w:t>
      </w:r>
      <w:r>
        <w:t xml:space="preserve"> </w:t>
      </w:r>
      <m:oMath>
        <m:r>
          <m:t>β</m:t>
        </m:r>
      </m:oMath>
      <w:r>
        <w:t xml:space="preserve"> </w:t>
      </w:r>
      <w:r>
        <w:t xml:space="preserve">= 1.7) 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pStyle w:val="Compact"/>
              <w:jc w:val="right"/>
            </w:pPr>
            <w:r>
              <w:t xml:space="preserve">Threshold</w:t>
            </w:r>
          </w:p>
        </w:tc>
        <w:tc>
          <w:tcPr>
            <w:tcW w:type="dxa" w:w="2075"/>
            <w:tcBorders>
              <w:top w:val="nil"/>
              <w:left w:val="nil"/>
              <w:bottom w:val="single" w:sz="6" w:space="0" w:color="000000"/>
              <w:right w:val="nil"/>
            </w:tcBorders>
          </w:tcPr>
          <w:p>
            <w:pPr>
              <w:pStyle w:val="Compact"/>
              <w:jc w:val="right"/>
            </w:pPr>
            <w:r>
              <w:t xml:space="preserve">Strain, two equal spans</w:t>
            </w:r>
          </w:p>
        </w:tc>
        <w:tc>
          <w:tcPr>
            <w:tcW w:type="dxa" w:w="2707"/>
            <w:tcBorders>
              <w:top w:val="nil"/>
              <w:left w:val="nil"/>
              <w:bottom w:val="single" w:sz="6" w:space="0" w:color="000000"/>
              <w:right w:val="nil"/>
            </w:tcBorders>
          </w:tcPr>
          <w:p>
            <w:pPr>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pStyle w:val="Compact"/>
              <w:jc w:val="right"/>
            </w:pPr>
            <w:r>
              <w:t xml:space="preserve">Deflection, mid side span, three spans:</w:t>
            </w:r>
            <w:r>
              <w:t xml:space="preserve"> </w:t>
            </w:r>
            <m:oMath>
              <m:r>
                <m:t>β</m:t>
              </m:r>
            </m:oMath>
          </w:p>
        </w:tc>
      </w:tr>
      <w:tr>
        <w:trPr>
          <w:cantSplit/>
        </w:trPr>
        <w:tc>
          <w:tcPr>
            <w:tcW w:type="dxa" w:w="1579"/>
          </w:tcPr>
          <w:p>
            <w:pPr>
              <w:pStyle w:val="Compact"/>
              <w:jc w:val="right"/>
            </w:pPr>
            <w:r>
              <w:t xml:space="preserve">0.1</w:t>
            </w:r>
          </w:p>
        </w:tc>
        <w:tc>
          <w:tcPr>
            <w:tcW w:type="dxa" w:w="2075"/>
          </w:tcPr>
          <w:p>
            <w:pPr>
              <w:pStyle w:val="Compact"/>
              <w:jc w:val="right"/>
            </w:pPr>
            <w:r>
              <w:t xml:space="preserve">0.218–0.285</w:t>
            </w:r>
          </w:p>
        </w:tc>
        <w:tc>
          <w:tcPr>
            <w:tcW w:type="dxa" w:w="2707"/>
          </w:tcPr>
          <w:p>
            <w:pPr>
              <w:pStyle w:val="Compact"/>
              <w:jc w:val="right"/>
            </w:pPr>
            <w:r>
              <w:t xml:space="preserve">1.422–1.492</w:t>
            </w:r>
          </w:p>
        </w:tc>
        <w:tc>
          <w:tcPr>
            <w:tcW w:type="dxa" w:w="2707"/>
          </w:tcPr>
          <w:p>
            <w:pPr>
              <w:pStyle w:val="Compact"/>
              <w:jc w:val="right"/>
            </w:pPr>
            <w:r>
              <w:t xml:space="preserve">1.662–1.738</w:t>
            </w:r>
          </w:p>
        </w:tc>
      </w:tr>
      <w:tr>
        <w:trPr>
          <w:cantSplit/>
        </w:trPr>
        <w:tc>
          <w:tcPr>
            <w:tcW w:type="dxa" w:w="1579"/>
          </w:tcPr>
          <w:p>
            <w:pPr>
              <w:pStyle w:val="Compact"/>
              <w:jc w:val="right"/>
            </w:pPr>
            <w:r>
              <w:t xml:space="preserve">0.2</w:t>
            </w:r>
          </w:p>
        </w:tc>
        <w:tc>
          <w:tcPr>
            <w:tcW w:type="dxa" w:w="2075"/>
          </w:tcPr>
          <w:p>
            <w:pPr>
              <w:pStyle w:val="Compact"/>
              <w:jc w:val="right"/>
            </w:pPr>
            <w:r>
              <w:t xml:space="preserve">0.188–0.324</w:t>
            </w:r>
          </w:p>
        </w:tc>
        <w:tc>
          <w:tcPr>
            <w:tcW w:type="dxa" w:w="2707"/>
          </w:tcPr>
          <w:p>
            <w:pPr>
              <w:pStyle w:val="Compact"/>
              <w:jc w:val="right"/>
            </w:pPr>
            <w:r>
              <w:t xml:space="preserve">1.385–1.525</w:t>
            </w:r>
          </w:p>
        </w:tc>
        <w:tc>
          <w:tcPr>
            <w:tcW w:type="dxa" w:w="2707"/>
          </w:tcPr>
          <w:p>
            <w:pPr>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In Eqs. (11) and (12) the offsets are random, with zero mean and standard deviation</w:t>
      </w:r>
      <w:r>
        <w:t xml:space="preserve"> </w:t>
      </w:r>
      <m:oMath>
        <m:sSub>
          <m:e>
            <m:r>
              <m:t>δ</m:t>
            </m:r>
          </m:e>
          <m:sub>
            <m:r>
              <m:t>0</m:t>
            </m:r>
          </m:sub>
        </m:sSub>
      </m:oMath>
      <w:r>
        <w:t xml:space="preserve">; Eq. (10) gives the bias of one realization. 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rPr>
              <m:t>side</m:t>
            </m:r>
          </m:sub>
        </m:sSub>
        <m:r>
          <m:rPr>
            <m:sty m:val="p"/>
          </m:rPr>
          <m:t>/</m:t>
        </m:r>
        <m:r>
          <m:t>E</m:t>
        </m:r>
        <m:sSub>
          <m:e>
            <m:r>
              <m:t>I</m:t>
            </m:r>
          </m:e>
          <m:sub>
            <m:r>
              <m:rPr>
                <m:sty m:val="p"/>
              </m:rPr>
              <m:t>side</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pattern</w:t>
      </w:r>
      <w:r>
        <w:t xml:space="preserve"> </w:t>
      </w:r>
      <m:oMath>
        <m:sSub>
          <m:e>
            <m:r>
              <m:t>θ</m:t>
            </m:r>
          </m:e>
          <m:sub>
            <m:r>
              <m:t>6</m:t>
            </m:r>
          </m:sub>
        </m:sSub>
        <m:r>
          <m:rPr>
            <m:sty m:val="p"/>
          </m:rPr>
          <m:t>=</m:t>
        </m:r>
        <m:sSub>
          <m:e>
            <m:r>
              <m:t>θ</m:t>
            </m:r>
          </m:e>
          <m:sub>
            <m:r>
              <m:t>7</m:t>
            </m:r>
          </m:sub>
        </m:sSub>
      </m:oMath>
      <w:r>
        <w:t xml:space="preserve">,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m:oMath>
              <m:sSup>
                <m:e>
                  <m:r>
                    <m:t>χ</m:t>
                  </m:r>
                </m:e>
                <m:sup>
                  <m:r>
                    <m:t>2</m:t>
                  </m:r>
                </m:sup>
              </m:sSup>
            </m:oMath>
            <w:r>
              <w:t xml:space="preserve"> </w:t>
            </w:r>
            <m:oMath>
              <m:r>
                <m:t>p</m:t>
              </m:r>
            </m:oMath>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0.42</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0.30</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nor/>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nor/>
              </m:rPr>
              <m:t>*</m:t>
            </m:r>
          </m:sup>
        </m:sSup>
        <m:d>
          <m:dPr>
            <m:begChr m:val="("/>
            <m:endChr m:val=")"/>
            <m:sep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 </w:t>
      </w:r>
      <w:r>
        <w:t xml:space="preserve">(5.3 % in the text).</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S13.</w:t>
      </w:r>
      <w:r>
        <w:t xml:space="preserve"> </w:t>
      </w:r>
      <w:r>
        <w:t xml:space="preserve">Admissible set of the Mây Bridge model (base model,</w:t>
      </w:r>
      <w:r>
        <w:t xml:space="preserve"> </w:t>
      </w:r>
      <m:oMath>
        <m:sSub>
          <m:e>
            <m:r>
              <m:t>L</m:t>
            </m:r>
          </m:e>
          <m:sub>
            <m:r>
              <m:rPr>
                <m:sty m:val="p"/>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pStyle w:val="Compact"/>
              <w:jc w:val="left"/>
            </w:pPr>
            <w:r>
              <w:t xml:space="preserve">Tolerance, prior</w:t>
            </w:r>
          </w:p>
        </w:tc>
        <w:tc>
          <w:tcPr>
            <w:tcW w:type="dxa" w:w="979"/>
            <w:tcBorders>
              <w:top w:val="nil"/>
              <w:left w:val="nil"/>
              <w:bottom w:val="single" w:sz="6" w:space="0" w:color="000000"/>
              <w:right w:val="nil"/>
            </w:tcBorders>
          </w:tcPr>
          <w:p>
            <w:pPr>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pStyle w:val="Compact"/>
              <w:jc w:val="right"/>
            </w:pPr>
            <m:oMath>
              <m:r>
                <m:t>α</m:t>
              </m:r>
            </m:oMath>
          </w:p>
        </w:tc>
        <w:tc>
          <w:tcPr>
            <w:tcW w:type="dxa" w:w="1030"/>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rPr>
                    <m:t>mid</m:t>
                  </m:r>
                </m:sub>
              </m:sSub>
            </m:oMath>
          </w:p>
        </w:tc>
        <w:tc>
          <w:tcPr>
            <w:tcW w:type="dxa" w:w="1339"/>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rPr>
                    <m:t>mid</m:t>
                  </m:r>
                </m:sub>
              </m:sSub>
            </m:oMath>
          </w:p>
        </w:tc>
        <w:tc>
          <w:tcPr>
            <w:tcW w:type="dxa" w:w="1082"/>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max/min</w:t>
            </w:r>
          </w:p>
        </w:tc>
      </w:tr>
      <w:tr>
        <w:trPr>
          <w:cantSplit/>
        </w:trPr>
        <w:tc>
          <w:tcPr>
            <w:tcW w:type="dxa" w:w="1546"/>
          </w:tcPr>
          <w:p>
            <w:pPr>
              <w:pStyle w:val="Compact"/>
              <w:jc w:val="left"/>
            </w:pPr>
            <m:oMath>
              <m:r>
                <m:t>τ</m:t>
              </m:r>
            </m:oMath>
            <w:r>
              <w:t xml:space="preserve"> </w:t>
            </w:r>
            <w:r>
              <w:t xml:space="preserve">= 3 %</w:t>
            </w:r>
          </w:p>
        </w:tc>
        <w:tc>
          <w:tcPr>
            <w:tcW w:type="dxa" w:w="979"/>
          </w:tcPr>
          <w:p>
            <w:pPr>
              <w:pStyle w:val="Compact"/>
              <w:jc w:val="right"/>
            </w:pPr>
            <w:r>
              <w:t xml:space="preserve">1.0–3.0 × 10⁸</w:t>
            </w:r>
          </w:p>
        </w:tc>
        <w:tc>
          <w:tcPr>
            <w:tcW w:type="dxa" w:w="901"/>
          </w:tcPr>
          <w:p>
            <w:pPr>
              <w:pStyle w:val="Compact"/>
              <w:jc w:val="right"/>
            </w:pPr>
            <w:r>
              <w:t xml:space="preserve">0.64–0.80</w:t>
            </w:r>
          </w:p>
        </w:tc>
        <w:tc>
          <w:tcPr>
            <w:tcW w:type="dxa" w:w="1030"/>
          </w:tcPr>
          <w:p>
            <w:pPr>
              <w:pStyle w:val="Compact"/>
              <w:jc w:val="right"/>
            </w:pPr>
            <w:r>
              <w:t xml:space="preserve">0.30–0.37</w:t>
            </w:r>
          </w:p>
        </w:tc>
        <w:tc>
          <w:tcPr>
            <w:tcW w:type="dxa" w:w="1339"/>
          </w:tcPr>
          <w:p>
            <w:pPr>
              <w:pStyle w:val="Compact"/>
              <w:jc w:val="right"/>
            </w:pPr>
            <w:r>
              <w:t xml:space="preserve">0.38–0.58</w:t>
            </w:r>
          </w:p>
        </w:tc>
        <w:tc>
          <w:tcPr>
            <w:tcW w:type="dxa" w:w="1082"/>
          </w:tcPr>
          <w:p>
            <w:pPr>
              <w:pStyle w:val="Compact"/>
              <w:jc w:val="right"/>
            </w:pPr>
            <w:r>
              <w:t xml:space="preserve">9.1 × 10⁻⁵–1.4 × 10⁻⁴</w:t>
            </w:r>
          </w:p>
        </w:tc>
        <w:tc>
          <w:tcPr>
            <w:tcW w:type="dxa" w:w="730"/>
          </w:tcPr>
          <w:p>
            <w:pPr>
              <w:pStyle w:val="Compact"/>
              <w:jc w:val="right"/>
            </w:pPr>
            <w:r>
              <w:t xml:space="preserve">1.5</w:t>
            </w:r>
          </w:p>
        </w:tc>
        <w:tc>
          <w:tcPr>
            <w:tcW w:type="dxa" w:w="730"/>
          </w:tcPr>
          <w:p>
            <w:pPr>
              <w:pStyle w:val="Compact"/>
              <w:jc w:val="right"/>
            </w:pPr>
            <w:r>
              <w:t xml:space="preserve">3.8–4.3 × 10⁻⁴</w:t>
            </w:r>
          </w:p>
        </w:tc>
        <w:tc>
          <w:tcPr>
            <w:tcW w:type="dxa" w:w="730"/>
          </w:tcPr>
          <w:p>
            <w:pPr>
              <w:pStyle w:val="Compact"/>
              <w:jc w:val="right"/>
            </w:pPr>
            <w:r>
              <w:t xml:space="preserve">1.1</w:t>
            </w:r>
          </w:p>
        </w:tc>
      </w:tr>
      <w:tr>
        <w:trPr>
          <w:cantSplit/>
        </w:trPr>
        <w:tc>
          <w:tcPr>
            <w:tcW w:type="dxa" w:w="1546"/>
          </w:tcPr>
          <w:p>
            <w:pPr>
              <w:pStyle w:val="Compact"/>
              <w:jc w:val="left"/>
            </w:pPr>
            <m:oMath>
              <m:r>
                <m:t>τ</m:t>
              </m:r>
            </m:oMath>
            <w:r>
              <w:t xml:space="preserve"> </w:t>
            </w:r>
            <w:r>
              <w:t xml:space="preserve">= 4 %</w:t>
            </w:r>
          </w:p>
        </w:tc>
        <w:tc>
          <w:tcPr>
            <w:tcW w:type="dxa" w:w="979"/>
          </w:tcPr>
          <w:p>
            <w:pPr>
              <w:pStyle w:val="Compact"/>
              <w:jc w:val="right"/>
            </w:pPr>
            <w:r>
              <w:t xml:space="preserve">4.2 × 10⁷–2.0 × 10⁹</w:t>
            </w:r>
          </w:p>
        </w:tc>
        <w:tc>
          <w:tcPr>
            <w:tcW w:type="dxa" w:w="901"/>
          </w:tcPr>
          <w:p>
            <w:pPr>
              <w:pStyle w:val="Compact"/>
              <w:jc w:val="right"/>
            </w:pPr>
            <w:r>
              <w:t xml:space="preserve">0.54–0.98</w:t>
            </w:r>
          </w:p>
        </w:tc>
        <w:tc>
          <w:tcPr>
            <w:tcW w:type="dxa" w:w="1030"/>
          </w:tcPr>
          <w:p>
            <w:pPr>
              <w:pStyle w:val="Compact"/>
              <w:jc w:val="right"/>
            </w:pPr>
            <w:r>
              <w:t xml:space="preserve">0.22–0.41</w:t>
            </w:r>
          </w:p>
        </w:tc>
        <w:tc>
          <w:tcPr>
            <w:tcW w:type="dxa" w:w="1339"/>
          </w:tcPr>
          <w:p>
            <w:pPr>
              <w:pStyle w:val="Compact"/>
              <w:jc w:val="right"/>
            </w:pPr>
            <w:r>
              <w:t xml:space="preserve">0.23–0.77</w:t>
            </w:r>
          </w:p>
        </w:tc>
        <w:tc>
          <w:tcPr>
            <w:tcW w:type="dxa" w:w="1082"/>
          </w:tcPr>
          <w:p>
            <w:pPr>
              <w:pStyle w:val="Compact"/>
              <w:jc w:val="right"/>
            </w:pPr>
            <w:r>
              <w:t xml:space="preserve">5.5 × 10⁻⁵–1.8 × 10⁻⁴</w:t>
            </w:r>
          </w:p>
        </w:tc>
        <w:tc>
          <w:tcPr>
            <w:tcW w:type="dxa" w:w="730"/>
          </w:tcPr>
          <w:p>
            <w:pPr>
              <w:pStyle w:val="Compact"/>
              <w:jc w:val="right"/>
            </w:pPr>
            <w:r>
              <w:t xml:space="preserve">3.4</w:t>
            </w:r>
          </w:p>
        </w:tc>
        <w:tc>
          <w:tcPr>
            <w:tcW w:type="dxa" w:w="730"/>
          </w:tcPr>
          <w:p>
            <w:pPr>
              <w:pStyle w:val="Compact"/>
              <w:jc w:val="right"/>
            </w:pPr>
            <w:r>
              <w:t xml:space="preserve">3.5–4.8 × 10⁻⁴</w:t>
            </w:r>
          </w:p>
        </w:tc>
        <w:tc>
          <w:tcPr>
            <w:tcW w:type="dxa" w:w="730"/>
          </w:tcPr>
          <w:p>
            <w:pPr>
              <w:pStyle w:val="Compact"/>
              <w:jc w:val="right"/>
            </w:pPr>
            <w:r>
              <w:t xml:space="preserve">1.4</w:t>
            </w:r>
          </w:p>
        </w:tc>
      </w:tr>
      <w:tr>
        <w:trPr>
          <w:cantSplit/>
        </w:trPr>
        <w:tc>
          <w:tcPr>
            <w:tcW w:type="dxa" w:w="1546"/>
          </w:tcPr>
          <w:p>
            <w:pPr>
              <w:pStyle w:val="Compact"/>
              <w:jc w:val="left"/>
            </w:pPr>
            <m:oMath>
              <m:r>
                <m:t>τ</m:t>
              </m:r>
            </m:oMath>
            <w:r>
              <w:t xml:space="preserve"> </w:t>
            </w:r>
            <w:r>
              <w:t xml:space="preserve">= 5.3 %</w:t>
            </w:r>
          </w:p>
        </w:tc>
        <w:tc>
          <w:tcPr>
            <w:tcW w:type="dxa" w:w="979"/>
          </w:tcPr>
          <w:p>
            <w:pPr>
              <w:pStyle w:val="Compact"/>
              <w:jc w:val="right"/>
            </w:pPr>
            <w:r>
              <w:t xml:space="preserve">≥ 1.8 × 10⁷</w:t>
            </w:r>
          </w:p>
        </w:tc>
        <w:tc>
          <w:tcPr>
            <w:tcW w:type="dxa" w:w="901"/>
          </w:tcPr>
          <w:p>
            <w:pPr>
              <w:pStyle w:val="Compact"/>
              <w:jc w:val="right"/>
            </w:pPr>
            <w:r>
              <w:t xml:space="preserve">0.51–1.15</w:t>
            </w:r>
          </w:p>
        </w:tc>
        <w:tc>
          <w:tcPr>
            <w:tcW w:type="dxa" w:w="1030"/>
          </w:tcPr>
          <w:p>
            <w:pPr>
              <w:pStyle w:val="Compact"/>
              <w:jc w:val="right"/>
            </w:pPr>
            <w:r>
              <w:t xml:space="preserve">0.14–0.42</w:t>
            </w:r>
          </w:p>
        </w:tc>
        <w:tc>
          <w:tcPr>
            <w:tcW w:type="dxa" w:w="1339"/>
          </w:tcPr>
          <w:p>
            <w:pPr>
              <w:pStyle w:val="Compact"/>
              <w:jc w:val="right"/>
            </w:pPr>
            <w:r>
              <w:t xml:space="preserve">0.12–0.82</w:t>
            </w:r>
          </w:p>
        </w:tc>
        <w:tc>
          <w:tcPr>
            <w:tcW w:type="dxa" w:w="1082"/>
          </w:tcPr>
          <w:p>
            <w:pPr>
              <w:pStyle w:val="Compact"/>
              <w:jc w:val="right"/>
            </w:pPr>
            <w:r>
              <w:t xml:space="preserve">3.0 × 10⁻⁵–2.0 × 10⁻⁴</w:t>
            </w:r>
          </w:p>
        </w:tc>
        <w:tc>
          <w:tcPr>
            <w:tcW w:type="dxa" w:w="730"/>
          </w:tcPr>
          <w:p>
            <w:pPr>
              <w:pStyle w:val="Compact"/>
              <w:jc w:val="right"/>
            </w:pPr>
            <w:r>
              <w:t xml:space="preserve">6.6</w:t>
            </w:r>
          </w:p>
        </w:tc>
        <w:tc>
          <w:tcPr>
            <w:tcW w:type="dxa" w:w="730"/>
          </w:tcPr>
          <w:p>
            <w:pPr>
              <w:pStyle w:val="Compact"/>
              <w:jc w:val="right"/>
            </w:pPr>
            <w:r>
              <w:t xml:space="preserve">3.3–4.9 × 10⁻⁴</w:t>
            </w:r>
          </w:p>
        </w:tc>
        <w:tc>
          <w:tcPr>
            <w:tcW w:type="dxa" w:w="730"/>
          </w:tcPr>
          <w:p>
            <w:pPr>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rows are the base model (</w:t>
      </w:r>
      <m:oMath>
        <m:sSub>
          <m:e>
            <m:r>
              <m:t>L</m:t>
            </m:r>
          </m:e>
          <m:sub>
            <m:r>
              <m:rPr>
                <m:sty m:val="p"/>
              </m:rPr>
              <m:t>v</m:t>
            </m:r>
          </m:sub>
        </m:sSub>
      </m:oMath>
      <w:r>
        <w:t xml:space="preserve"> </w:t>
      </w:r>
      <w:r>
        <w:t xml:space="preserve">= 44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0.030</w:t>
            </w:r>
          </w:p>
        </w:tc>
        <w:tc>
          <w:tcPr>
            <w:tcW w:type="dxa" w:w="1330"/>
          </w:tcPr>
          <w:p>
            <w:pPr>
              <w:pStyle w:val="Compact"/>
              <w:jc w:val="right"/>
            </w:pPr>
            <w:r>
              <w:t xml:space="preserve">−0.052</w:t>
            </w:r>
          </w:p>
        </w:tc>
        <w:tc>
          <w:tcPr>
            <w:tcW w:type="dxa" w:w="1204"/>
          </w:tcPr>
          <w:p>
            <w:pPr>
              <w:pStyle w:val="Compact"/>
              <w:jc w:val="right"/>
            </w:pPr>
            <w:r>
              <w:t xml:space="preserve">0.248</w:t>
            </w:r>
          </w:p>
        </w:tc>
        <w:tc>
          <w:tcPr>
            <w:tcW w:type="dxa" w:w="1012"/>
          </w:tcPr>
          <w:p>
            <w:pPr>
              <w:pStyle w:val="Compact"/>
              <w:jc w:val="right"/>
            </w:pPr>
            <w:r>
              <w:t xml:space="preserve">0.02</w:t>
            </w:r>
          </w:p>
        </w:tc>
        <w:tc>
          <w:tcPr>
            <w:tcW w:type="dxa" w:w="1272"/>
          </w:tcPr>
          <w:p>
            <w:pPr>
              <w:pStyle w:val="Compact"/>
              <w:jc w:val="right"/>
            </w:pPr>
            <w:r>
              <w:t xml:space="preserve">−0.04</w:t>
            </w:r>
          </w:p>
        </w:tc>
        <w:tc>
          <w:tcPr>
            <w:tcW w:type="dxa" w:w="1012"/>
          </w:tcPr>
          <w:p>
            <w:pPr>
              <w:pStyle w:val="Compact"/>
              <w:jc w:val="right"/>
            </w:pPr>
            <w:r>
              <w:t xml:space="preserve">0.51</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0.422</w:t>
            </w:r>
          </w:p>
        </w:tc>
        <w:tc>
          <w:tcPr>
            <w:tcW w:type="dxa" w:w="1330"/>
          </w:tcPr>
          <w:p>
            <w:pPr>
              <w:pStyle w:val="Compact"/>
              <w:jc w:val="right"/>
            </w:pPr>
            <w:r>
              <w:t xml:space="preserve">0.354</w:t>
            </w:r>
          </w:p>
        </w:tc>
        <w:tc>
          <w:tcPr>
            <w:tcW w:type="dxa" w:w="1204"/>
          </w:tcPr>
          <w:p>
            <w:pPr>
              <w:pStyle w:val="Compact"/>
              <w:jc w:val="right"/>
            </w:pPr>
            <w:r>
              <w:t xml:space="preserve">0.147</w:t>
            </w:r>
          </w:p>
        </w:tc>
        <w:tc>
          <w:tcPr>
            <w:tcW w:type="dxa" w:w="1012"/>
          </w:tcPr>
          <w:p>
            <w:pPr>
              <w:pStyle w:val="Compact"/>
              <w:jc w:val="right"/>
            </w:pPr>
            <w:r>
              <w:t xml:space="preserve">1.00</w:t>
            </w:r>
          </w:p>
        </w:tc>
        <w:tc>
          <w:tcPr>
            <w:tcW w:type="dxa" w:w="1272"/>
          </w:tcPr>
          <w:p>
            <w:pPr>
              <w:pStyle w:val="Compact"/>
              <w:jc w:val="right"/>
            </w:pPr>
            <w:r>
              <w:t xml:space="preserve">1.00</w:t>
            </w:r>
          </w:p>
        </w:tc>
        <w:tc>
          <w:tcPr>
            <w:tcW w:type="dxa" w:w="1012"/>
          </w:tcPr>
          <w:p>
            <w:pPr>
              <w:pStyle w:val="Compact"/>
              <w:jc w:val="right"/>
            </w:pPr>
            <w:r>
              <w:t xml:space="preserve">1.00</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pStyle w:val="Compact"/>
              <w:jc w:val="left"/>
            </w:pPr>
            <w:r>
              <w:t xml:space="preserve">Scheme</w:t>
            </w:r>
          </w:p>
        </w:tc>
        <w:tc>
          <w:tcPr>
            <w:tcW w:type="dxa" w:w="3318"/>
            <w:tcBorders>
              <w:top w:val="nil"/>
              <w:left w:val="nil"/>
              <w:bottom w:val="single" w:sz="6" w:space="0" w:color="000000"/>
              <w:right w:val="nil"/>
            </w:tcBorders>
          </w:tcPr>
          <w:p>
            <w:pPr>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pStyle w:val="Compact"/>
              <w:jc w:val="left"/>
            </w:pPr>
            <w:r>
              <w:t xml:space="preserve">Distance from T8 (m)</w:t>
            </w:r>
          </w:p>
        </w:tc>
      </w:tr>
      <w:tr>
        <w:trPr>
          <w:cantSplit/>
        </w:trPr>
        <w:tc>
          <w:tcPr>
            <w:tcW w:type="dxa" w:w="2433"/>
          </w:tcPr>
          <w:p>
            <w:pPr>
              <w:pStyle w:val="Compact"/>
              <w:jc w:val="left"/>
            </w:pPr>
            <w:r>
              <w:t xml:space="preserve">N8, side span (2 rows)</w:t>
            </w:r>
          </w:p>
        </w:tc>
        <w:tc>
          <w:tcPr>
            <w:tcW w:type="dxa" w:w="3318"/>
          </w:tcPr>
          <w:p>
            <w:pPr>
              <w:pStyle w:val="Compact"/>
              <w:jc w:val="left"/>
            </w:pPr>
            <w:r>
              <w:t xml:space="preserve">163.45 (10), 167.05 (20), 168.40 (20); 174.40 (10), 178.00 (20), 179.35 (20)</w:t>
            </w:r>
          </w:p>
        </w:tc>
        <w:tc>
          <w:tcPr>
            <w:tcW w:type="dxa" w:w="3318"/>
          </w:tcPr>
          <w:p>
            <w:pPr>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3.3–4.9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82–542 %</w:t>
            </w:r>
          </w:p>
        </w:tc>
        <w:tc>
          <w:tcPr>
            <w:tcW w:type="dxa" w:w="1361"/>
          </w:tcPr>
          <w:p>
            <w:pPr>
              <w:pStyle w:val="Compact"/>
              <w:jc w:val="right"/>
            </w:pPr>
            <w:r>
              <w:t xml:space="preserve">206–1356 %</w:t>
            </w:r>
          </w:p>
        </w:tc>
      </w:tr>
    </w:tbl>
    <w:p>
      <w:pPr>
        <w:pStyle w:val="BodyText"/>
        <w:keepNext/>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pStyle w:val="Compact"/>
              <w:jc w:val="left"/>
            </w:pPr>
            <w:r>
              <w:t xml:space="preserve">Term</w:t>
            </w:r>
          </w:p>
        </w:tc>
        <w:tc>
          <w:tcPr>
            <w:tcW w:type="dxa" w:w="2124"/>
            <w:tcBorders>
              <w:top w:val="nil"/>
              <w:left w:val="nil"/>
              <w:bottom w:val="single" w:sz="6" w:space="0" w:color="000000"/>
              <w:right w:val="nil"/>
            </w:tcBorders>
          </w:tcPr>
          <w:p>
            <w:pPr>
              <w:pStyle w:val="Compact"/>
              <w:jc w:val="left"/>
            </w:pPr>
            <w:r>
              <w:t xml:space="preserve">Sensitivity</w:t>
            </w:r>
          </w:p>
        </w:tc>
        <w:tc>
          <w:tcPr>
            <w:tcW w:type="dxa" w:w="2451"/>
            <w:tcBorders>
              <w:top w:val="nil"/>
              <w:left w:val="nil"/>
              <w:bottom w:val="single" w:sz="6" w:space="0" w:color="000000"/>
              <w:right w:val="nil"/>
            </w:tcBorders>
          </w:tcPr>
          <w:p>
            <w:pPr>
              <w:pStyle w:val="Compact"/>
              <w:jc w:val="left"/>
            </w:pPr>
            <w:r>
              <w:t xml:space="preserve">Cancels in SLM?</w:t>
            </w:r>
          </w:p>
        </w:tc>
        <w:tc>
          <w:tcPr>
            <w:tcW w:type="dxa" w:w="2451"/>
            <w:tcBorders>
              <w:top w:val="nil"/>
              <w:left w:val="nil"/>
              <w:bottom w:val="single" w:sz="6" w:space="0" w:color="000000"/>
              <w:right w:val="nil"/>
            </w:tcBorders>
          </w:tcPr>
          <w:p>
            <w:pPr>
              <w:pStyle w:val="Compact"/>
              <w:jc w:val="left"/>
            </w:pPr>
            <w:r>
              <w:t xml:space="preserve">Value in this study</w:t>
            </w:r>
          </w:p>
        </w:tc>
      </w:tr>
      <w:tr>
        <w:trPr>
          <w:cantSplit/>
        </w:trPr>
        <w:tc>
          <w:tcPr>
            <w:tcW w:type="dxa" w:w="2042"/>
          </w:tcPr>
          <w:p>
            <w:pPr>
              <w:pStyle w:val="Compact"/>
              <w:jc w:val="left"/>
            </w:pPr>
            <w:r>
              <w:t xml:space="preserve">Flexural rigidity</w:t>
            </w:r>
            <w:r>
              <w:t xml:space="preserve"> </w:t>
            </w:r>
            <m:oMath>
              <m:r>
                <m:t>E</m:t>
              </m:r>
              <m:r>
                <m:t>I</m:t>
              </m:r>
            </m:oMath>
          </w:p>
        </w:tc>
        <w:tc>
          <w:tcPr>
            <w:tcW w:type="dxa" w:w="2124"/>
          </w:tcPr>
          <w:p>
            <w:pPr>
              <w:pStyle w:val="Compact"/>
              <w:jc w:val="left"/>
            </w:pPr>
            <w:r>
              <w:t xml:space="preserve">1</w:t>
            </w:r>
          </w:p>
        </w:tc>
        <w:tc>
          <w:tcPr>
            <w:tcW w:type="dxa" w:w="2451"/>
          </w:tcPr>
          <w:p>
            <w:pPr>
              <w:pStyle w:val="Compact"/>
              <w:jc w:val="left"/>
            </w:pPr>
            <w:r>
              <w:t xml:space="preserve">yes</w:t>
            </w:r>
          </w:p>
        </w:tc>
        <w:tc>
          <w:tcPr>
            <w:tcW w:type="dxa" w:w="2451"/>
          </w:tcPr>
          <w:p>
            <w:pPr>
              <w:pStyle w:val="Compact"/>
              <w:jc w:val="left"/>
            </w:pPr>
            <w:r>
              <w:t xml:space="preserve">BPM only; Mây Bridge N8 constant varies 6.6-fold over the admissible set</w:t>
            </w:r>
          </w:p>
        </w:tc>
      </w:tr>
      <w:tr>
        <w:trPr>
          <w:cantSplit/>
        </w:trPr>
        <w:tc>
          <w:tcPr>
            <w:tcW w:type="dxa" w:w="2042"/>
          </w:tcPr>
          <w:p>
            <w:pPr>
              <w:pStyle w:val="Compact"/>
              <w:jc w:val="left"/>
            </w:pPr>
            <w:r>
              <w:t xml:space="preserve">Span length</w:t>
            </w:r>
          </w:p>
        </w:tc>
        <w:tc>
          <w:tcPr>
            <w:tcW w:type="dxa" w:w="2124"/>
          </w:tcPr>
          <w:p>
            <w:pPr>
              <w:pStyle w:val="Compact"/>
              <w:jc w:val="left"/>
            </w:pPr>
            <w:r>
              <w:t xml:space="preserve">4 (deflection), 2 (strain)</w:t>
            </w:r>
          </w:p>
        </w:tc>
        <w:tc>
          <w:tcPr>
            <w:tcW w:type="dxa" w:w="2451"/>
          </w:tcPr>
          <w:p>
            <w:pPr>
              <w:pStyle w:val="Compact"/>
              <w:jc w:val="left"/>
            </w:pPr>
            <w:r>
              <w:t xml:space="preserve">yes</w:t>
            </w:r>
          </w:p>
        </w:tc>
        <w:tc>
          <w:tcPr>
            <w:tcW w:type="dxa" w:w="2451"/>
          </w:tcPr>
          <w:p>
            <w:pPr>
              <w:pStyle w:val="Compact"/>
              <w:jc w:val="left"/>
            </w:pPr>
            <w:r>
              <w:t xml:space="preserve">BPM only</w:t>
            </w:r>
          </w:p>
        </w:tc>
      </w:tr>
      <w:tr>
        <w:trPr>
          <w:cantSplit/>
        </w:trPr>
        <w:tc>
          <w:tcPr>
            <w:tcW w:type="dxa" w:w="2042"/>
          </w:tcPr>
          <w:p>
            <w:pPr>
              <w:pStyle w:val="Compact"/>
              <w:jc w:val="left"/>
            </w:pPr>
            <w:r>
              <w:t xml:space="preserve">Gain</w:t>
            </w:r>
          </w:p>
        </w:tc>
        <w:tc>
          <w:tcPr>
            <w:tcW w:type="dxa" w:w="2124"/>
          </w:tcPr>
          <w:p>
            <w:pPr>
              <w:pStyle w:val="Compact"/>
              <w:jc w:val="left"/>
            </w:pPr>
            <w:r>
              <w:t xml:space="preserve">1</w:t>
            </w:r>
          </w:p>
        </w:tc>
        <w:tc>
          <w:tcPr>
            <w:tcW w:type="dxa" w:w="2451"/>
          </w:tcPr>
          <w:p>
            <w:pPr>
              <w:pStyle w:val="Compact"/>
              <w:jc w:val="left"/>
            </w:pPr>
            <w:r>
              <w:t xml:space="preserve">if not recalibrated between crossings</w:t>
            </w:r>
          </w:p>
        </w:tc>
        <w:tc>
          <w:tcPr>
            <w:tcW w:type="dxa" w:w="2451"/>
          </w:tcPr>
          <w:p>
            <w:pPr>
              <w:pStyle w:val="Compact"/>
              <w:jc w:val="left"/>
            </w:pPr>
            <w:r>
              <w:t xml:space="preserve">not evaluated</w:t>
            </w:r>
          </w:p>
        </w:tc>
      </w:tr>
      <w:tr>
        <w:trPr>
          <w:cantSplit/>
        </w:trPr>
        <w:tc>
          <w:tcPr>
            <w:tcW w:type="dxa" w:w="2042"/>
          </w:tcPr>
          <w:p>
            <w:pPr>
              <w:pStyle w:val="Compact"/>
              <w:jc w:val="left"/>
            </w:pPr>
            <w:r>
              <w:t xml:space="preserve">Reference weighing</w:t>
            </w:r>
            <w:r>
              <w:t xml:space="preserve"> </w:t>
            </w:r>
            <m:oMath>
              <m:sSub>
                <m:e>
                  <m:r>
                    <m:t>P</m:t>
                  </m:r>
                </m:e>
                <m:sub>
                  <m:r>
                    <m:t>0</m:t>
                  </m:r>
                </m:sub>
              </m:sSub>
            </m:oMath>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International Organization of Legal Metrology (OIML) class M1 weights; field: day-1 weights driver-reported</w:t>
            </w:r>
          </w:p>
        </w:tc>
      </w:tr>
      <w:tr>
        <w:trPr>
          <w:cantSplit/>
        </w:trPr>
        <w:tc>
          <w:tcPr>
            <w:tcW w:type="dxa" w:w="2042"/>
          </w:tcPr>
          <w:p>
            <w:pPr>
              <w:pStyle w:val="Compact"/>
              <w:jc w:val="left"/>
            </w:pPr>
            <w:r>
              <w:t xml:space="preserve">Residual offset, drift</w:t>
            </w:r>
            <w:r>
              <w:t xml:space="preserve"> </w:t>
            </w:r>
            <m:oMath>
              <m:sSub>
                <m:e>
                  <m:r>
                    <m:t>δ</m:t>
                  </m:r>
                </m:e>
                <m:sub>
                  <m:r>
                    <m:t>0</m:t>
                  </m:r>
                </m:sub>
              </m:sSub>
            </m:oMath>
          </w:p>
        </w:tc>
        <w:tc>
          <w:tcPr>
            <w:tcW w:type="dxa" w:w="2124"/>
          </w:tcPr>
          <w:p>
            <w:pPr>
              <w:pStyle w:val="Compact"/>
              <w:jc w:val="left"/>
            </w:pPr>
            <m:oMath>
              <m:sSub>
                <m:e>
                  <m:r>
                    <m:t>L</m:t>
                  </m:r>
                </m:e>
                <m:sub>
                  <m:r>
                    <m:rPr>
                      <m:sty m:val="p"/>
                    </m:rPr>
                    <m:t>tot</m:t>
                  </m:r>
                </m:sub>
              </m:sSub>
              <m:r>
                <m:rPr>
                  <m:sty m:val="p"/>
                </m:rPr>
                <m:t>/</m:t>
              </m:r>
              <m:r>
                <m:t>J</m:t>
              </m:r>
            </m:oMath>
            <w:r>
              <w:t xml:space="preserve"> </w:t>
            </w:r>
            <w:r>
              <w:t xml:space="preserve">per unit offset</w:t>
            </w:r>
          </w:p>
        </w:tc>
        <w:tc>
          <w:tcPr>
            <w:tcW w:type="dxa" w:w="2451"/>
          </w:tcPr>
          <w:p>
            <w:pPr>
              <w:pStyle w:val="Compact"/>
              <w:jc w:val="left"/>
            </w:pPr>
            <w:r>
              <w:t xml:space="preserve">only if common-mode during crossings</w:t>
            </w:r>
          </w:p>
        </w:tc>
        <w:tc>
          <w:tcPr>
            <w:tcW w:type="dxa" w:w="2451"/>
          </w:tcPr>
          <w:p>
            <w:pPr>
              <w:pStyle w:val="Compact"/>
              <w:jc w:val="left"/>
            </w:pPr>
            <w:r>
              <w:t xml:space="preserve">Table S17; field per-crossing SD of the gauge average predicted 19.8 % (day 2), 5.3 % (day 1)</w:t>
            </w:r>
          </w:p>
        </w:tc>
      </w:tr>
      <w:tr>
        <w:trPr>
          <w:cantSplit/>
        </w:trPr>
        <w:tc>
          <w:tcPr>
            <w:tcW w:type="dxa" w:w="2042"/>
          </w:tcPr>
          <w:p>
            <w:pPr>
              <w:pStyle w:val="Compact"/>
              <w:jc w:val="left"/>
            </w:pPr>
            <w:r>
              <w:t xml:space="preserve">Speed effect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day 2: +6 % per 10 m/s (95 % CI −23 to +35 %), not resolved</w:t>
            </w:r>
          </w:p>
        </w:tc>
      </w:tr>
      <w:tr>
        <w:trPr>
          <w:cantSplit/>
        </w:trPr>
        <w:tc>
          <w:tcPr>
            <w:tcW w:type="dxa" w:w="2042"/>
          </w:tcPr>
          <w:p>
            <w:pPr>
              <w:pStyle w:val="Compact"/>
              <w:jc w:val="left"/>
            </w:pPr>
            <w:r>
              <w:t xml:space="preserve">Speed measurement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1.4 % on average (at most 4.6 %) against the dataset speeds; a second estimator differs by a factor of 1.139 (SD 0.124)</w:t>
            </w:r>
          </w:p>
        </w:tc>
      </w:tr>
      <w:tr>
        <w:trPr>
          <w:cantSplit/>
        </w:trPr>
        <w:tc>
          <w:tcPr>
            <w:tcW w:type="dxa" w:w="2042"/>
          </w:tcPr>
          <w:p>
            <w:pPr>
              <w:pStyle w:val="Compact"/>
              <w:jc w:val="left"/>
            </w:pPr>
            <w:r>
              <w:t xml:space="preserve">Dynamics</w:t>
            </w:r>
          </w:p>
        </w:tc>
        <w:tc>
          <w:tcPr>
            <w:tcW w:type="dxa" w:w="2124"/>
          </w:tcPr>
          <w:p>
            <w:pPr>
              <w:pStyle w:val="Compact"/>
              <w:jc w:val="left"/>
            </w:pPr>
            <w:r>
              <w:t xml:space="preserve">1</w:t>
            </w:r>
          </w:p>
        </w:tc>
        <w:tc>
          <w:tcPr>
            <w:tcW w:type="dxa" w:w="2451"/>
          </w:tcPr>
          <w:p>
            <w:pPr>
              <w:pStyle w:val="Compact"/>
              <w:jc w:val="left"/>
            </w:pPr>
            <w:r>
              <w:t xml:space="preserve">partly</w:t>
            </w:r>
          </w:p>
        </w:tc>
        <w:tc>
          <w:tcPr>
            <w:tcW w:type="dxa" w:w="2451"/>
          </w:tcPr>
          <w:p>
            <w:pPr>
              <w:pStyle w:val="Compact"/>
              <w:jc w:val="left"/>
            </w:pPr>
            <w:r>
              <w:t xml:space="preserve">≤ 1 % for</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pStyle w:val="Compact"/>
              <w:jc w:val="left"/>
            </w:pPr>
            <w:r>
              <w:t xml:space="preserve">Transverse position</w:t>
            </w:r>
          </w:p>
        </w:tc>
        <w:tc>
          <w:tcPr>
            <w:tcW w:type="dxa" w:w="2124"/>
          </w:tcPr>
          <w:p>
            <w:pPr>
              <w:pStyle w:val="Compact"/>
              <w:jc w:val="left"/>
            </w:pPr>
            <w:r>
              <w:t xml:space="preserve">lane-dependent</w:t>
            </w:r>
            <w:r>
              <w:t xml:space="preserve"> </w:t>
            </w:r>
            <m:oMath>
              <m:r>
                <m:t>C</m:t>
              </m:r>
            </m:oMath>
          </w:p>
        </w:tc>
        <w:tc>
          <w:tcPr>
            <w:tcW w:type="dxa" w:w="2451"/>
          </w:tcPr>
          <w:p>
            <w:pPr>
              <w:pStyle w:val="Compact"/>
              <w:jc w:val="left"/>
            </w:pPr>
            <w:r>
              <w:t xml:space="preserve">no, unless lane-specific</w:t>
            </w:r>
          </w:p>
        </w:tc>
        <w:tc>
          <w:tcPr>
            <w:tcW w:type="dxa" w:w="2451"/>
          </w:tcPr>
          <w:p>
            <w:pPr>
              <w:pStyle w:val="Compact"/>
              <w:jc w:val="left"/>
            </w:pPr>
            <w:r>
              <w:t xml:space="preserve">field lane ratio 0.79; Mây Bridge range 2.05 mm across a section</w:t>
            </w:r>
          </w:p>
        </w:tc>
      </w:tr>
      <w:tr>
        <w:trPr>
          <w:cantSplit/>
        </w:trPr>
        <w:tc>
          <w:tcPr>
            <w:tcW w:type="dxa" w:w="2042"/>
          </w:tcPr>
          <w:p>
            <w:pPr>
              <w:pStyle w:val="Compact"/>
              <w:jc w:val="left"/>
            </w:pPr>
            <w:r>
              <w:t xml:space="preserve">Multiple presence</w:t>
            </w:r>
          </w:p>
        </w:tc>
        <w:tc>
          <w:tcPr>
            <w:tcW w:type="dxa" w:w="2124"/>
          </w:tcPr>
          <w:p>
            <w:pPr>
              <w:pStyle w:val="Compact"/>
              <w:jc w:val="left"/>
            </w:pPr>
            <w:r>
              <w:t xml:space="preserve">group weight</w:t>
            </w:r>
          </w:p>
        </w:tc>
        <w:tc>
          <w:tcPr>
            <w:tcW w:type="dxa" w:w="2451"/>
          </w:tcPr>
          <w:p>
            <w:pPr>
              <w:pStyle w:val="Compact"/>
              <w:jc w:val="left"/>
            </w:pPr>
            <w:r>
              <w:t xml:space="preserve">–</w:t>
            </w:r>
          </w:p>
        </w:tc>
        <w:tc>
          <w:tcPr>
            <w:tcW w:type="dxa" w:w="2451"/>
          </w:tcPr>
          <w:p>
            <w:pPr>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(mean absolute error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p>
      <w:pPr>
        <w:pStyle w:val="BodyText"/>
      </w:pPr>
      <w:r>
        <w:t xml:space="preserve">Validation test. For the Mây Bridge, a moving-load test with weighed trucks has been designed but not performed; Table S19 gives the predictions that would decide between calibrations A and B (Section S8).</w:t>
      </w:r>
    </w:p>
    <w:p>
      <w:pPr>
        <w:pStyle w:val="BodyText"/>
        <w:keepNext/>
      </w:pPr>
      <w:r>
        <w:rPr>
          <w:bCs/>
          <w:b/>
        </w:rPr>
        <w:t xml:space="preserve">Table S19.</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w:t>
            </w:r>
            <m:oMath>
              <m:r>
                <m:t>L</m:t>
              </m:r>
            </m:oMath>
            <w:r>
              <w:t xml:space="preserve"> </w:t>
            </w:r>
            <w:r>
              <w:t xml:space="preserve">/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2026-10-20T12:43:26Z</dcterms:created>
  <dcterms:modified xsi:type="dcterms:W3CDTF">2026-10-20T12:43:26Z</dcterms:modified>
</cp:coreProperties>
</file>

<file path=docProps/custom.xml><?xml version="1.0" encoding="utf-8"?>
<Properties xmlns="http://schemas.openxmlformats.org/officeDocument/2006/custom-properties" xmlns:vt="http://schemas.openxmlformats.org/officeDocument/2006/docPropsVTypes"/>
</file>