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21 October 2026</w:t>
      </w:r>
    </w:p>
    <w:p>
      <w:pPr>
        <w:pStyle w:val="BodyText"/>
        <w:jc w:val="lef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Blind spots and sensor placement for influence-area weigh-in-motion on continuous girders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prismatic two- and three-span girders. It shows that strain gauges that measure global bending (on a girder flange or web) are blind at every zero of the uniform-load moment and nearly blind in a band that can contain gauges set back from the piers. The strain criterion also holds for haunched girders, and the strain and cancellation indicators need no reference rigidity.</w:t>
      </w:r>
    </w:p>
    <w:p>
      <w:pPr>
        <w:numPr>
          <w:ilvl w:val="0"/>
          <w:numId w:val="1001"/>
        </w:numPr>
        <w:pStyle w:val="BodyText"/>
      </w:pPr>
      <w:r>
        <w:t xml:space="preserve">A placement rule from extreme-point optimal design: for position-independent noise, optimal sensors lie at the extremes of the uniform-load response. On one day of public moving-truck records, weighting gauges by their vehicle-free noise covariance raised the out-of-sample error above that of a plain gauge average.</w:t>
      </w:r>
    </w:p>
    <w:p>
      <w:pPr>
        <w:numPr>
          <w:ilvl w:val="0"/>
          <w:numId w:val="1001"/>
        </w:numPr>
        <w:pStyle w:val="BodyText"/>
      </w:pPr>
      <w:r>
        <w:t xml:space="preserve">An identifiability analysis under uncertain pier stiffness. For a symmetric girder with equal piers, the constant follows a linear-fractional (Möbius) law. On an in-service 55 + 90 + 55 m box girder, two static readings leave its side-span deflection constant uncertain by a factor of 6.6 against 1.5 for the main-span constant from the static data alone, or 2.4 against 1.1 with girder rigidity bounded to 0.9–1.3 times the design value. At the design pier stiffness, a pier tiltmeter is the most informative of the additional measurements compared.</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is just under 12 000 word-equivalents with 7 figures, 3 numbered tables and a table of symbols;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and the processed data of the in-service bridge are tabulated in the Supplementary Material; these data, the derived data behind the figures and tables, and all analysis scripts with their console output are archived on Zenodo (https://doi.org/10.5281/zenodo.23535533, CC BY 4.0).</w:t>
      </w:r>
    </w:p>
    <w:p>
      <w:pPr>
        <w:pStyle w:val="BodyText"/>
      </w:pPr>
      <w:r>
        <w:t xml:space="preserve">The manuscript is original, has not been published, and is not under consideration by any other journal. All authors have approved the submission. Conflicts of interest, funding and the use of generative AI are declared in the manuscript.</w:t>
      </w:r>
    </w:p>
    <w:p>
      <w:pPr>
        <w:pStyle w:val="BodyText"/>
      </w:pPr>
      <w:r>
        <w:t xml:space="preserve">Sincerely,</w:t>
      </w:r>
    </w:p>
    <w:p>
      <w:pPr>
        <w:pStyle w:val="BodyText"/>
        <w:jc w:val="left"/>
      </w:pPr>
      <w:r>
        <w:t xml:space="preserve">Thai-Son Vu (corresponding author), on behalf of both authors</w:t>
      </w:r>
      <w:r>
        <w:br/>
      </w:r>
      <w:r>
        <w:t xml:space="preserve">Faculty of Bridge and Road Engineering, Hanoi University of Civil Engineering</w:t>
      </w:r>
      <w:r>
        <w:br/>
      </w:r>
      <w:r>
        <w:t xml:space="preserve">55 Giai Phong, Bach Mai ward, 11618 Ha Noi, Viet Nam</w:t>
      </w:r>
      <w:r>
        <w:br/>
      </w:r>
      <w:r>
        <w:t xml:space="preserve">E-mail: sonvt2@huce.edu.vn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2026-10-21T14:41:36Z</dcterms:created>
  <dcterms:modified xsi:type="dcterms:W3CDTF">2026-10-21T14:41:36Z</dcterms:modified>
</cp:coreProperties>
</file>

<file path=docProps/custom.xml><?xml version="1.0" encoding="utf-8"?>
<Properties xmlns="http://schemas.openxmlformats.org/officeDocument/2006/custom-properties" xmlns:vt="http://schemas.openxmlformats.org/officeDocument/2006/docPropsVTypes"/>
</file>