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Titleblock"/>
      </w:pPr>
      <w:r>
        <w:rPr>
          <w:bCs/>
          <w:b/>
        </w:rPr>
        <w:t xml:space="preserve">Blind spots and sensor placement for influence-area weigh-in-motion on continuous girders</w:t>
      </w:r>
    </w:p>
    <w:p>
      <w:pPr>
        <w:pStyle w:val="Titleblock"/>
      </w:pPr>
      <w:r>
        <w:t xml:space="preserve">Quoc-Bao Nguyen, Thai-Son Vu</w:t>
      </w:r>
    </w:p>
    <w:p>
      <w:pPr>
        <w:pStyle w:val="BodyText"/>
      </w:pPr>
      <w:r>
        <w:t xml:space="preserve">This document accompanies the main text. Equation, table, figure and section numbers without the prefix S refer to the main text; references are to the main-text reference list, cited here by author and year.</w:t>
      </w:r>
    </w:p>
    <w:p>
      <w:pPr>
        <w:pStyle w:val="BodyText"/>
      </w:pPr>
      <w:r>
        <w:t xml:space="preserve">Contents: S1 Nomenclature; S2 Closed forms for two- and three-span beams; S3 General channels, finite element verification and invariant weighting functions; S4 Multi-channel estimation and placement; S5 Identifiability, sensitivities and Möbius law; S6 Laboratory test; S7 Public field records; S8 Mây Bridge; S9 Dynamics and baseline handling; S10 Error budget and design checklist; S11 Scripts, console output and derived data.</w:t>
      </w:r>
    </w:p>
    <w:bookmarkStart w:id="20" w:name="s1.-nomenclature"/>
    <w:p>
      <w:pPr>
        <w:pStyle w:val="Heading2"/>
      </w:pPr>
      <w:r>
        <w:t xml:space="preserve">S1. Nomenclature</w:t>
      </w:r>
    </w:p>
    <w:p>
      <w:pPr>
        <w:pStyle w:val="FirstParagraph"/>
        <w:keepNext/>
        <w:keepLines/>
      </w:pPr>
      <w:r>
        <w:rPr>
          <w:bCs/>
          <w:b/>
        </w:rPr>
        <w:t xml:space="preserve">Table S1.</w:t>
      </w:r>
      <w:r>
        <w:t xml:space="preserve"> </w:t>
      </w:r>
      <w:r>
        <w:t xml:space="preserve">Nomenclature.</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3452"/>
        <w:gridCol w:w="5617"/>
      </w:tblGrid>
      <w:tr>
        <w:trPr>
          <w:tblHeader w:val="true"/>
          <w:tblHeader w:val="true"/>
          <w:cantSplit/>
        </w:trPr>
        <w:tc>
          <w:tcPr>
            <w:tcW w:type="dxa" w:w="3452"/>
            <w:tcBorders>
              <w:top w:val="nil"/>
              <w:left w:val="nil"/>
              <w:bottom w:val="single" w:sz="6" w:space="0" w:color="000000"/>
              <w:right w:val="nil"/>
            </w:tcBorders>
          </w:tcPr>
          <w:p>
            <w:pPr>
              <w:pStyle w:val="Compact"/>
              <w:jc w:val="left"/>
            </w:pPr>
            <w:r>
              <w:t xml:space="preserve">Symbol</w:t>
            </w:r>
          </w:p>
        </w:tc>
        <w:tc>
          <w:tcPr>
            <w:tcW w:type="dxa" w:w="5617"/>
            <w:tcBorders>
              <w:top w:val="nil"/>
              <w:left w:val="nil"/>
              <w:bottom w:val="single" w:sz="6" w:space="0" w:color="000000"/>
              <w:right w:val="nil"/>
            </w:tcBorders>
          </w:tcPr>
          <w:p>
            <w:pPr>
              <w:pStyle w:val="Compact"/>
              <w:jc w:val="left"/>
            </w:pPr>
            <w:r>
              <w:t xml:space="preserve">Meaning</w:t>
            </w:r>
          </w:p>
        </w:tc>
      </w:tr>
      <w:tr>
        <w:trPr>
          <w:cantSplit/>
        </w:trPr>
        <w:tc>
          <w:tcPr>
            <w:tcW w:type="dxa" w:w="3452"/>
          </w:tcPr>
          <w:p>
            <w:pPr>
              <w:pStyle w:val="Compact"/>
              <w:jc w:val="left"/>
            </w:pPr>
            <m:oMath>
              <m:sSup>
                <m:e>
                  <m:r>
                    <m:t>A</m:t>
                  </m:r>
                </m:e>
                <m:sup>
                  <m:r>
                    <m:rPr>
                      <m:nor/>
                    </m:rPr>
                    <m:t>+</m:t>
                  </m:r>
                </m:sup>
              </m:sSup>
            </m:oMath>
            <w:r>
              <w:t xml:space="preserve">,</w:t>
            </w:r>
            <w:r>
              <w:t xml:space="preserve"> </w:t>
            </w:r>
            <m:oMath>
              <m:sSup>
                <m:e>
                  <m:r>
                    <m:t>A</m:t>
                  </m:r>
                </m:e>
                <m:sup>
                  <m:r>
                    <m:rPr>
                      <m:nor/>
                    </m:rPr>
                    <m:t>−</m:t>
                  </m:r>
                </m:sup>
              </m:sSup>
            </m:oMath>
          </w:p>
        </w:tc>
        <w:tc>
          <w:tcPr>
            <w:tcW w:type="dxa" w:w="5617"/>
          </w:tcPr>
          <w:p>
            <w:pPr>
              <w:pStyle w:val="Compact"/>
              <w:jc w:val="left"/>
            </w:pPr>
            <w:r>
              <w:t xml:space="preserve">positive and negative parts of the area under an influence line, Eq. (9)</w:t>
            </w:r>
          </w:p>
        </w:tc>
      </w:tr>
      <w:tr>
        <w:trPr>
          <w:cantSplit/>
        </w:trPr>
        <w:tc>
          <w:tcPr>
            <w:tcW w:type="dxa" w:w="3452"/>
          </w:tcPr>
          <w:p>
            <w:pPr>
              <w:pStyle w:val="Compact"/>
              <w:jc w:val="left"/>
            </w:pPr>
            <m:oMath>
              <m:r>
                <m:t>a</m:t>
              </m:r>
            </m:oMath>
          </w:p>
        </w:tc>
        <w:tc>
          <w:tcPr>
            <w:tcW w:type="dxa" w:w="5617"/>
          </w:tcPr>
          <w:p>
            <w:pPr>
              <w:pStyle w:val="Compact"/>
              <w:jc w:val="left"/>
            </w:pPr>
            <w:r>
              <w:t xml:space="preserve">vector of channel weights of a multi-channel estimator</w:t>
            </w:r>
          </w:p>
        </w:tc>
      </w:tr>
      <w:tr>
        <w:trPr>
          <w:cantSplit/>
        </w:trPr>
        <w:tc>
          <w:tcPr>
            <w:tcW w:type="dxa" w:w="3452"/>
          </w:tcPr>
          <w:p>
            <w:pPr>
              <w:pStyle w:val="Compact"/>
              <w:jc w:val="left"/>
            </w:pPr>
            <m:oMath>
              <m:r>
                <m:t>b</m:t>
              </m:r>
            </m:oMath>
          </w:p>
        </w:tc>
        <w:tc>
          <w:tcPr>
            <w:tcW w:type="dxa" w:w="5617"/>
          </w:tcPr>
          <w:p>
            <w:pPr>
              <w:pStyle w:val="Compact"/>
              <w:jc w:val="left"/>
            </w:pPr>
            <w:r>
              <w:t xml:space="preserve">relative bias of the load caused by a residual offset, Eq. (10)</w:t>
            </w:r>
          </w:p>
        </w:tc>
      </w:tr>
      <w:tr>
        <w:trPr>
          <w:cantSplit/>
        </w:trPr>
        <w:tc>
          <w:tcPr>
            <w:tcW w:type="dxa" w:w="3452"/>
          </w:tcPr>
          <w:p>
            <w:pPr>
              <w:pStyle w:val="Compact"/>
              <w:jc w:val="left"/>
            </w:pPr>
            <m:oMath>
              <m:sSub>
                <m:e>
                  <m:r>
                    <m:t>B</m:t>
                  </m:r>
                </m:e>
                <m:sub>
                  <m:r>
                    <m:t>m</m:t>
                  </m:r>
                </m:sub>
              </m:sSub>
            </m:oMath>
          </w:p>
        </w:tc>
        <w:tc>
          <w:tcPr>
            <w:tcW w:type="dxa" w:w="5617"/>
          </w:tcPr>
          <w:p>
            <w:pPr>
              <w:pStyle w:val="Compact"/>
              <w:jc w:val="left"/>
            </w:pPr>
            <w:r>
              <w:t xml:space="preserve">boundary sensitivity</w:t>
            </w:r>
            <w:r>
              <w:t xml:space="preserve"> </w:t>
            </w:r>
            <m:oMath>
              <m:r>
                <m:rPr>
                  <m:nor/>
                </m:rPr>
                <m:t>|</m:t>
              </m:r>
              <m:r>
                <m:rPr>
                  <m:sty m:val="p"/>
                </m:rPr>
                <m:t>∂</m:t>
              </m:r>
              <m:r>
                <m:rPr>
                  <m:sty m:val="p"/>
                  <m:nor/>
                </m:rPr>
                <m:t>ln</m:t>
              </m:r>
              <m:sSub>
                <m:e>
                  <m:r>
                    <m:t>C</m:t>
                  </m:r>
                </m:e>
                <m:sub>
                  <m:r>
                    <m:t>m</m:t>
                  </m:r>
                </m:sub>
              </m:sSub>
              <m:r>
                <m:rPr>
                  <m:sty m:val="p"/>
                </m:rPr>
                <m:t>/</m:t>
              </m:r>
              <m:r>
                <m:rPr>
                  <m:sty m:val="p"/>
                </m:rPr>
                <m:t>∂</m:t>
              </m:r>
              <m:r>
                <m:rPr>
                  <m:sty m:val="p"/>
                  <m:nor/>
                </m:rPr>
                <m:t>ln</m:t>
              </m:r>
              <m:r>
                <m:t>κ</m:t>
              </m:r>
              <m:r>
                <m:rPr>
                  <m:nor/>
                </m:rPr>
                <m:t>|</m:t>
              </m:r>
            </m:oMath>
          </w:p>
        </w:tc>
      </w:tr>
      <w:tr>
        <w:trPr>
          <w:cantSplit/>
        </w:trPr>
        <w:tc>
          <w:tcPr>
            <w:tcW w:type="dxa" w:w="3452"/>
          </w:tcPr>
          <w:p>
            <w:pPr>
              <w:pStyle w:val="Compact"/>
              <w:jc w:val="left"/>
            </w:pPr>
            <m:oMath>
              <m:sSub>
                <m:e>
                  <m:r>
                    <m:t>C</m:t>
                  </m:r>
                </m:e>
                <m:sub>
                  <m:r>
                    <m:t>0</m:t>
                  </m:r>
                </m:sub>
              </m:sSub>
            </m:oMath>
            <w:r>
              <w:t xml:space="preserve">,</w:t>
            </w:r>
            <w:r>
              <w:t xml:space="preserve"> </w:t>
            </w:r>
            <m:oMath>
              <m:sSub>
                <m:e>
                  <m:r>
                    <m:t>C</m:t>
                  </m:r>
                </m:e>
                <m:sub>
                  <m:r>
                    <m:rPr>
                      <m:sty m:val="p"/>
                    </m:rPr>
                    <m:t>∞</m:t>
                  </m:r>
                </m:sub>
              </m:sSub>
            </m:oMath>
          </w:p>
        </w:tc>
        <w:tc>
          <w:tcPr>
            <w:tcW w:type="dxa" w:w="5617"/>
          </w:tcPr>
          <w:p>
            <w:pPr>
              <w:pStyle w:val="Compact"/>
              <w:jc w:val="left"/>
            </w:pPr>
            <w:r>
              <w:t xml:space="preserve">integral constant for pinned and for fixed piers at</w:t>
            </w:r>
            <w:r>
              <w:t xml:space="preserve"> </w:t>
            </w:r>
            <m:oMath>
              <m:r>
                <m:t>α</m:t>
              </m:r>
              <m:r>
                <m:rPr>
                  <m:sty m:val="p"/>
                </m:rPr>
                <m:t>=</m:t>
              </m:r>
              <m:r>
                <m:t>1</m:t>
              </m:r>
            </m:oMath>
            <w:r>
              <w:t xml:space="preserve">, Eq. (13)</w:t>
            </w:r>
          </w:p>
        </w:tc>
      </w:tr>
      <w:tr>
        <w:trPr>
          <w:cantSplit/>
        </w:trPr>
        <w:tc>
          <w:tcPr>
            <w:tcW w:type="dxa" w:w="3452"/>
          </w:tcPr>
          <w:p>
            <w:pPr>
              <w:pStyle w:val="Compact"/>
              <w:jc w:val="left"/>
            </w:pPr>
            <m:oMath>
              <m:sSub>
                <m:e>
                  <m:r>
                    <m:t>C</m:t>
                  </m:r>
                </m:e>
                <m:sub>
                  <m:r>
                    <m:t>m</m:t>
                  </m:r>
                </m:sub>
              </m:sSub>
            </m:oMath>
          </w:p>
        </w:tc>
        <w:tc>
          <w:tcPr>
            <w:tcW w:type="dxa" w:w="5617"/>
          </w:tcPr>
          <w:p>
            <w:pPr>
              <w:pStyle w:val="Compact"/>
              <w:jc w:val="left"/>
            </w:pPr>
            <w:r>
              <w:t xml:space="preserve">integral constant of the channel at</w:t>
            </w:r>
            <w:r>
              <w:t xml:space="preserve"> </w:t>
            </w:r>
            <m:oMath>
              <m:r>
                <m:t>m</m:t>
              </m:r>
            </m:oMath>
            <w:r>
              <w:t xml:space="preserve">, Eq. (2) (m²/kN for deflection); called</w:t>
            </w:r>
            <w:r>
              <w:t xml:space="preserve"> </w:t>
            </w:r>
            <w:r>
              <w:t xml:space="preserve">“</w:t>
            </w:r>
            <w:r>
              <w:t xml:space="preserve">the constant</w:t>
            </w:r>
            <w:r>
              <w:t xml:space="preserve">”</w:t>
            </w:r>
            <w:r>
              <w:t xml:space="preserve"> </w:t>
            </w:r>
            <w:r>
              <w:t xml:space="preserve">in the text</w:t>
            </w:r>
          </w:p>
        </w:tc>
      </w:tr>
      <w:tr>
        <w:trPr>
          <w:cantSplit/>
        </w:trPr>
        <w:tc>
          <w:tcPr>
            <w:tcW w:type="dxa" w:w="3452"/>
          </w:tcPr>
          <w:p>
            <w:pPr>
              <w:pStyle w:val="Compact"/>
              <w:jc w:val="left"/>
            </w:pPr>
            <m:oMath>
              <m:acc>
                <m:accPr>
                  <m:chr m:val="¯"/>
                </m:accPr>
                <m:e>
                  <m:r>
                    <m:t>C</m:t>
                  </m:r>
                </m:e>
              </m:acc>
            </m:oMath>
          </w:p>
        </w:tc>
        <w:tc>
          <w:tcPr>
            <w:tcW w:type="dxa" w:w="5617"/>
          </w:tcPr>
          <w:p>
            <w:pPr>
              <w:pStyle w:val="Compact"/>
              <w:jc w:val="left"/>
            </w:pPr>
            <w:r>
              <w:t xml:space="preserve">mean of the channel constants</w:t>
            </w:r>
            <w:r>
              <w:t xml:space="preserve"> </w:t>
            </w:r>
            <m:oMath>
              <m:sSub>
                <m:e>
                  <m:r>
                    <m:t>C</m:t>
                  </m:r>
                </m:e>
                <m:sub>
                  <m:r>
                    <m:t>j</m:t>
                  </m:r>
                </m:sub>
              </m:sSub>
            </m:oMath>
            <w:r>
              <w:t xml:space="preserve">, Eq. (12)</w:t>
            </w:r>
          </w:p>
        </w:tc>
      </w:tr>
      <w:tr>
        <w:trPr>
          <w:cantSplit/>
        </w:trPr>
        <w:tc>
          <w:tcPr>
            <w:tcW w:type="dxa" w:w="3452"/>
          </w:tcPr>
          <w:p>
            <w:pPr>
              <w:pStyle w:val="Compact"/>
              <w:jc w:val="left"/>
            </w:pPr>
            <m:oMath>
              <m:sSub>
                <m:e>
                  <m:r>
                    <m:t>C</m:t>
                  </m:r>
                </m:e>
                <m:sub>
                  <m:r>
                    <m:t>ε</m:t>
                  </m:r>
                </m:sub>
              </m:sSub>
            </m:oMath>
            <w:r>
              <w:t xml:space="preserve">,</w:t>
            </w:r>
            <w:r>
              <w:t xml:space="preserve"> </w:t>
            </w:r>
            <m:oMath>
              <m:sSub>
                <m:e>
                  <m:r>
                    <m:t>C</m:t>
                  </m:r>
                </m:e>
                <m:sub>
                  <m:r>
                    <m:t>θ</m:t>
                  </m:r>
                </m:sub>
              </m:sSub>
            </m:oMath>
            <w:r>
              <w:t xml:space="preserve">,</w:t>
            </w:r>
            <w:r>
              <w:t xml:space="preserve"> </w:t>
            </w:r>
            <m:oMath>
              <m:sSub>
                <m:e>
                  <m:r>
                    <m:t>C</m:t>
                  </m:r>
                </m:e>
                <m:sub>
                  <m:r>
                    <m:t>V</m:t>
                  </m:r>
                </m:sub>
              </m:sSub>
            </m:oMath>
          </w:p>
        </w:tc>
        <w:tc>
          <w:tcPr>
            <w:tcW w:type="dxa" w:w="5617"/>
          </w:tcPr>
          <w:p>
            <w:pPr>
              <w:pStyle w:val="Compact"/>
              <w:jc w:val="left"/>
            </w:pPr>
            <w:r>
              <w:t xml:space="preserve">integral constant of a strain, rotation and shear channel</w:t>
            </w:r>
          </w:p>
        </w:tc>
      </w:tr>
      <w:tr>
        <w:trPr>
          <w:cantSplit/>
        </w:trPr>
        <w:tc>
          <w:tcPr>
            <w:tcW w:type="dxa" w:w="3452"/>
          </w:tcPr>
          <w:p>
            <w:pPr>
              <w:pStyle w:val="Compact"/>
              <w:jc w:val="left"/>
            </w:pPr>
            <m:oMath>
              <m:r>
                <m:t>c</m:t>
              </m:r>
            </m:oMath>
            <w:r>
              <w:t xml:space="preserve">,</w:t>
            </w:r>
            <w:r>
              <w:t xml:space="preserve"> </w:t>
            </w:r>
            <m:oMath>
              <m:sSub>
                <m:e>
                  <m:r>
                    <m:t>c</m:t>
                  </m:r>
                </m:e>
                <m:sub>
                  <m:r>
                    <m:t>m</m:t>
                  </m:r>
                </m:sub>
              </m:sSub>
            </m:oMath>
          </w:p>
        </w:tc>
        <w:tc>
          <w:tcPr>
            <w:tcW w:type="dxa" w:w="5617"/>
          </w:tcPr>
          <w:p>
            <w:pPr>
              <w:pStyle w:val="Compact"/>
              <w:jc w:val="left"/>
            </w:pPr>
            <w:r>
              <w:t xml:space="preserve">distance of the gauged fiber from the neutral axis (m); its value at the sensor, Eq. (3)</w:t>
            </w:r>
          </w:p>
        </w:tc>
      </w:tr>
      <w:tr>
        <w:trPr>
          <w:cantSplit/>
        </w:trPr>
        <w:tc>
          <w:tcPr>
            <w:tcW w:type="dxa" w:w="3452"/>
          </w:tcPr>
          <w:p>
            <w:pPr>
              <w:pStyle w:val="Compact"/>
              <w:jc w:val="left"/>
            </w:pPr>
            <m:oMath>
              <m:sSub>
                <m:e>
                  <m:r>
                    <m:t>d</m:t>
                  </m:r>
                </m:e>
                <m:sub>
                  <m:r>
                    <m:t>i</m:t>
                  </m:r>
                </m:sub>
              </m:sSub>
            </m:oMath>
            <w:r>
              <w:t xml:space="preserve">,</w:t>
            </w:r>
            <w:r>
              <w:t xml:space="preserve"> </w:t>
            </w:r>
            <m:oMath>
              <m:sSub>
                <m:e>
                  <m:r>
                    <m:t>d</m:t>
                  </m:r>
                </m:e>
                <m:sub>
                  <m:r>
                    <m:rPr>
                      <m:sty m:val="p"/>
                      <m:nor/>
                    </m:rPr>
                    <m:t>max</m:t>
                  </m:r>
                </m:sub>
              </m:sSub>
            </m:oMath>
          </w:p>
        </w:tc>
        <w:tc>
          <w:tcPr>
            <w:tcW w:type="dxa" w:w="5617"/>
          </w:tcPr>
          <w:p>
            <w:pPr>
              <w:pStyle w:val="Compact"/>
              <w:jc w:val="left"/>
            </w:pPr>
            <w:r>
              <w:t xml:space="preserve">distance of axle</w:t>
            </w:r>
            <w:r>
              <w:t xml:space="preserve"> </w:t>
            </w:r>
            <m:oMath>
              <m:r>
                <m:t>i</m:t>
              </m:r>
            </m:oMath>
            <w:r>
              <w:t xml:space="preserve"> </w:t>
            </w:r>
            <w:r>
              <w:t xml:space="preserve">behind the first axle; largest axle offset, Eq. (2) (m)</w:t>
            </w:r>
          </w:p>
        </w:tc>
      </w:tr>
      <w:tr>
        <w:trPr>
          <w:cantSplit/>
        </w:trPr>
        <w:tc>
          <w:tcPr>
            <w:tcW w:type="dxa" w:w="3452"/>
          </w:tcPr>
          <w:p>
            <w:pPr>
              <w:pStyle w:val="Compact"/>
              <w:jc w:val="left"/>
            </w:pPr>
            <m:oMath>
              <m:r>
                <m:t>E</m:t>
              </m:r>
              <m:r>
                <m:t>I</m:t>
              </m:r>
            </m:oMath>
            <w:r>
              <w:t xml:space="preserve">,</w:t>
            </w:r>
            <w:r>
              <w:t xml:space="preserve"> </w:t>
            </w:r>
            <m:oMath>
              <m:r>
                <m:t>E</m:t>
              </m:r>
              <m:sSub>
                <m:e>
                  <m:r>
                    <m:t>I</m:t>
                  </m:r>
                </m:e>
                <m:sub>
                  <m:r>
                    <m:t>m</m:t>
                  </m:r>
                </m:sub>
              </m:sSub>
            </m:oMath>
            <w:r>
              <w:t xml:space="preserve">,</w:t>
            </w:r>
            <w:r>
              <w:t xml:space="preserve"> </w:t>
            </w:r>
            <m:oMath>
              <m:r>
                <m:t>E</m:t>
              </m:r>
              <m:sSub>
                <m:e>
                  <m:r>
                    <m:t>I</m:t>
                  </m:r>
                </m:e>
                <m:sub>
                  <m:r>
                    <m:rPr>
                      <m:sty m:val="p"/>
                      <m:nor/>
                    </m:rPr>
                    <m:t>mid</m:t>
                  </m:r>
                </m:sub>
              </m:sSub>
            </m:oMath>
            <w:r>
              <w:t xml:space="preserve">,</w:t>
            </w:r>
            <w:r>
              <w:t xml:space="preserve"> </w:t>
            </w:r>
            <m:oMath>
              <m:r>
                <m:t>E</m:t>
              </m:r>
              <m:sSub>
                <m:e>
                  <m:r>
                    <m:t>I</m:t>
                  </m:r>
                </m:e>
                <m:sub>
                  <m:r>
                    <m:rPr>
                      <m:sty m:val="p"/>
                      <m:nor/>
                    </m:rPr>
                    <m:t>ref</m:t>
                  </m:r>
                </m:sub>
              </m:sSub>
            </m:oMath>
          </w:p>
        </w:tc>
        <w:tc>
          <w:tcPr>
            <w:tcW w:type="dxa" w:w="5617"/>
          </w:tcPr>
          <w:p>
            <w:pPr>
              <w:pStyle w:val="Compact"/>
              <w:jc w:val="left"/>
            </w:pPr>
            <w:r>
              <w:t xml:space="preserve">flexural rigidity; its value at the sensor, Eq. (3); design value at mid main span; reference rigidity used to normalize</w:t>
            </w:r>
            <w:r>
              <w:t xml:space="preserve"> </w:t>
            </w:r>
            <m:oMath>
              <m:sSub>
                <m:e>
                  <m:r>
                    <m:t>N</m:t>
                  </m:r>
                </m:e>
                <m:sub>
                  <m:r>
                    <m:t>w</m:t>
                  </m:r>
                </m:sub>
              </m:sSub>
            </m:oMath>
            <w:r>
              <w:t xml:space="preserve"> </w:t>
            </w:r>
            <w:r>
              <w:t xml:space="preserve">(kN m²)</w:t>
            </w:r>
          </w:p>
        </w:tc>
      </w:tr>
      <w:tr>
        <w:trPr>
          <w:cantSplit/>
        </w:trPr>
        <w:tc>
          <w:tcPr>
            <w:tcW w:type="dxa" w:w="3452"/>
          </w:tcPr>
          <w:p>
            <w:pPr>
              <w:pStyle w:val="Compact"/>
              <w:jc w:val="left"/>
            </w:pPr>
            <m:oMath>
              <m:sSub>
                <m:e>
                  <m:r>
                    <m:t>F</m:t>
                  </m:r>
                </m:e>
                <m:sub>
                  <m:r>
                    <m:t>A</m:t>
                  </m:r>
                </m:sub>
              </m:sSub>
            </m:oMath>
          </w:p>
        </w:tc>
        <w:tc>
          <w:tcPr>
            <w:tcW w:type="dxa" w:w="5617"/>
          </w:tcPr>
          <w:p>
            <w:pPr>
              <w:pStyle w:val="Compact"/>
              <w:jc w:val="left"/>
            </w:pPr>
            <w:r>
              <w:t xml:space="preserve">end-support reaction (kN)</w:t>
            </w:r>
          </w:p>
        </w:tc>
      </w:tr>
      <w:tr>
        <w:trPr>
          <w:cantSplit/>
        </w:trPr>
        <w:tc>
          <w:tcPr>
            <w:tcW w:type="dxa" w:w="3452"/>
          </w:tcPr>
          <w:p>
            <w:pPr>
              <w:pStyle w:val="Compact"/>
              <w:jc w:val="left"/>
            </w:pPr>
            <m:oMath>
              <m:r>
                <m:t>F</m:t>
              </m:r>
              <m:d>
                <m:dPr>
                  <m:begChr m:val="("/>
                  <m:endChr m:val=")"/>
                  <m:grow/>
                </m:dPr>
                <m:e>
                  <m:r>
                    <m:t>ξ</m:t>
                  </m:r>
                  <m:r>
                    <m:rPr>
                      <m:sty m:val="p"/>
                    </m:rPr>
                    <m:t>,</m:t>
                  </m:r>
                  <m:r>
                    <m:t>μ</m:t>
                  </m:r>
                </m:e>
              </m:d>
            </m:oMath>
          </w:p>
        </w:tc>
        <w:tc>
          <w:tcPr>
            <w:tcW w:type="dxa" w:w="5617"/>
          </w:tcPr>
          <w:p>
            <w:pPr>
              <w:pStyle w:val="Compact"/>
              <w:jc w:val="left"/>
            </w:pPr>
            <w:r>
              <w:t xml:space="preserve">normalized uniform-load deflection of span 1 of a two-span beam, Eq. (5)</w:t>
            </w:r>
          </w:p>
        </w:tc>
      </w:tr>
      <w:tr>
        <w:trPr>
          <w:cantSplit/>
        </w:trPr>
        <w:tc>
          <w:tcPr>
            <w:tcW w:type="dxa" w:w="3452"/>
          </w:tcPr>
          <w:p>
            <w:pPr>
              <w:pStyle w:val="Compact"/>
              <w:jc w:val="left"/>
            </w:pPr>
            <m:oMath>
              <m:sSub>
                <m:e>
                  <m:r>
                    <m:t>f</m:t>
                  </m:r>
                </m:e>
                <m:sub>
                  <m:r>
                    <m:t>1</m:t>
                  </m:r>
                </m:sub>
              </m:sSub>
            </m:oMath>
            <w:r>
              <w:t xml:space="preserve">,</w:t>
            </w:r>
            <w:r>
              <w:t xml:space="preserve"> </w:t>
            </w:r>
            <m:oMath>
              <m:sSub>
                <m:e>
                  <m:r>
                    <m:t>T</m:t>
                  </m:r>
                </m:e>
                <m:sub>
                  <m:r>
                    <m:t>1</m:t>
                  </m:r>
                </m:sub>
              </m:sSub>
            </m:oMath>
          </w:p>
        </w:tc>
        <w:tc>
          <w:tcPr>
            <w:tcW w:type="dxa" w:w="5617"/>
          </w:tcPr>
          <w:p>
            <w:pPr>
              <w:pStyle w:val="Compact"/>
              <w:jc w:val="left"/>
            </w:pPr>
            <w:r>
              <w:t xml:space="preserve">fundamental frequency and period of the girder</w:t>
            </w:r>
          </w:p>
        </w:tc>
      </w:tr>
      <w:tr>
        <w:trPr>
          <w:cantSplit/>
        </w:trPr>
        <w:tc>
          <w:tcPr>
            <w:tcW w:type="dxa" w:w="3452"/>
          </w:tcPr>
          <w:p>
            <w:pPr>
              <w:pStyle w:val="Compact"/>
              <w:jc w:val="left"/>
            </w:pPr>
            <m:oMath>
              <m:r>
                <m:t>g</m:t>
              </m:r>
              <m:d>
                <m:dPr>
                  <m:begChr m:val="("/>
                  <m:endChr m:val=")"/>
                  <m:grow/>
                </m:dPr>
                <m:e>
                  <m:r>
                    <m:t>x</m:t>
                  </m:r>
                </m:e>
              </m:d>
            </m:oMath>
          </w:p>
        </w:tc>
        <w:tc>
          <w:tcPr>
            <w:tcW w:type="dxa" w:w="5617"/>
          </w:tcPr>
          <w:p>
            <w:pPr>
              <w:pStyle w:val="Compact"/>
              <w:jc w:val="left"/>
            </w:pPr>
            <w:r>
              <w:t xml:space="preserve">weighting function applied along a record</w:t>
            </w:r>
          </w:p>
        </w:tc>
      </w:tr>
      <w:tr>
        <w:trPr>
          <w:cantSplit/>
        </w:trPr>
        <w:tc>
          <w:tcPr>
            <w:tcW w:type="dxa" w:w="3452"/>
          </w:tcPr>
          <w:p>
            <w:pPr>
              <w:pStyle w:val="Compact"/>
              <w:jc w:val="left"/>
            </w:pPr>
            <m:oMath>
              <m:r>
                <m:t>h</m:t>
              </m:r>
            </m:oMath>
          </w:p>
        </w:tc>
        <w:tc>
          <w:tcPr>
            <w:tcW w:type="dxa" w:w="5617"/>
          </w:tcPr>
          <w:p>
            <w:pPr>
              <w:pStyle w:val="Compact"/>
              <w:jc w:val="left"/>
            </w:pPr>
            <w:r>
              <w:t xml:space="preserve">girder depth (m)</w:t>
            </w:r>
          </w:p>
        </w:tc>
      </w:tr>
      <w:tr>
        <w:trPr>
          <w:cantSplit/>
        </w:trPr>
        <w:tc>
          <w:tcPr>
            <w:tcW w:type="dxa" w:w="3452"/>
          </w:tcPr>
          <w:p>
            <w:pPr>
              <w:pStyle w:val="Compact"/>
              <w:jc w:val="left"/>
            </w:pPr>
            <m:oMath>
              <m:r>
                <m:t>I</m:t>
              </m:r>
            </m:oMath>
          </w:p>
        </w:tc>
        <w:tc>
          <w:tcPr>
            <w:tcW w:type="dxa" w:w="5617"/>
          </w:tcPr>
          <w:p>
            <w:pPr>
              <w:pStyle w:val="Compact"/>
              <w:jc w:val="left"/>
            </w:pPr>
            <w:r>
              <w:t xml:space="preserve">second moment of area</w:t>
            </w:r>
          </w:p>
        </w:tc>
      </w:tr>
      <w:tr>
        <w:trPr>
          <w:cantSplit/>
        </w:trPr>
        <w:tc>
          <w:tcPr>
            <w:tcW w:type="dxa" w:w="3452"/>
          </w:tcPr>
          <w:p>
            <w:pPr>
              <w:pStyle w:val="Compact"/>
              <w:jc w:val="left"/>
            </w:pPr>
            <m:oMath>
              <m:sSub>
                <m:e>
                  <m:r>
                    <m:t>J</m:t>
                  </m:r>
                </m:e>
                <m:sub>
                  <m:r>
                    <m:t>m</m:t>
                  </m:r>
                </m:sub>
              </m:sSub>
            </m:oMath>
          </w:p>
        </w:tc>
        <w:tc>
          <w:tcPr>
            <w:tcW w:type="dxa" w:w="5617"/>
          </w:tcPr>
          <w:p>
            <w:pPr>
              <w:pStyle w:val="Compact"/>
              <w:jc w:val="left"/>
            </w:pPr>
            <w:r>
              <w:t xml:space="preserve">record integral of the channel at</w:t>
            </w:r>
            <w:r>
              <w:t xml:space="preserve"> </w:t>
            </w:r>
            <m:oMath>
              <m:r>
                <m:t>m</m:t>
              </m:r>
            </m:oMath>
            <w:r>
              <w:t xml:space="preserve"> </w:t>
            </w:r>
            <w:r>
              <w:t xml:space="preserve">over a complete crossing, in space</w:t>
            </w:r>
          </w:p>
        </w:tc>
      </w:tr>
      <w:tr>
        <w:trPr>
          <w:cantSplit/>
        </w:trPr>
        <w:tc>
          <w:tcPr>
            <w:tcW w:type="dxa" w:w="3452"/>
          </w:tcPr>
          <w:p>
            <w:pPr>
              <w:pStyle w:val="Compact"/>
              <w:jc w:val="left"/>
            </w:pPr>
            <m:oMath>
              <m:r>
                <m:t>k</m:t>
              </m:r>
            </m:oMath>
            <w:r>
              <w:t xml:space="preserve">,</w:t>
            </w:r>
            <w:r>
              <w:t xml:space="preserve"> </w:t>
            </w:r>
            <m:oMath>
              <m:sSub>
                <m:e>
                  <m:r>
                    <m:t>k</m:t>
                  </m:r>
                </m:e>
                <m:sub>
                  <m:r>
                    <m:t>g</m:t>
                  </m:r>
                </m:sub>
              </m:sSub>
            </m:oMath>
          </w:p>
        </w:tc>
        <w:tc>
          <w:tcPr>
            <w:tcW w:type="dxa" w:w="5617"/>
          </w:tcPr>
          <w:p>
            <w:pPr>
              <w:pStyle w:val="Compact"/>
              <w:jc w:val="left"/>
            </w:pPr>
            <w:r>
              <w:t xml:space="preserve">rotational stiffness of a monolithic pier; girder stiffness against the pier-rotation pattern</w:t>
            </w:r>
            <w:r>
              <w:t xml:space="preserve"> </w:t>
            </w:r>
            <m:oMath>
              <m:sSub>
                <m:e>
                  <m:r>
                    <m:t>θ</m:t>
                  </m:r>
                </m:e>
                <m:sub>
                  <m:r>
                    <m:t>6</m:t>
                  </m:r>
                </m:sub>
              </m:sSub>
              <m:r>
                <m:rPr>
                  <m:sty m:val="p"/>
                </m:rPr>
                <m:t>=</m:t>
              </m:r>
              <m:r>
                <m:rPr>
                  <m:sty m:val="p"/>
                </m:rPr>
                <m:t>−</m:t>
              </m:r>
              <m:sSub>
                <m:e>
                  <m:r>
                    <m:t>θ</m:t>
                  </m:r>
                </m:e>
                <m:sub>
                  <m:r>
                    <m:t>7</m:t>
                  </m:r>
                </m:sub>
              </m:sSub>
            </m:oMath>
            <w:r>
              <w:t xml:space="preserve"> </w:t>
            </w:r>
            <w:r>
              <w:t xml:space="preserve">(kN m/rad)</w:t>
            </w:r>
          </w:p>
        </w:tc>
      </w:tr>
      <w:tr>
        <w:trPr>
          <w:cantSplit/>
        </w:trPr>
        <w:tc>
          <w:tcPr>
            <w:tcW w:type="dxa" w:w="3452"/>
          </w:tcPr>
          <w:p>
            <w:pPr>
              <w:pStyle w:val="Compact"/>
              <w:jc w:val="left"/>
            </w:pPr>
            <m:oMath>
              <m:acc>
                <m:accPr>
                  <m:chr m:val="̂"/>
                </m:accPr>
                <m:e>
                  <m:r>
                    <m:t>k</m:t>
                  </m:r>
                </m:e>
              </m:acc>
            </m:oMath>
          </w:p>
        </w:tc>
        <w:tc>
          <w:tcPr>
            <w:tcW w:type="dxa" w:w="5617"/>
          </w:tcPr>
          <w:p>
            <w:pPr>
              <w:pStyle w:val="Compact"/>
              <w:jc w:val="left"/>
            </w:pPr>
            <w:r>
              <w:t xml:space="preserve">pier stiffness relative to the side-span rigidity,</w:t>
            </w:r>
            <w:r>
              <w:t xml:space="preserve"> </w:t>
            </w:r>
            <m:oMath>
              <m:r>
                <m:t>k</m:t>
              </m:r>
              <m:sSub>
                <m:e>
                  <m:r>
                    <m:t>L</m:t>
                  </m:r>
                </m:e>
                <m:sub>
                  <m:r>
                    <m:rPr>
                      <m:sty m:val="p"/>
                      <m:nor/>
                    </m:rPr>
                    <m:t>side</m:t>
                  </m:r>
                </m:sub>
              </m:sSub>
              <m:r>
                <m:rPr>
                  <m:sty m:val="p"/>
                </m:rPr>
                <m:t>/</m:t>
              </m:r>
              <m:r>
                <m:t>E</m:t>
              </m:r>
              <m:sSub>
                <m:e>
                  <m:r>
                    <m:t>I</m:t>
                  </m:r>
                </m:e>
                <m:sub>
                  <m:r>
                    <m:rPr>
                      <m:sty m:val="p"/>
                      <m:nor/>
                    </m:rPr>
                    <m:t>side</m:t>
                  </m:r>
                </m:sub>
              </m:sSub>
            </m:oMath>
          </w:p>
        </w:tc>
      </w:tr>
      <w:tr>
        <w:trPr>
          <w:cantSplit/>
        </w:trPr>
        <w:tc>
          <w:tcPr>
            <w:tcW w:type="dxa" w:w="3452"/>
          </w:tcPr>
          <w:p>
            <w:pPr>
              <w:pStyle w:val="Compact"/>
              <w:jc w:val="left"/>
            </w:pPr>
            <m:oMath>
              <m:sSub>
                <m:e>
                  <m:r>
                    <m:t>K</m:t>
                  </m:r>
                </m:e>
                <m:sub>
                  <m:r>
                    <m:t>g</m:t>
                  </m:r>
                </m:sub>
              </m:sSub>
            </m:oMath>
            <w:r>
              <w:t xml:space="preserve">,</w:t>
            </w:r>
            <w:r>
              <w:t xml:space="preserve"> </w:t>
            </w:r>
            <m:oMath>
              <m:sSub>
                <m:e>
                  <m:r>
                    <m:t>K</m:t>
                  </m:r>
                </m:e>
                <m:sub>
                  <m:r>
                    <m:t>p</m:t>
                  </m:r>
                </m:sub>
              </m:sSub>
            </m:oMath>
          </w:p>
        </w:tc>
        <w:tc>
          <w:tcPr>
            <w:tcW w:type="dxa" w:w="5617"/>
          </w:tcPr>
          <w:p>
            <w:pPr>
              <w:pStyle w:val="Compact"/>
              <w:jc w:val="left"/>
            </w:pPr>
            <w:r>
              <w:t xml:space="preserve">girder and pier parts of the stiffness matrix</w:t>
            </w:r>
          </w:p>
        </w:tc>
      </w:tr>
      <w:tr>
        <w:trPr>
          <w:cantSplit/>
        </w:trPr>
        <w:tc>
          <w:tcPr>
            <w:tcW w:type="dxa" w:w="3452"/>
          </w:tcPr>
          <w:p>
            <w:pPr>
              <w:pStyle w:val="Compact"/>
              <w:jc w:val="left"/>
            </w:pPr>
            <m:oMath>
              <m:r>
                <m:t>L</m:t>
              </m:r>
            </m:oMath>
          </w:p>
        </w:tc>
        <w:tc>
          <w:tcPr>
            <w:tcW w:type="dxa" w:w="5617"/>
          </w:tcPr>
          <w:p>
            <w:pPr>
              <w:pStyle w:val="Compact"/>
              <w:jc w:val="left"/>
            </w:pPr>
            <w:r>
              <w:t xml:space="preserve">length of the span containing the sensor, including the span of the laboratory beam (m)</w:t>
            </w:r>
          </w:p>
        </w:tc>
      </w:tr>
      <w:tr>
        <w:trPr>
          <w:cantSplit/>
        </w:trPr>
        <w:tc>
          <w:tcPr>
            <w:tcW w:type="dxa" w:w="3452"/>
          </w:tcPr>
          <w:p>
            <w:pPr>
              <w:pStyle w:val="Compact"/>
              <w:jc w:val="left"/>
            </w:pPr>
            <m:oMath>
              <m:sSub>
                <m:e>
                  <m:r>
                    <m:t>L</m:t>
                  </m:r>
                </m:e>
                <m:sub>
                  <m:r>
                    <m:t>p</m:t>
                  </m:r>
                </m:sub>
              </m:sSub>
            </m:oMath>
          </w:p>
        </w:tc>
        <w:tc>
          <w:tcPr>
            <w:tcW w:type="dxa" w:w="5617"/>
          </w:tcPr>
          <w:p>
            <w:pPr>
              <w:pStyle w:val="Compact"/>
              <w:jc w:val="left"/>
            </w:pPr>
            <w:r>
              <w:t xml:space="preserve">length of the loaded path (m)</w:t>
            </w:r>
          </w:p>
        </w:tc>
      </w:tr>
      <w:tr>
        <w:trPr>
          <w:cantSplit/>
        </w:trPr>
        <w:tc>
          <w:tcPr>
            <w:tcW w:type="dxa" w:w="3452"/>
          </w:tcPr>
          <w:p>
            <w:pPr>
              <w:pStyle w:val="Compact"/>
              <w:jc w:val="left"/>
            </w:pPr>
            <m:oMath>
              <m:sSub>
                <m:e>
                  <m:r>
                    <m:t>L</m:t>
                  </m:r>
                </m:e>
                <m:sub>
                  <m:r>
                    <m:rPr>
                      <m:sty m:val="p"/>
                      <m:nor/>
                    </m:rPr>
                    <m:t>v</m:t>
                  </m:r>
                </m:sub>
              </m:sSub>
            </m:oMath>
          </w:p>
        </w:tc>
        <w:tc>
          <w:tcPr>
            <w:tcW w:type="dxa" w:w="5617"/>
          </w:tcPr>
          <w:p>
            <w:pPr>
              <w:pStyle w:val="Compact"/>
              <w:jc w:val="left"/>
            </w:pPr>
            <w:r>
              <w:t xml:space="preserve">length of the parabolic haunch from each inner pier of the Mây Bridge model (base 44 m)</w:t>
            </w:r>
          </w:p>
        </w:tc>
      </w:tr>
      <w:tr>
        <w:trPr>
          <w:cantSplit/>
        </w:trPr>
        <w:tc>
          <w:tcPr>
            <w:tcW w:type="dxa" w:w="3452"/>
          </w:tcPr>
          <w:p>
            <w:pPr>
              <w:pStyle w:val="Compact"/>
              <w:jc w:val="left"/>
            </w:pPr>
            <m:oMath>
              <m:sSub>
                <m:e>
                  <m:r>
                    <m:t>L</m:t>
                  </m:r>
                </m:e>
                <m:sub>
                  <m:r>
                    <m:rPr>
                      <m:sty m:val="p"/>
                      <m:nor/>
                    </m:rPr>
                    <m:t>tot</m:t>
                  </m:r>
                </m:sub>
              </m:sSub>
            </m:oMath>
          </w:p>
        </w:tc>
        <w:tc>
          <w:tcPr>
            <w:tcW w:type="dxa" w:w="5617"/>
          </w:tcPr>
          <w:p>
            <w:pPr>
              <w:pStyle w:val="Compact"/>
              <w:jc w:val="left"/>
            </w:pPr>
            <w:r>
              <w:t xml:space="preserve">length of the integration record (m)</w:t>
            </w:r>
          </w:p>
        </w:tc>
      </w:tr>
      <w:tr>
        <w:trPr>
          <w:cantSplit/>
        </w:trPr>
        <w:tc>
          <w:tcPr>
            <w:tcW w:type="dxa" w:w="3452"/>
          </w:tcPr>
          <w:p>
            <w:pPr>
              <w:pStyle w:val="Compact"/>
              <w:jc w:val="left"/>
            </w:pPr>
            <m:oMath>
              <m:sSub>
                <m:e>
                  <m:r>
                    <m:t>M</m:t>
                  </m:r>
                </m:e>
                <m:sub>
                  <m:r>
                    <m:t>q</m:t>
                  </m:r>
                </m:sub>
              </m:sSub>
            </m:oMath>
          </w:p>
        </w:tc>
        <w:tc>
          <w:tcPr>
            <w:tcW w:type="dxa" w:w="5617"/>
          </w:tcPr>
          <w:p>
            <w:pPr>
              <w:pStyle w:val="Compact"/>
              <w:jc w:val="left"/>
            </w:pPr>
            <w:r>
              <w:t xml:space="preserve">bending moment under a uniform load</w:t>
            </w:r>
            <w:r>
              <w:t xml:space="preserve"> </w:t>
            </w:r>
            <m:oMath>
              <m:sSub>
                <m:e>
                  <m:r>
                    <m:t>q</m:t>
                  </m:r>
                </m:e>
                <m:sub>
                  <m:r>
                    <m:t>0</m:t>
                  </m:r>
                </m:sub>
              </m:sSub>
            </m:oMath>
            <w:r>
              <w:t xml:space="preserve"> </w:t>
            </w:r>
            <w:r>
              <w:t xml:space="preserve">over the whole path</w:t>
            </w:r>
          </w:p>
        </w:tc>
      </w:tr>
      <w:tr>
        <w:trPr>
          <w:cantSplit/>
        </w:trPr>
        <w:tc>
          <w:tcPr>
            <w:tcW w:type="dxa" w:w="3452"/>
          </w:tcPr>
          <w:p>
            <w:pPr>
              <w:pStyle w:val="Compact"/>
              <w:jc w:val="left"/>
            </w:pPr>
            <m:oMath>
              <m:sSub>
                <m:e>
                  <m:acc>
                    <m:accPr>
                      <m:chr m:val="¯"/>
                    </m:accPr>
                    <m:e>
                      <m:r>
                        <m:t>M</m:t>
                      </m:r>
                    </m:e>
                  </m:acc>
                </m:e>
                <m:sub>
                  <m:r>
                    <m:t>l</m:t>
                  </m:r>
                </m:sub>
              </m:sSub>
            </m:oMath>
            <w:r>
              <w:t xml:space="preserve">,</w:t>
            </w:r>
            <w:r>
              <w:t xml:space="preserve"> </w:t>
            </w:r>
            <m:oMath>
              <m:sSub>
                <m:e>
                  <m:acc>
                    <m:accPr>
                      <m:chr m:val="¯"/>
                    </m:accPr>
                    <m:e>
                      <m:r>
                        <m:t>M</m:t>
                      </m:r>
                    </m:e>
                  </m:acc>
                </m:e>
                <m:sub>
                  <m:r>
                    <m:t>r</m:t>
                  </m:r>
                </m:sub>
              </m:sSub>
            </m:oMath>
          </w:p>
        </w:tc>
        <w:tc>
          <w:tcPr>
            <w:tcW w:type="dxa" w:w="5617"/>
          </w:tcPr>
          <w:p>
            <w:pPr>
              <w:pStyle w:val="Compact"/>
              <w:jc w:val="left"/>
            </w:pPr>
            <w:r>
              <w:t xml:space="preserve">normalized end moments</w:t>
            </w:r>
            <w:r>
              <w:t xml:space="preserve"> </w:t>
            </w:r>
            <m:oMath>
              <m:r>
                <m:rPr>
                  <m:sty m:val="p"/>
                </m:rPr>
                <m:t>−</m:t>
              </m:r>
              <m:r>
                <m:t>8</m:t>
              </m:r>
              <m:r>
                <m:t>M</m:t>
              </m:r>
              <m:r>
                <m:rPr>
                  <m:sty m:val="p"/>
                </m:rPr>
                <m:t>/</m:t>
              </m:r>
              <m:d>
                <m:dPr>
                  <m:begChr m:val="("/>
                  <m:endChr m:val=")"/>
                  <m:grow/>
                </m:dPr>
                <m:e>
                  <m:sSub>
                    <m:e>
                      <m:r>
                        <m:t>q</m:t>
                      </m:r>
                    </m:e>
                    <m:sub>
                      <m:r>
                        <m:t>0</m:t>
                      </m:r>
                    </m:sub>
                  </m:sSub>
                  <m:sSup>
                    <m:e>
                      <m:r>
                        <m:t>L</m:t>
                      </m:r>
                    </m:e>
                    <m:sup>
                      <m:r>
                        <m:t>2</m:t>
                      </m:r>
                    </m:sup>
                  </m:sSup>
                </m:e>
              </m:d>
            </m:oMath>
            <w:r>
              <w:t xml:space="preserve"> </w:t>
            </w:r>
            <w:r>
              <w:t xml:space="preserve">at the left and right ends of a span (positive for hogging)</w:t>
            </w:r>
          </w:p>
        </w:tc>
      </w:tr>
      <w:tr>
        <w:trPr>
          <w:cantSplit/>
        </w:trPr>
        <w:tc>
          <w:tcPr>
            <w:tcW w:type="dxa" w:w="3452"/>
          </w:tcPr>
          <w:p>
            <w:pPr>
              <w:pStyle w:val="Compact"/>
              <w:jc w:val="left"/>
            </w:pPr>
            <m:oMath>
              <m:r>
                <m:t>n</m:t>
              </m:r>
            </m:oMath>
            <w:r>
              <w:t xml:space="preserve">,</w:t>
            </w:r>
            <w:r>
              <w:t xml:space="preserve"> </w:t>
            </w:r>
            <m:oMath>
              <m:sSub>
                <m:e>
                  <m:r>
                    <m:t>n</m:t>
                  </m:r>
                </m:e>
                <m:sub>
                  <m:r>
                    <m:t>j</m:t>
                  </m:r>
                </m:sub>
              </m:sSub>
            </m:oMath>
          </w:p>
        </w:tc>
        <w:tc>
          <w:tcPr>
            <w:tcW w:type="dxa" w:w="5617"/>
          </w:tcPr>
          <w:p>
            <w:pPr>
              <w:pStyle w:val="Compact"/>
              <w:jc w:val="left"/>
            </w:pPr>
            <w:r>
              <w:t xml:space="preserve">number of axles, Eq. (1); noise term of the integral of channel</w:t>
            </w:r>
            <w:r>
              <w:t xml:space="preserve"> </w:t>
            </w:r>
            <m:oMath>
              <m:r>
                <m:t>j</m:t>
              </m:r>
            </m:oMath>
            <w:r>
              <w:t xml:space="preserve"> </w:t>
            </w:r>
            <w:r>
              <w:t xml:space="preserve">(Section 2.4)</w:t>
            </w:r>
          </w:p>
        </w:tc>
      </w:tr>
      <w:tr>
        <w:trPr>
          <w:cantSplit/>
        </w:trPr>
        <w:tc>
          <w:tcPr>
            <w:tcW w:type="dxa" w:w="3452"/>
          </w:tcPr>
          <w:p>
            <w:pPr>
              <w:pStyle w:val="Compact"/>
              <w:jc w:val="left"/>
            </w:pPr>
            <m:oMath>
              <m:sSub>
                <m:e>
                  <m:r>
                    <m:t>N</m:t>
                  </m:r>
                </m:e>
                <m:sub>
                  <m:r>
                    <m:t>w</m:t>
                  </m:r>
                </m:sub>
              </m:sSub>
            </m:oMath>
            <w:r>
              <w:t xml:space="preserve">,</w:t>
            </w:r>
            <w:r>
              <w:t xml:space="preserve"> </w:t>
            </w:r>
            <m:oMath>
              <m:sSub>
                <m:e>
                  <m:r>
                    <m:t>N</m:t>
                  </m:r>
                </m:e>
                <m:sub>
                  <m:r>
                    <m:t>M</m:t>
                  </m:r>
                </m:sub>
              </m:sSub>
            </m:oMath>
          </w:p>
        </w:tc>
        <w:tc>
          <w:tcPr>
            <w:tcW w:type="dxa" w:w="5617"/>
          </w:tcPr>
          <w:p>
            <w:pPr>
              <w:pStyle w:val="Compact"/>
              <w:jc w:val="left"/>
            </w:pPr>
            <w:r>
              <w:t xml:space="preserve">deflection and strain (moment) indicators, Eqs. (8) and (7)</w:t>
            </w:r>
          </w:p>
        </w:tc>
      </w:tr>
      <w:tr>
        <w:trPr>
          <w:cantSplit/>
        </w:trPr>
        <w:tc>
          <w:tcPr>
            <w:tcW w:type="dxa" w:w="3452"/>
          </w:tcPr>
          <w:p>
            <w:pPr>
              <w:pStyle w:val="Compact"/>
              <w:jc w:val="left"/>
            </w:pPr>
            <m:oMath>
              <m:sSub>
                <m:e>
                  <m:r>
                    <m:t>N</m:t>
                  </m:r>
                </m:e>
                <m:sub>
                  <m:r>
                    <m:t>ε</m:t>
                  </m:r>
                </m:sub>
              </m:sSub>
            </m:oMath>
          </w:p>
        </w:tc>
        <w:tc>
          <w:tcPr>
            <w:tcW w:type="dxa" w:w="5617"/>
          </w:tcPr>
          <w:p>
            <w:pPr>
              <w:pStyle w:val="Compact"/>
              <w:jc w:val="left"/>
            </w:pPr>
            <w:r>
              <w:t xml:space="preserve">strain indicator including the gain,</w:t>
            </w:r>
            <w:r>
              <w:t xml:space="preserve"> </w:t>
            </w:r>
            <m:oMath>
              <m:sSub>
                <m:e>
                  <m:r>
                    <m:t>N</m:t>
                  </m:r>
                </m:e>
                <m:sub>
                  <m:r>
                    <m:t>M</m:t>
                  </m:r>
                </m:sub>
              </m:sSub>
              <m:d>
                <m:dPr>
                  <m:begChr m:val="("/>
                  <m:endChr m:val=")"/>
                  <m:grow/>
                </m:dPr>
                <m:e>
                  <m:r>
                    <m:t>c</m:t>
                  </m:r>
                  <m:r>
                    <m:rPr>
                      <m:sty m:val="p"/>
                    </m:rPr>
                    <m:t>/</m:t>
                  </m:r>
                  <m:r>
                    <m:t>E</m:t>
                  </m:r>
                  <m:r>
                    <m:t>I</m:t>
                  </m:r>
                </m:e>
              </m:d>
              <m:r>
                <m:rPr>
                  <m:sty m:val="p"/>
                </m:rPr>
                <m:t>/</m:t>
              </m:r>
              <m:sSub>
                <m:e>
                  <m:d>
                    <m:dPr>
                      <m:begChr m:val="("/>
                      <m:endChr m:val=")"/>
                      <m:grow/>
                    </m:dPr>
                    <m:e>
                      <m:r>
                        <m:t>c</m:t>
                      </m:r>
                      <m:r>
                        <m:rPr>
                          <m:sty m:val="p"/>
                        </m:rPr>
                        <m:t>/</m:t>
                      </m:r>
                      <m:r>
                        <m:t>E</m:t>
                      </m:r>
                      <m:r>
                        <m:t>I</m:t>
                      </m:r>
                    </m:e>
                  </m:d>
                </m:e>
                <m:sub>
                  <m:r>
                    <m:rPr>
                      <m:sty m:val="p"/>
                      <m:nor/>
                    </m:rPr>
                    <m:t>mid</m:t>
                  </m:r>
                </m:sub>
              </m:sSub>
            </m:oMath>
            <w:r>
              <w:t xml:space="preserve"> </w:t>
            </w:r>
            <w:r>
              <w:t xml:space="preserve">(main-text Fig. 6c)</w:t>
            </w:r>
          </w:p>
        </w:tc>
      </w:tr>
      <w:tr>
        <w:trPr>
          <w:cantSplit/>
        </w:trPr>
        <w:tc>
          <w:tcPr>
            <w:tcW w:type="dxa" w:w="3452"/>
          </w:tcPr>
          <w:p>
            <w:pPr>
              <w:pStyle w:val="Compact"/>
              <w:jc w:val="left"/>
            </w:pPr>
            <m:oMath>
              <m:sSub>
                <m:e>
                  <m:r>
                    <m:t>N</m:t>
                  </m:r>
                </m:e>
                <m:sub>
                  <m:r>
                    <m:t>θ</m:t>
                  </m:r>
                </m:sub>
              </m:sSub>
            </m:oMath>
            <w:r>
              <w:t xml:space="preserve">,</w:t>
            </w:r>
            <w:r>
              <w:t xml:space="preserve"> </w:t>
            </w:r>
            <m:oMath>
              <m:sSub>
                <m:e>
                  <m:r>
                    <m:t>N</m:t>
                  </m:r>
                </m:e>
                <m:sub>
                  <m:r>
                    <m:t>V</m:t>
                  </m:r>
                </m:sub>
              </m:sSub>
            </m:oMath>
            <w:r>
              <w:t xml:space="preserve">,</w:t>
            </w:r>
            <w:r>
              <w:t xml:space="preserve"> </w:t>
            </w:r>
            <m:oMath>
              <m:sSub>
                <m:e>
                  <m:r>
                    <m:t>N</m:t>
                  </m:r>
                </m:e>
                <m:sub>
                  <m:r>
                    <m:t>F</m:t>
                  </m:r>
                </m:sub>
              </m:sSub>
            </m:oMath>
          </w:p>
        </w:tc>
        <w:tc>
          <w:tcPr>
            <w:tcW w:type="dxa" w:w="5617"/>
          </w:tcPr>
          <w:p>
            <w:pPr>
              <w:pStyle w:val="Compact"/>
              <w:jc w:val="left"/>
            </w:pPr>
            <w:r>
              <w:t xml:space="preserve">rotation, shear and end-reaction indicators (Section 2.2, Section S3)</w:t>
            </w:r>
          </w:p>
        </w:tc>
      </w:tr>
      <w:tr>
        <w:trPr>
          <w:cantSplit/>
        </w:trPr>
        <w:tc>
          <w:tcPr>
            <w:tcW w:type="dxa" w:w="3452"/>
          </w:tcPr>
          <w:p>
            <w:pPr>
              <w:pStyle w:val="Compact"/>
              <w:jc w:val="left"/>
            </w:pPr>
            <m:oMath>
              <m:sSub>
                <m:e>
                  <m:r>
                    <m:t>P</m:t>
                  </m:r>
                </m:e>
                <m:sub>
                  <m:r>
                    <m:t>i</m:t>
                  </m:r>
                </m:sub>
              </m:sSub>
            </m:oMath>
          </w:p>
        </w:tc>
        <w:tc>
          <w:tcPr>
            <w:tcW w:type="dxa" w:w="5617"/>
          </w:tcPr>
          <w:p>
            <w:pPr>
              <w:pStyle w:val="Compact"/>
              <w:jc w:val="left"/>
            </w:pPr>
            <w:r>
              <w:t xml:space="preserve">load of axle</w:t>
            </w:r>
            <w:r>
              <w:t xml:space="preserve"> </w:t>
            </w:r>
            <m:oMath>
              <m:r>
                <m:t>i</m:t>
              </m:r>
            </m:oMath>
            <w:r>
              <w:t xml:space="preserve">, Eq. (1) (kN)</w:t>
            </w:r>
          </w:p>
        </w:tc>
      </w:tr>
      <w:tr>
        <w:trPr>
          <w:cantSplit/>
        </w:trPr>
        <w:tc>
          <w:tcPr>
            <w:tcW w:type="dxa" w:w="3452"/>
          </w:tcPr>
          <w:p>
            <w:pPr>
              <w:pStyle w:val="Compact"/>
              <w:jc w:val="left"/>
            </w:pPr>
            <m:oMath>
              <m:sSub>
                <m:e>
                  <m:r>
                    <m:t>P</m:t>
                  </m:r>
                </m:e>
                <m:sub>
                  <m:r>
                    <m:rPr>
                      <m:sty m:val="p"/>
                      <m:nor/>
                    </m:rPr>
                    <m:t>tot</m:t>
                  </m:r>
                </m:sub>
              </m:sSub>
            </m:oMath>
            <w:r>
              <w:t xml:space="preserve">,</w:t>
            </w:r>
            <w:r>
              <w:t xml:space="preserve"> </w:t>
            </w:r>
            <m:oMath>
              <m:sSub>
                <m:e>
                  <m:r>
                    <m:t>P</m:t>
                  </m:r>
                </m:e>
                <m:sub>
                  <m:r>
                    <m:t>0</m:t>
                  </m:r>
                </m:sub>
              </m:sSub>
            </m:oMath>
          </w:p>
        </w:tc>
        <w:tc>
          <w:tcPr>
            <w:tcW w:type="dxa" w:w="5617"/>
          </w:tcPr>
          <w:p>
            <w:pPr>
              <w:pStyle w:val="Compact"/>
              <w:jc w:val="left"/>
            </w:pPr>
            <w:r>
              <w:t xml:space="preserve">total load of a crossing; weighed reference load (kN)</w:t>
            </w:r>
          </w:p>
        </w:tc>
      </w:tr>
      <w:tr>
        <w:trPr>
          <w:cantSplit/>
        </w:trPr>
        <w:tc>
          <w:tcPr>
            <w:tcW w:type="dxa" w:w="3452"/>
          </w:tcPr>
          <w:p>
            <w:pPr>
              <w:pStyle w:val="Compact"/>
              <w:jc w:val="left"/>
            </w:pPr>
            <m:oMath>
              <m:sSub>
                <m:e>
                  <m:r>
                    <m:t>P</m:t>
                  </m:r>
                </m:e>
                <m:sub>
                  <m:r>
                    <m:t>t</m:t>
                  </m:r>
                </m:sub>
              </m:sSub>
            </m:oMath>
            <w:r>
              <w:t xml:space="preserve">,</w:t>
            </w:r>
            <w:r>
              <w:t xml:space="preserve"> </w:t>
            </w:r>
            <m:oMath>
              <m:sSub>
                <m:e>
                  <m:r>
                    <m:t>J</m:t>
                  </m:r>
                </m:e>
                <m:sub>
                  <m:r>
                    <m:t>t</m:t>
                  </m:r>
                </m:sub>
              </m:sSub>
            </m:oMath>
            <w:r>
              <w:t xml:space="preserve">,</w:t>
            </w:r>
            <w:r>
              <w:t xml:space="preserve"> </w:t>
            </w:r>
            <m:oMath>
              <m:sSub>
                <m:e>
                  <m:r>
                    <m:t>J</m:t>
                  </m:r>
                </m:e>
                <m:sub>
                  <m:r>
                    <m:t>0</m:t>
                  </m:r>
                </m:sub>
              </m:sSub>
            </m:oMath>
          </w:p>
        </w:tc>
        <w:tc>
          <w:tcPr>
            <w:tcW w:type="dxa" w:w="5617"/>
          </w:tcPr>
          <w:p>
            <w:pPr>
              <w:pStyle w:val="Compact"/>
              <w:jc w:val="left"/>
            </w:pPr>
            <w:r>
              <w:t xml:space="preserve">load and record integral of a target crossing; record integral of the reference crossing</w:t>
            </w:r>
          </w:p>
        </w:tc>
      </w:tr>
      <w:tr>
        <w:trPr>
          <w:cantSplit/>
        </w:trPr>
        <w:tc>
          <w:tcPr>
            <w:tcW w:type="dxa" w:w="3452"/>
          </w:tcPr>
          <w:p>
            <w:pPr>
              <w:pStyle w:val="Compact"/>
              <w:jc w:val="left"/>
            </w:pPr>
            <m:oMath>
              <m:sSub>
                <m:e>
                  <m:r>
                    <m:t>P</m:t>
                  </m:r>
                </m:e>
                <m:sub>
                  <m:r>
                    <m:t>δ</m:t>
                  </m:r>
                </m:sub>
              </m:sSub>
            </m:oMath>
          </w:p>
        </w:tc>
        <w:tc>
          <w:tcPr>
            <w:tcW w:type="dxa" w:w="5617"/>
          </w:tcPr>
          <w:p>
            <w:pPr>
              <w:pStyle w:val="Compact"/>
              <w:jc w:val="left"/>
            </w:pPr>
            <w:r>
              <w:t xml:space="preserve">offset-equivalent load</w:t>
            </w:r>
            <w:r>
              <w:t xml:space="preserve"> </w:t>
            </w:r>
            <m:oMath>
              <m:sSub>
                <m:e>
                  <m:r>
                    <m:t>δ</m:t>
                  </m:r>
                </m:e>
                <m:sub>
                  <m:r>
                    <m:t>0</m:t>
                  </m:r>
                </m:sub>
              </m:sSub>
              <m:sSub>
                <m:e>
                  <m:r>
                    <m:t>L</m:t>
                  </m:r>
                </m:e>
                <m:sub>
                  <m:r>
                    <m:rPr>
                      <m:sty m:val="p"/>
                      <m:nor/>
                    </m:rPr>
                    <m:t>tot</m:t>
                  </m:r>
                </m:sub>
              </m:sSub>
              <m:r>
                <m:rPr>
                  <m:sty m:val="p"/>
                </m:rPr>
                <m:t>/</m:t>
              </m:r>
              <m:r>
                <m:t>C</m:t>
              </m:r>
            </m:oMath>
            <w:r>
              <w:t xml:space="preserve"> </w:t>
            </w:r>
            <w:r>
              <w:t xml:space="preserve">(kN)</w:t>
            </w:r>
          </w:p>
        </w:tc>
      </w:tr>
      <w:tr>
        <w:trPr>
          <w:cantSplit/>
        </w:trPr>
        <w:tc>
          <w:tcPr>
            <w:tcW w:type="dxa" w:w="3452"/>
          </w:tcPr>
          <w:p>
            <w:pPr>
              <w:pStyle w:val="Compact"/>
              <w:jc w:val="left"/>
            </w:pPr>
            <m:oMath>
              <m:sSub>
                <m:e>
                  <m:r>
                    <m:t>q</m:t>
                  </m:r>
                </m:e>
                <m:sub>
                  <m:r>
                    <m:t>0</m:t>
                  </m:r>
                </m:sub>
              </m:sSub>
            </m:oMath>
          </w:p>
        </w:tc>
        <w:tc>
          <w:tcPr>
            <w:tcW w:type="dxa" w:w="5617"/>
          </w:tcPr>
          <w:p>
            <w:pPr>
              <w:pStyle w:val="Compact"/>
              <w:jc w:val="left"/>
            </w:pPr>
            <w:r>
              <w:t xml:space="preserve">intensity of a uniform load over the whole path (kN/m)</w:t>
            </w:r>
          </w:p>
        </w:tc>
      </w:tr>
      <w:tr>
        <w:trPr>
          <w:cantSplit/>
        </w:trPr>
        <w:tc>
          <w:tcPr>
            <w:tcW w:type="dxa" w:w="3452"/>
          </w:tcPr>
          <w:p>
            <w:pPr>
              <w:pStyle w:val="Compact"/>
              <w:jc w:val="left"/>
            </w:pPr>
            <m:oMath>
              <m:r>
                <m:t>R</m:t>
              </m:r>
            </m:oMath>
          </w:p>
        </w:tc>
        <w:tc>
          <w:tcPr>
            <w:tcW w:type="dxa" w:w="5617"/>
          </w:tcPr>
          <w:p>
            <w:pPr>
              <w:pStyle w:val="Compact"/>
              <w:jc w:val="left"/>
            </w:pPr>
            <w:r>
              <w:t xml:space="preserve">cancellation ratio</w:t>
            </w:r>
            <w:r>
              <w:t xml:space="preserve"> </w:t>
            </w:r>
            <m:oMath>
              <m:r>
                <m:t>C</m:t>
              </m:r>
              <m:r>
                <m:rPr>
                  <m:sty m:val="p"/>
                </m:rPr>
                <m:t>/</m:t>
              </m:r>
              <m:sSup>
                <m:e>
                  <m:r>
                    <m:t>A</m:t>
                  </m:r>
                </m:e>
                <m:sup>
                  <m:r>
                    <m:rPr>
                      <m:nor/>
                    </m:rPr>
                    <m:t>+</m:t>
                  </m:r>
                </m:sup>
              </m:sSup>
            </m:oMath>
          </w:p>
        </w:tc>
      </w:tr>
      <w:tr>
        <w:trPr>
          <w:cantSplit/>
        </w:trPr>
        <w:tc>
          <w:tcPr>
            <w:tcW w:type="dxa" w:w="3452"/>
          </w:tcPr>
          <w:p>
            <w:pPr>
              <w:pStyle w:val="Compact"/>
              <w:jc w:val="left"/>
            </w:pPr>
            <m:oMath>
              <m:sSub>
                <m:e>
                  <m:r>
                    <m:t>r</m:t>
                  </m:r>
                </m:e>
                <m:sub>
                  <m:r>
                    <m:t>87</m:t>
                  </m:r>
                </m:sub>
              </m:sSub>
            </m:oMath>
          </w:p>
        </w:tc>
        <w:tc>
          <w:tcPr>
            <w:tcW w:type="dxa" w:w="5617"/>
          </w:tcPr>
          <w:p>
            <w:pPr>
              <w:pStyle w:val="Compact"/>
              <w:jc w:val="left"/>
            </w:pPr>
            <w:r>
              <w:t xml:space="preserve">measured-to-model ratio at gauge N8 divided by that at gauge N7;</w:t>
            </w:r>
            <w:r>
              <w:t xml:space="preserve"> </w:t>
            </w:r>
            <m:oMath>
              <m:sSub>
                <m:e>
                  <m:r>
                    <m:t>r</m:t>
                  </m:r>
                </m:e>
                <m:sub>
                  <m:r>
                    <m:t>87</m:t>
                  </m:r>
                </m:sub>
              </m:sSub>
              <m:r>
                <m:rPr>
                  <m:sty m:val="p"/>
                </m:rPr>
                <m:t>=</m:t>
              </m:r>
              <m:r>
                <m:t>1</m:t>
              </m:r>
            </m:oMath>
            <w:r>
              <w:t xml:space="preserve"> </w:t>
            </w:r>
            <w:r>
              <w:t xml:space="preserve">when one model fits both gauges</w:t>
            </w:r>
          </w:p>
        </w:tc>
      </w:tr>
      <w:tr>
        <w:trPr>
          <w:cantSplit/>
        </w:trPr>
        <w:tc>
          <w:tcPr>
            <w:tcW w:type="dxa" w:w="3452"/>
          </w:tcPr>
          <w:p>
            <w:pPr>
              <w:pStyle w:val="Compact"/>
              <w:jc w:val="left"/>
            </w:pPr>
            <m:oMath>
              <m:sSub>
                <m:e>
                  <m:r>
                    <m:t>S</m:t>
                  </m:r>
                </m:e>
                <m:sub>
                  <m:r>
                    <m:t>α</m:t>
                  </m:r>
                </m:sub>
              </m:sSub>
            </m:oMath>
            <w:r>
              <w:t xml:space="preserve">,</w:t>
            </w:r>
            <w:r>
              <w:t xml:space="preserve"> </w:t>
            </w:r>
            <m:oMath>
              <m:sSub>
                <m:e>
                  <m:r>
                    <m:t>S</m:t>
                  </m:r>
                </m:e>
                <m:sub>
                  <m:r>
                    <m:t>k</m:t>
                  </m:r>
                </m:sub>
              </m:sSub>
            </m:oMath>
          </w:p>
        </w:tc>
        <w:tc>
          <w:tcPr>
            <w:tcW w:type="dxa" w:w="5617"/>
          </w:tcPr>
          <w:p>
            <w:pPr>
              <w:pStyle w:val="Compact"/>
              <w:jc w:val="left"/>
            </w:pPr>
            <w:r>
              <w:t xml:space="preserve">logarithmic sensitivities</w:t>
            </w:r>
            <w:r>
              <w:t xml:space="preserve"> </w:t>
            </w:r>
            <m:oMath>
              <m:r>
                <m:rPr>
                  <m:sty m:val="p"/>
                </m:rPr>
                <m:t>∂</m:t>
              </m:r>
              <m:r>
                <m:rPr>
                  <m:sty m:val="p"/>
                  <m:nor/>
                </m:rPr>
                <m:t>ln</m:t>
              </m:r>
              <m:sSub>
                <m:e>
                  <m:r>
                    <m:t>C</m:t>
                  </m:r>
                </m:e>
                <m:sub>
                  <m:r>
                    <m:t>m</m:t>
                  </m:r>
                </m:sub>
              </m:sSub>
              <m:r>
                <m:rPr>
                  <m:sty m:val="p"/>
                </m:rPr>
                <m:t>/</m:t>
              </m:r>
              <m:r>
                <m:rPr>
                  <m:sty m:val="p"/>
                </m:rPr>
                <m:t>∂</m:t>
              </m:r>
              <m:r>
                <m:rPr>
                  <m:sty m:val="p"/>
                  <m:nor/>
                </m:rPr>
                <m:t>ln</m:t>
              </m:r>
              <m:r>
                <m:t>α</m:t>
              </m:r>
            </m:oMath>
            <w:r>
              <w:t xml:space="preserve">,</w:t>
            </w:r>
            <w:r>
              <w:t xml:space="preserve"> </w:t>
            </w:r>
            <m:oMath>
              <m:r>
                <m:rPr>
                  <m:sty m:val="p"/>
                </m:rPr>
                <m:t>∂</m:t>
              </m:r>
              <m:r>
                <m:rPr>
                  <m:sty m:val="p"/>
                  <m:nor/>
                </m:rPr>
                <m:t>ln</m:t>
              </m:r>
              <m:sSub>
                <m:e>
                  <m:r>
                    <m:t>C</m:t>
                  </m:r>
                </m:e>
                <m:sub>
                  <m:r>
                    <m:t>m</m:t>
                  </m:r>
                </m:sub>
              </m:sSub>
              <m:r>
                <m:rPr>
                  <m:sty m:val="p"/>
                </m:rPr>
                <m:t>/</m:t>
              </m:r>
              <m:r>
                <m:rPr>
                  <m:sty m:val="p"/>
                </m:rPr>
                <m:t>∂</m:t>
              </m:r>
              <m:r>
                <m:rPr>
                  <m:sty m:val="p"/>
                  <m:nor/>
                </m:rPr>
                <m:t>ln</m:t>
              </m:r>
              <m:r>
                <m:t>k</m:t>
              </m:r>
            </m:oMath>
            <w:r>
              <w:t xml:space="preserve"> </w:t>
            </w:r>
            <w:r>
              <w:t xml:space="preserve">(Section S5)</w:t>
            </w:r>
          </w:p>
        </w:tc>
      </w:tr>
      <w:tr>
        <w:trPr>
          <w:cantSplit/>
        </w:trPr>
        <w:tc>
          <w:tcPr>
            <w:tcW w:type="dxa" w:w="3452"/>
          </w:tcPr>
          <w:p>
            <w:pPr>
              <w:pStyle w:val="Compact"/>
              <w:jc w:val="left"/>
            </w:pPr>
            <m:oMath>
              <m:sSub>
                <m:e>
                  <m:r>
                    <m:t>t</m:t>
                  </m:r>
                </m:e>
                <m:sub>
                  <m:r>
                    <m:rPr>
                      <m:sty m:val="p"/>
                      <m:nor/>
                    </m:rPr>
                    <m:t>cr</m:t>
                  </m:r>
                </m:sub>
              </m:sSub>
            </m:oMath>
          </w:p>
        </w:tc>
        <w:tc>
          <w:tcPr>
            <w:tcW w:type="dxa" w:w="5617"/>
          </w:tcPr>
          <w:p>
            <w:pPr>
              <w:pStyle w:val="Compact"/>
              <w:jc w:val="left"/>
            </w:pPr>
            <w:r>
              <w:t xml:space="preserve">duration of a crossing (s)</w:t>
            </w:r>
          </w:p>
        </w:tc>
      </w:tr>
      <w:tr>
        <w:trPr>
          <w:cantSplit/>
        </w:trPr>
        <w:tc>
          <w:tcPr>
            <w:tcW w:type="dxa" w:w="3452"/>
          </w:tcPr>
          <w:p>
            <w:pPr>
              <w:pStyle w:val="Compact"/>
              <w:jc w:val="left"/>
            </w:pPr>
            <m:oMath>
              <m:r>
                <m:t>w</m:t>
              </m:r>
            </m:oMath>
            <w:r>
              <w:t xml:space="preserve">,</w:t>
            </w:r>
            <w:r>
              <w:t xml:space="preserve"> </w:t>
            </w:r>
            <m:oMath>
              <m:sSub>
                <m:e>
                  <m:r>
                    <m:t>w</m:t>
                  </m:r>
                </m:e>
                <m:sub>
                  <m:r>
                    <m:t>q</m:t>
                  </m:r>
                </m:sub>
              </m:sSub>
            </m:oMath>
          </w:p>
        </w:tc>
        <w:tc>
          <w:tcPr>
            <w:tcW w:type="dxa" w:w="5617"/>
          </w:tcPr>
          <w:p>
            <w:pPr>
              <w:pStyle w:val="Compact"/>
              <w:jc w:val="left"/>
            </w:pPr>
            <w:r>
              <w:t xml:space="preserve">deflection; deflection under the uniform load</w:t>
            </w:r>
            <w:r>
              <w:t xml:space="preserve"> </w:t>
            </w:r>
            <m:oMath>
              <m:sSub>
                <m:e>
                  <m:r>
                    <m:t>q</m:t>
                  </m:r>
                </m:e>
                <m:sub>
                  <m:r>
                    <m:t>0</m:t>
                  </m:r>
                </m:sub>
              </m:sSub>
            </m:oMath>
            <w:r>
              <w:t xml:space="preserve"> </w:t>
            </w:r>
            <w:r>
              <w:t xml:space="preserve">over the whole path</w:t>
            </w:r>
          </w:p>
        </w:tc>
      </w:tr>
      <w:tr>
        <w:trPr>
          <w:cantSplit/>
        </w:trPr>
        <w:tc>
          <w:tcPr>
            <w:tcW w:type="dxa" w:w="3452"/>
          </w:tcPr>
          <w:p>
            <w:pPr>
              <w:pStyle w:val="Compact"/>
              <w:jc w:val="left"/>
            </w:pPr>
            <m:oMath>
              <m:r>
                <m:t>x</m:t>
              </m:r>
            </m:oMath>
            <w:r>
              <w:t xml:space="preserve">,</w:t>
            </w:r>
            <w:r>
              <w:t xml:space="preserve"> </w:t>
            </w:r>
            <m:oMath>
              <m:sSub>
                <m:e>
                  <m:r>
                    <m:t>x</m:t>
                  </m:r>
                </m:e>
                <m:sub>
                  <m:r>
                    <m:t>m</m:t>
                  </m:r>
                </m:sub>
              </m:sSub>
            </m:oMath>
          </w:p>
        </w:tc>
        <w:tc>
          <w:tcPr>
            <w:tcW w:type="dxa" w:w="5617"/>
          </w:tcPr>
          <w:p>
            <w:pPr>
              <w:pStyle w:val="Compact"/>
              <w:jc w:val="left"/>
            </w:pPr>
            <w:r>
              <w:t xml:space="preserve">coordinate along the path or span (in Eq. (1), position of the first axle); position of the sensor of channel</w:t>
            </w:r>
            <w:r>
              <w:t xml:space="preserve"> </w:t>
            </w:r>
            <m:oMath>
              <m:r>
                <m:t>m</m:t>
              </m:r>
            </m:oMath>
            <w:r>
              <w:t xml:space="preserve"> </w:t>
            </w:r>
            <w:r>
              <w:t xml:space="preserve">(m)</w:t>
            </w:r>
          </w:p>
        </w:tc>
      </w:tr>
      <w:tr>
        <w:trPr>
          <w:cantSplit/>
        </w:trPr>
        <w:tc>
          <w:tcPr>
            <w:tcW w:type="dxa" w:w="3452"/>
          </w:tcPr>
          <w:p>
            <w:pPr>
              <w:pStyle w:val="Compact"/>
              <w:jc w:val="left"/>
            </w:pPr>
            <m:oMath>
              <m:sSub>
                <m:e>
                  <m:r>
                    <m:t>y</m:t>
                  </m:r>
                </m:e>
                <m:sub>
                  <m:r>
                    <m:t>m</m:t>
                  </m:r>
                </m:sub>
              </m:sSub>
            </m:oMath>
          </w:p>
        </w:tc>
        <w:tc>
          <w:tcPr>
            <w:tcW w:type="dxa" w:w="5617"/>
          </w:tcPr>
          <w:p>
            <w:pPr>
              <w:pStyle w:val="Compact"/>
              <w:jc w:val="left"/>
            </w:pPr>
            <w:r>
              <w:t xml:space="preserve">record of the channel at</w:t>
            </w:r>
            <w:r>
              <w:t xml:space="preserve"> </w:t>
            </w:r>
            <m:oMath>
              <m:r>
                <m:t>m</m:t>
              </m:r>
            </m:oMath>
            <w:r>
              <w:t xml:space="preserve">, Eq. (1)</w:t>
            </w:r>
          </w:p>
        </w:tc>
      </w:tr>
      <w:tr>
        <w:trPr>
          <w:cantSplit/>
        </w:trPr>
        <w:tc>
          <w:tcPr>
            <w:tcW w:type="dxa" w:w="3452"/>
          </w:tcPr>
          <w:p>
            <w:pPr>
              <w:pStyle w:val="Compact"/>
              <w:jc w:val="left"/>
            </w:pPr>
            <m:oMath>
              <m:r>
                <m:t>α</m:t>
              </m:r>
            </m:oMath>
          </w:p>
        </w:tc>
        <w:tc>
          <w:tcPr>
            <w:tcW w:type="dxa" w:w="5617"/>
          </w:tcPr>
          <w:p>
            <w:pPr>
              <w:pStyle w:val="Compact"/>
              <w:jc w:val="left"/>
            </w:pPr>
            <w:r>
              <w:t xml:space="preserve">ratio of effective to design girder rigidity</w:t>
            </w:r>
          </w:p>
        </w:tc>
      </w:tr>
      <w:tr>
        <w:trPr>
          <w:cantSplit/>
        </w:trPr>
        <w:tc>
          <w:tcPr>
            <w:tcW w:type="dxa" w:w="3452"/>
          </w:tcPr>
          <w:p>
            <w:pPr>
              <w:pStyle w:val="Compact"/>
              <w:jc w:val="left"/>
            </w:pPr>
            <m:oMath>
              <m:r>
                <m:t>β</m:t>
              </m:r>
            </m:oMath>
          </w:p>
        </w:tc>
        <w:tc>
          <w:tcPr>
            <w:tcW w:type="dxa" w:w="5617"/>
          </w:tcPr>
          <w:p>
            <w:pPr>
              <w:pStyle w:val="Compact"/>
              <w:jc w:val="left"/>
            </w:pPr>
            <w:r>
              <w:t xml:space="preserve">main-to-side span ratio</w:t>
            </w:r>
            <w:r>
              <w:t xml:space="preserve"> </w:t>
            </w:r>
            <m:oMath>
              <m:sSub>
                <m:e>
                  <m:r>
                    <m:t>L</m:t>
                  </m:r>
                </m:e>
                <m:sub>
                  <m:r>
                    <m:rPr>
                      <m:sty m:val="p"/>
                      <m:nor/>
                    </m:rPr>
                    <m:t>main</m:t>
                  </m:r>
                </m:sub>
              </m:sSub>
              <m:r>
                <m:rPr>
                  <m:sty m:val="p"/>
                </m:rPr>
                <m:t>/</m:t>
              </m:r>
              <m:sSub>
                <m:e>
                  <m:r>
                    <m:t>L</m:t>
                  </m:r>
                </m:e>
                <m:sub>
                  <m:r>
                    <m:rPr>
                      <m:sty m:val="p"/>
                      <m:nor/>
                    </m:rPr>
                    <m:t>side</m:t>
                  </m:r>
                </m:sub>
              </m:sSub>
            </m:oMath>
            <w:r>
              <w:t xml:space="preserve"> </w:t>
            </w:r>
            <w:r>
              <w:t xml:space="preserve">(three spans)</w:t>
            </w:r>
          </w:p>
        </w:tc>
      </w:tr>
      <w:tr>
        <w:trPr>
          <w:cantSplit/>
        </w:trPr>
        <w:tc>
          <w:tcPr>
            <w:tcW w:type="dxa" w:w="3452"/>
          </w:tcPr>
          <w:p>
            <w:pPr>
              <w:pStyle w:val="Compact"/>
              <w:jc w:val="left"/>
            </w:pPr>
            <m:oMath>
              <m:r>
                <m:t>γ</m:t>
              </m:r>
            </m:oMath>
          </w:p>
        </w:tc>
        <w:tc>
          <w:tcPr>
            <w:tcW w:type="dxa" w:w="5617"/>
          </w:tcPr>
          <w:p>
            <w:pPr>
              <w:pStyle w:val="Compact"/>
              <w:jc w:val="left"/>
            </w:pPr>
            <w:r>
              <w:t xml:space="preserve">rigidity ratio:</w:t>
            </w:r>
            <w:r>
              <w:t xml:space="preserve"> </w:t>
            </w:r>
            <m:oMath>
              <m:r>
                <m:t>E</m:t>
              </m:r>
              <m:sSub>
                <m:e>
                  <m:r>
                    <m:t>I</m:t>
                  </m:r>
                </m:e>
                <m:sub>
                  <m:r>
                    <m:t>2</m:t>
                  </m:r>
                </m:sub>
              </m:sSub>
              <m:r>
                <m:rPr>
                  <m:sty m:val="p"/>
                </m:rPr>
                <m:t>/</m:t>
              </m:r>
              <m:r>
                <m:t>E</m:t>
              </m:r>
              <m:sSub>
                <m:e>
                  <m:r>
                    <m:t>I</m:t>
                  </m:r>
                </m:e>
                <m:sub>
                  <m:r>
                    <m:t>1</m:t>
                  </m:r>
                </m:sub>
              </m:sSub>
            </m:oMath>
            <w:r>
              <w:t xml:space="preserve"> </w:t>
            </w:r>
            <w:r>
              <w:t xml:space="preserve">(two spans, span 1 instrumented);</w:t>
            </w:r>
            <w:r>
              <w:t xml:space="preserve"> </w:t>
            </w:r>
            <m:oMath>
              <m:r>
                <m:t>E</m:t>
              </m:r>
              <m:sSub>
                <m:e>
                  <m:r>
                    <m:t>I</m:t>
                  </m:r>
                </m:e>
                <m:sub>
                  <m:r>
                    <m:rPr>
                      <m:sty m:val="p"/>
                      <m:nor/>
                    </m:rPr>
                    <m:t>main</m:t>
                  </m:r>
                </m:sub>
              </m:sSub>
              <m:r>
                <m:rPr>
                  <m:sty m:val="p"/>
                </m:rPr>
                <m:t>/</m:t>
              </m:r>
              <m:r>
                <m:t>E</m:t>
              </m:r>
              <m:sSub>
                <m:e>
                  <m:r>
                    <m:t>I</m:t>
                  </m:r>
                </m:e>
                <m:sub>
                  <m:r>
                    <m:rPr>
                      <m:sty m:val="p"/>
                      <m:nor/>
                    </m:rPr>
                    <m:t>side</m:t>
                  </m:r>
                </m:sub>
              </m:sSub>
            </m:oMath>
            <w:r>
              <w:t xml:space="preserve"> </w:t>
            </w:r>
            <w:r>
              <w:t xml:space="preserve">(three spans)</w:t>
            </w:r>
          </w:p>
        </w:tc>
      </w:tr>
      <w:tr>
        <w:trPr>
          <w:cantSplit/>
        </w:trPr>
        <w:tc>
          <w:tcPr>
            <w:tcW w:type="dxa" w:w="3452"/>
          </w:tcPr>
          <w:p>
            <w:pPr>
              <w:pStyle w:val="Compact"/>
              <w:jc w:val="left"/>
            </w:pPr>
            <m:oMath>
              <m:sSub>
                <m:e>
                  <m:r>
                    <m:t>δ</m:t>
                  </m:r>
                </m:e>
                <m:sub>
                  <m:r>
                    <m:t>0</m:t>
                  </m:r>
                </m:sub>
              </m:sSub>
            </m:oMath>
          </w:p>
        </w:tc>
        <w:tc>
          <w:tcPr>
            <w:tcW w:type="dxa" w:w="5617"/>
          </w:tcPr>
          <w:p>
            <w:pPr>
              <w:pStyle w:val="Compact"/>
              <w:jc w:val="left"/>
            </w:pPr>
            <w:r>
              <w:t xml:space="preserve">residual zero offset after re-zeroing before and after a crossing, in the units of the channel (mm for deflection)</w:t>
            </w:r>
          </w:p>
        </w:tc>
      </w:tr>
      <w:tr>
        <w:trPr>
          <w:cantSplit/>
        </w:trPr>
        <w:tc>
          <w:tcPr>
            <w:tcW w:type="dxa" w:w="3452"/>
          </w:tcPr>
          <w:p>
            <w:pPr>
              <w:pStyle w:val="Compact"/>
              <w:jc w:val="left"/>
            </w:pPr>
            <m:oMath>
              <m:r>
                <m:t>ζ</m:t>
              </m:r>
            </m:oMath>
          </w:p>
        </w:tc>
        <w:tc>
          <w:tcPr>
            <w:tcW w:type="dxa" w:w="5617"/>
          </w:tcPr>
          <w:p>
            <w:pPr>
              <w:pStyle w:val="Compact"/>
              <w:jc w:val="left"/>
            </w:pPr>
            <w:r>
              <w:t xml:space="preserve">position in the main span from the pier, as a fraction of the main span</w:t>
            </w:r>
          </w:p>
        </w:tc>
      </w:tr>
      <w:tr>
        <w:trPr>
          <w:cantSplit/>
        </w:trPr>
        <w:tc>
          <w:tcPr>
            <w:tcW w:type="dxa" w:w="3452"/>
          </w:tcPr>
          <w:p>
            <w:pPr>
              <w:pStyle w:val="Compact"/>
              <w:jc w:val="left"/>
            </w:pPr>
            <m:oMath>
              <m:sSub>
                <m:e>
                  <m:r>
                    <m:t>η</m:t>
                  </m:r>
                </m:e>
                <m:sub>
                  <m:r>
                    <m:t>m</m:t>
                  </m:r>
                </m:sub>
              </m:sSub>
            </m:oMath>
          </w:p>
        </w:tc>
        <w:tc>
          <w:tcPr>
            <w:tcW w:type="dxa" w:w="5617"/>
          </w:tcPr>
          <w:p>
            <w:pPr>
              <w:pStyle w:val="Compact"/>
              <w:jc w:val="left"/>
            </w:pPr>
            <w:r>
              <w:t xml:space="preserve">influence line of the channel at</w:t>
            </w:r>
            <w:r>
              <w:t xml:space="preserve"> </w:t>
            </w:r>
            <m:oMath>
              <m:r>
                <m:t>m</m:t>
              </m:r>
            </m:oMath>
          </w:p>
        </w:tc>
      </w:tr>
      <w:tr>
        <w:trPr>
          <w:cantSplit/>
        </w:trPr>
        <w:tc>
          <w:tcPr>
            <w:tcW w:type="dxa" w:w="3452"/>
          </w:tcPr>
          <w:p>
            <w:pPr>
              <w:pStyle w:val="Compact"/>
              <w:jc w:val="left"/>
            </w:pPr>
            <m:oMath>
              <m:r>
                <m:t>κ</m:t>
              </m:r>
            </m:oMath>
          </w:p>
        </w:tc>
        <w:tc>
          <w:tcPr>
            <w:tcW w:type="dxa" w:w="5617"/>
          </w:tcPr>
          <w:p>
            <w:pPr>
              <w:pStyle w:val="Compact"/>
              <w:jc w:val="left"/>
            </w:pPr>
            <w:r>
              <w:t xml:space="preserve">scaled pier stiffness</w:t>
            </w:r>
            <w:r>
              <w:t xml:space="preserve"> </w:t>
            </w:r>
            <m:oMath>
              <m:r>
                <m:t>k</m:t>
              </m:r>
              <m:r>
                <m:rPr>
                  <m:sty m:val="p"/>
                </m:rPr>
                <m:t>/</m:t>
              </m:r>
              <m:r>
                <m:t>α</m:t>
              </m:r>
            </m:oMath>
            <w:r>
              <w:t xml:space="preserve"> </w:t>
            </w:r>
            <w:r>
              <w:t xml:space="preserve">(kN m/rad, since</w:t>
            </w:r>
            <w:r>
              <w:t xml:space="preserve"> </w:t>
            </w:r>
            <m:oMath>
              <m:r>
                <m:t>α</m:t>
              </m:r>
            </m:oMath>
            <w:r>
              <w:t xml:space="preserve"> </w:t>
            </w:r>
            <w:r>
              <w:t xml:space="preserve">is dimensionless)</w:t>
            </w:r>
          </w:p>
        </w:tc>
      </w:tr>
      <w:tr>
        <w:trPr>
          <w:cantSplit/>
        </w:trPr>
        <w:tc>
          <w:tcPr>
            <w:tcW w:type="dxa" w:w="3452"/>
          </w:tcPr>
          <w:p>
            <w:pPr>
              <w:pStyle w:val="Compact"/>
              <w:jc w:val="left"/>
            </w:pPr>
            <m:oMath>
              <m:r>
                <m:t>λ</m:t>
              </m:r>
            </m:oMath>
            <w:r>
              <w:t xml:space="preserve">,</w:t>
            </w:r>
            <w:r>
              <w:t xml:space="preserve"> </w:t>
            </w:r>
            <m:oMath>
              <m:sSub>
                <m:e>
                  <m:r>
                    <m:t>λ</m:t>
                  </m:r>
                </m:e>
                <m:sub>
                  <m:r>
                    <m:rPr>
                      <m:sty m:val="p"/>
                      <m:nor/>
                    </m:rPr>
                    <m:t>crit</m:t>
                  </m:r>
                </m:sub>
              </m:sSub>
            </m:oMath>
          </w:p>
        </w:tc>
        <w:tc>
          <w:tcPr>
            <w:tcW w:type="dxa" w:w="5617"/>
          </w:tcPr>
          <w:p>
            <w:pPr>
              <w:pStyle w:val="Compact"/>
              <w:jc w:val="left"/>
            </w:pPr>
            <w:r>
              <w:t xml:space="preserve">span ratio</w:t>
            </w:r>
            <w:r>
              <w:t xml:space="preserve"> </w:t>
            </w:r>
            <m:oMath>
              <m:sSub>
                <m:e>
                  <m:r>
                    <m:t>L</m:t>
                  </m:r>
                </m:e>
                <m:sub>
                  <m:r>
                    <m:t>2</m:t>
                  </m:r>
                </m:sub>
              </m:sSub>
              <m:r>
                <m:rPr>
                  <m:sty m:val="p"/>
                </m:rPr>
                <m:t>/</m:t>
              </m:r>
              <m:sSub>
                <m:e>
                  <m:r>
                    <m:t>L</m:t>
                  </m:r>
                </m:e>
                <m:sub>
                  <m:r>
                    <m:t>1</m:t>
                  </m:r>
                </m:sub>
              </m:sSub>
            </m:oMath>
            <w:r>
              <w:t xml:space="preserve"> </w:t>
            </w:r>
            <w:r>
              <w:t xml:space="preserve">of the adjacent to the instrumented span (two spans); its blind value for a mid-span deflection gauge, Eq. (S1)</w:t>
            </w:r>
          </w:p>
        </w:tc>
      </w:tr>
      <w:tr>
        <w:trPr>
          <w:cantSplit/>
        </w:trPr>
        <w:tc>
          <w:tcPr>
            <w:tcW w:type="dxa" w:w="3452"/>
          </w:tcPr>
          <w:p>
            <w:pPr>
              <w:pStyle w:val="Compact"/>
              <w:jc w:val="left"/>
            </w:pPr>
            <m:oMath>
              <m:r>
                <m:t>μ</m:t>
              </m:r>
            </m:oMath>
          </w:p>
        </w:tc>
        <w:tc>
          <w:tcPr>
            <w:tcW w:type="dxa" w:w="5617"/>
          </w:tcPr>
          <w:p>
            <w:pPr>
              <w:pStyle w:val="Compact"/>
              <w:jc w:val="left"/>
            </w:pPr>
            <w:r>
              <w:t xml:space="preserve">interior-moment parameter,</w:t>
            </w:r>
            <w:r>
              <w:t xml:space="preserve"> </w:t>
            </w:r>
            <m:oMath>
              <m:r>
                <m:t>μ</m:t>
              </m:r>
              <m:r>
                <m:rPr>
                  <m:sty m:val="p"/>
                </m:rPr>
                <m:t>=</m:t>
              </m:r>
              <m:r>
                <m:rPr>
                  <m:sty m:val="p"/>
                </m:rPr>
                <m:t>−</m:t>
              </m:r>
              <m:r>
                <m:t>8</m:t>
              </m:r>
              <m:sSub>
                <m:e>
                  <m:r>
                    <m:t>M</m:t>
                  </m:r>
                </m:e>
                <m:sub>
                  <m:r>
                    <m:t>B</m:t>
                  </m:r>
                </m:sub>
              </m:sSub>
              <m:r>
                <m:rPr>
                  <m:sty m:val="p"/>
                </m:rPr>
                <m:t>/</m:t>
              </m:r>
              <m:d>
                <m:dPr>
                  <m:begChr m:val="("/>
                  <m:endChr m:val=")"/>
                  <m:grow/>
                </m:dPr>
                <m:e>
                  <m:sSub>
                    <m:e>
                      <m:r>
                        <m:t>q</m:t>
                      </m:r>
                    </m:e>
                    <m:sub>
                      <m:r>
                        <m:t>0</m:t>
                      </m:r>
                    </m:sub>
                  </m:sSub>
                  <m:sSup>
                    <m:e>
                      <m:r>
                        <m:t>L</m:t>
                      </m:r>
                    </m:e>
                    <m:sup>
                      <m:r>
                        <m:t>2</m:t>
                      </m:r>
                    </m:sup>
                  </m:sSup>
                </m:e>
              </m:d>
            </m:oMath>
            <w:r>
              <w:t xml:space="preserve"> </w:t>
            </w:r>
            <w:r>
              <w:t xml:space="preserve">with</w:t>
            </w:r>
            <w:r>
              <w:t xml:space="preserve"> </w:t>
            </w:r>
            <m:oMath>
              <m:r>
                <m:t>L</m:t>
              </m:r>
              <m:r>
                <m:rPr>
                  <m:sty m:val="p"/>
                </m:rPr>
                <m:t>=</m:t>
              </m:r>
              <m:sSub>
                <m:e>
                  <m:r>
                    <m:t>L</m:t>
                  </m:r>
                </m:e>
                <m:sub>
                  <m:r>
                    <m:t>1</m:t>
                  </m:r>
                </m:sub>
              </m:sSub>
            </m:oMath>
            <w:r>
              <w:t xml:space="preserve"> </w:t>
            </w:r>
            <w:r>
              <w:t xml:space="preserve">(two spans) or</w:t>
            </w:r>
            <w:r>
              <w:t xml:space="preserve"> </w:t>
            </w:r>
            <m:oMath>
              <m:sSub>
                <m:e>
                  <m:r>
                    <m:t>L</m:t>
                  </m:r>
                </m:e>
                <m:sub>
                  <m:r>
                    <m:rPr>
                      <m:sty m:val="p"/>
                      <m:nor/>
                    </m:rPr>
                    <m:t>side</m:t>
                  </m:r>
                </m:sub>
              </m:sSub>
            </m:oMath>
            <w:r>
              <w:t xml:space="preserve"> </w:t>
            </w:r>
            <w:r>
              <w:t xml:space="preserve">(three spans); Eqs. (4), (14)</w:t>
            </w:r>
          </w:p>
        </w:tc>
      </w:tr>
      <w:tr>
        <w:trPr>
          <w:cantSplit/>
        </w:trPr>
        <w:tc>
          <w:tcPr>
            <w:tcW w:type="dxa" w:w="3452"/>
          </w:tcPr>
          <w:p>
            <w:pPr>
              <w:pStyle w:val="Compact"/>
              <w:jc w:val="left"/>
            </w:pPr>
            <m:oMath>
              <m:sSub>
                <m:e>
                  <m:r>
                    <m:t>μ</m:t>
                  </m:r>
                </m:e>
                <m:sub>
                  <m:r>
                    <m:rPr>
                      <m:sty m:val="p"/>
                      <m:nor/>
                    </m:rPr>
                    <m:t>crit</m:t>
                  </m:r>
                </m:sub>
              </m:sSub>
            </m:oMath>
          </w:p>
        </w:tc>
        <w:tc>
          <w:tcPr>
            <w:tcW w:type="dxa" w:w="5617"/>
          </w:tcPr>
          <w:p>
            <w:pPr>
              <w:pStyle w:val="Compact"/>
              <w:jc w:val="left"/>
            </w:pPr>
            <w:r>
              <w:t xml:space="preserve">value of</w:t>
            </w:r>
            <w:r>
              <w:t xml:space="preserve"> </w:t>
            </w:r>
            <m:oMath>
              <m:r>
                <m:t>μ</m:t>
              </m:r>
            </m:oMath>
            <w:r>
              <w:t xml:space="preserve"> </w:t>
            </w:r>
            <w:r>
              <w:t xml:space="preserve">at which a deflection gauge at</w:t>
            </w:r>
            <w:r>
              <w:t xml:space="preserve"> </w:t>
            </w:r>
            <m:oMath>
              <m:r>
                <m:t>ξ</m:t>
              </m:r>
            </m:oMath>
            <w:r>
              <w:t xml:space="preserve"> </w:t>
            </w:r>
            <w:r>
              <w:t xml:space="preserve">is blind, Eq. (6)</w:t>
            </w:r>
          </w:p>
        </w:tc>
      </w:tr>
      <w:tr>
        <w:trPr>
          <w:cantSplit/>
        </w:trPr>
        <w:tc>
          <w:tcPr>
            <w:tcW w:type="dxa" w:w="3452"/>
          </w:tcPr>
          <w:p>
            <w:pPr>
              <w:pStyle w:val="Compact"/>
              <w:jc w:val="left"/>
            </w:pPr>
            <m:oMath>
              <m:r>
                <m:t>ν</m:t>
              </m:r>
            </m:oMath>
          </w:p>
        </w:tc>
        <w:tc>
          <w:tcPr>
            <w:tcW w:type="dxa" w:w="5617"/>
          </w:tcPr>
          <w:p>
            <w:pPr>
              <w:pStyle w:val="Compact"/>
              <w:jc w:val="left"/>
            </w:pPr>
            <w:r>
              <w:t xml:space="preserve">deflection coefficient of the main span of a symmetric three-span beam,</w:t>
            </w:r>
            <w:r>
              <w:t xml:space="preserve"> </w:t>
            </w:r>
            <m:oMath>
              <m:r>
                <m:t>ν</m:t>
              </m:r>
              <m:r>
                <m:rPr>
                  <m:sty m:val="p"/>
                </m:rPr>
                <m:t>=</m:t>
              </m:r>
              <m:r>
                <m:t>1.5</m:t>
              </m:r>
              <m:sSub>
                <m:e>
                  <m:acc>
                    <m:accPr>
                      <m:chr m:val="¯"/>
                    </m:accPr>
                    <m:e>
                      <m:r>
                        <m:t>M</m:t>
                      </m:r>
                    </m:e>
                  </m:acc>
                </m:e>
                <m:sub>
                  <m:r>
                    <m:rPr>
                      <m:sty m:val="p"/>
                      <m:nor/>
                    </m:rPr>
                    <m:t>main</m:t>
                  </m:r>
                </m:sub>
              </m:sSub>
            </m:oMath>
            <w:r>
              <w:t xml:space="preserve"> </w:t>
            </w:r>
            <w:r>
              <w:t xml:space="preserve">for pinned piers (Section S2)</w:t>
            </w:r>
          </w:p>
        </w:tc>
      </w:tr>
      <w:tr>
        <w:trPr>
          <w:cantSplit/>
        </w:trPr>
        <w:tc>
          <w:tcPr>
            <w:tcW w:type="dxa" w:w="3452"/>
          </w:tcPr>
          <w:p>
            <w:pPr>
              <w:pStyle w:val="Compact"/>
              <w:jc w:val="left"/>
            </w:pPr>
            <m:oMath>
              <m:sSup>
                <m:e>
                  <m:r>
                    <m:t>r</m:t>
                  </m:r>
                </m:e>
                <m:sup>
                  <m:r>
                    <m:t>2</m:t>
                  </m:r>
                </m:sup>
              </m:sSup>
            </m:oMath>
          </w:p>
        </w:tc>
        <w:tc>
          <w:tcPr>
            <w:tcW w:type="dxa" w:w="5617"/>
          </w:tcPr>
          <w:p>
            <w:pPr>
              <w:pStyle w:val="Compact"/>
              <w:jc w:val="left"/>
            </w:pPr>
            <w:r>
              <w:t xml:space="preserve">coefficient of determination</w:t>
            </w:r>
          </w:p>
        </w:tc>
      </w:tr>
      <w:tr>
        <w:trPr>
          <w:cantSplit/>
        </w:trPr>
        <w:tc>
          <w:tcPr>
            <w:tcW w:type="dxa" w:w="3452"/>
          </w:tcPr>
          <w:p>
            <w:pPr>
              <w:pStyle w:val="Compact"/>
              <w:jc w:val="left"/>
            </w:pPr>
            <m:oMath>
              <m:r>
                <m:t>ρ</m:t>
              </m:r>
            </m:oMath>
          </w:p>
        </w:tc>
        <w:tc>
          <w:tcPr>
            <w:tcW w:type="dxa" w:w="5617"/>
          </w:tcPr>
          <w:p>
            <w:pPr>
              <w:pStyle w:val="Compact"/>
              <w:jc w:val="left"/>
            </w:pPr>
            <w:r>
              <w:t xml:space="preserve">common-mode fraction of the offset or noise between channels</w:t>
            </w:r>
          </w:p>
        </w:tc>
      </w:tr>
      <w:tr>
        <w:trPr>
          <w:cantSplit/>
        </w:trPr>
        <w:tc>
          <w:tcPr>
            <w:tcW w:type="dxa" w:w="3452"/>
          </w:tcPr>
          <w:p>
            <w:pPr>
              <w:pStyle w:val="Compact"/>
              <w:jc w:val="left"/>
            </w:pPr>
            <m:oMath>
              <m:r>
                <m:t>Σ</m:t>
              </m:r>
            </m:oMath>
          </w:p>
        </w:tc>
        <w:tc>
          <w:tcPr>
            <w:tcW w:type="dxa" w:w="5617"/>
          </w:tcPr>
          <w:p>
            <w:pPr>
              <w:pStyle w:val="Compact"/>
              <w:jc w:val="left"/>
            </w:pPr>
            <w:r>
              <w:t xml:space="preserve">covariance matrix of the channel integrals</w:t>
            </w:r>
          </w:p>
        </w:tc>
      </w:tr>
      <w:tr>
        <w:trPr>
          <w:cantSplit/>
        </w:trPr>
        <w:tc>
          <w:tcPr>
            <w:tcW w:type="dxa" w:w="3452"/>
          </w:tcPr>
          <w:p>
            <w:pPr>
              <w:pStyle w:val="Compact"/>
              <w:jc w:val="left"/>
            </w:pPr>
            <m:oMath>
              <m:r>
                <m:t>σ</m:t>
              </m:r>
            </m:oMath>
            <w:r>
              <w:t xml:space="preserve">,</w:t>
            </w:r>
            <w:r>
              <w:t xml:space="preserve"> </w:t>
            </w:r>
            <m:oMath>
              <m:r>
                <m:t>Δ</m:t>
              </m:r>
              <m:r>
                <m:t>x</m:t>
              </m:r>
            </m:oMath>
          </w:p>
        </w:tc>
        <w:tc>
          <w:tcPr>
            <w:tcW w:type="dxa" w:w="5617"/>
          </w:tcPr>
          <w:p>
            <w:pPr>
              <w:pStyle w:val="Compact"/>
              <w:jc w:val="left"/>
            </w:pPr>
            <w:r>
              <w:t xml:space="preserve">standard deviation of the white noise of a record; sampling interval along the record</w:t>
            </w:r>
          </w:p>
        </w:tc>
      </w:tr>
      <w:tr>
        <w:trPr>
          <w:cantSplit/>
        </w:trPr>
        <w:tc>
          <w:tcPr>
            <w:tcW w:type="dxa" w:w="3452"/>
          </w:tcPr>
          <w:p>
            <w:pPr>
              <w:pStyle w:val="Compact"/>
              <w:jc w:val="left"/>
            </w:pPr>
            <m:oMath>
              <m:sSub>
                <m:e>
                  <m:r>
                    <m:t>σ</m:t>
                  </m:r>
                </m:e>
                <m:sub>
                  <m:r>
                    <m:t>P</m:t>
                  </m:r>
                  <m:r>
                    <m:rPr>
                      <m:sty m:val="p"/>
                    </m:rPr>
                    <m:t>,</m:t>
                  </m:r>
                  <m:r>
                    <m:rPr>
                      <m:sty m:val="p"/>
                      <m:nor/>
                    </m:rPr>
                    <m:t>noise</m:t>
                  </m:r>
                </m:sub>
              </m:sSub>
            </m:oMath>
          </w:p>
        </w:tc>
        <w:tc>
          <w:tcPr>
            <w:tcW w:type="dxa" w:w="5617"/>
          </w:tcPr>
          <w:p>
            <w:pPr>
              <w:pStyle w:val="Compact"/>
              <w:jc w:val="left"/>
            </w:pPr>
            <w:r>
              <w:t xml:space="preserve">standard deviation of the load estimate caused by white noise</w:t>
            </w:r>
          </w:p>
        </w:tc>
      </w:tr>
      <w:tr>
        <w:trPr>
          <w:cantSplit/>
        </w:trPr>
        <w:tc>
          <w:tcPr>
            <w:tcW w:type="dxa" w:w="3452"/>
          </w:tcPr>
          <w:p>
            <w:pPr>
              <w:pStyle w:val="Compact"/>
              <w:jc w:val="left"/>
            </w:pPr>
            <m:oMath>
              <m:r>
                <m:t>τ</m:t>
              </m:r>
            </m:oMath>
          </w:p>
        </w:tc>
        <w:tc>
          <w:tcPr>
            <w:tcW w:type="dxa" w:w="5617"/>
          </w:tcPr>
          <w:p>
            <w:pPr>
              <w:pStyle w:val="Compact"/>
              <w:jc w:val="left"/>
            </w:pPr>
            <w:r>
              <w:t xml:space="preserve">tolerance on the static misfit of a gauge</w:t>
            </w:r>
          </w:p>
        </w:tc>
      </w:tr>
      <w:tr>
        <w:trPr>
          <w:cantSplit/>
        </w:trPr>
        <w:tc>
          <w:tcPr>
            <w:tcW w:type="dxa" w:w="3452"/>
          </w:tcPr>
          <w:p>
            <w:pPr>
              <w:pStyle w:val="Compact"/>
              <w:jc w:val="left"/>
            </w:pPr>
            <m:oMath>
              <m:r>
                <m:t>ξ</m:t>
              </m:r>
            </m:oMath>
            <w:r>
              <w:t xml:space="preserve">,</w:t>
            </w:r>
            <w:r>
              <w:t xml:space="preserve"> </w:t>
            </w:r>
            <m:oMath>
              <m:sSub>
                <m:e>
                  <m:r>
                    <m:t>ξ</m:t>
                  </m:r>
                </m:e>
                <m:sub>
                  <m:r>
                    <m:t>0</m:t>
                  </m:r>
                </m:sub>
              </m:sSub>
            </m:oMath>
            <w:r>
              <w:t xml:space="preserve">,</w:t>
            </w:r>
            <w:r>
              <w:t xml:space="preserve"> </w:t>
            </w:r>
            <m:oMath>
              <m:sSup>
                <m:e>
                  <m:r>
                    <m:t>ξ</m:t>
                  </m:r>
                </m:e>
                <m:sup>
                  <m:r>
                    <m:rPr>
                      <m:nor/>
                    </m:rPr>
                    <m:t>*</m:t>
                  </m:r>
                </m:sup>
              </m:sSup>
            </m:oMath>
          </w:p>
        </w:tc>
        <w:tc>
          <w:tcPr>
            <w:tcW w:type="dxa" w:w="5617"/>
          </w:tcPr>
          <w:p>
            <w:pPr>
              <w:pStyle w:val="Compact"/>
              <w:jc w:val="left"/>
            </w:pPr>
            <w:r>
              <w:t xml:space="preserve">sensor position as a fraction of its span; zero of the uniform-load moment in the span (main span:</w:t>
            </w:r>
            <w:r>
              <w:t xml:space="preserve"> </w:t>
            </w:r>
            <m:oMath>
              <m:sSub>
                <m:e>
                  <m:r>
                    <m:t>ζ</m:t>
                  </m:r>
                </m:e>
                <m:sub>
                  <m:r>
                    <m:t>0</m:t>
                  </m:r>
                </m:sub>
              </m:sSub>
            </m:oMath>
            <w:r>
              <w:t xml:space="preserve">); optimal side-span position, Eq. (S1) and Table S2</w:t>
            </w:r>
          </w:p>
        </w:tc>
      </w:tr>
      <w:tr>
        <w:trPr>
          <w:cantSplit/>
        </w:trPr>
        <w:tc>
          <w:tcPr>
            <w:tcW w:type="dxa" w:w="3452"/>
          </w:tcPr>
          <w:p>
            <w:pPr>
              <w:pStyle w:val="Compact"/>
              <w:jc w:val="left"/>
            </w:pPr>
            <m:oMath>
              <m:r>
                <m:t>Φ</m:t>
              </m:r>
            </m:oMath>
          </w:p>
        </w:tc>
        <w:tc>
          <w:tcPr>
            <w:tcW w:type="dxa" w:w="5617"/>
          </w:tcPr>
          <w:p>
            <w:pPr>
              <w:pStyle w:val="Compact"/>
              <w:jc w:val="left"/>
            </w:pPr>
            <w:r>
              <w:t xml:space="preserve">normalized uniform-load deflection of a prismatic span with end moments (Section S3)</w:t>
            </w:r>
          </w:p>
        </w:tc>
      </w:tr>
      <w:tr>
        <w:trPr>
          <w:cantSplit/>
        </w:trPr>
        <w:tc>
          <w:tcPr>
            <w:tcW w:type="dxa" w:w="3452"/>
          </w:tcPr>
          <w:p>
            <w:pPr>
              <w:pStyle w:val="Compact"/>
              <w:jc w:val="left"/>
            </w:pPr>
            <w:r>
              <w:t xml:space="preserve">BPM</w:t>
            </w:r>
          </w:p>
        </w:tc>
        <w:tc>
          <w:tcPr>
            <w:tcW w:type="dxa" w:w="5617"/>
          </w:tcPr>
          <w:p>
            <w:pPr>
              <w:pStyle w:val="Compact"/>
              <w:jc w:val="left"/>
            </w:pPr>
            <w:r>
              <w:t xml:space="preserve">beam-property method: load = record integral / modeled constant</w:t>
            </w:r>
          </w:p>
        </w:tc>
      </w:tr>
      <w:tr>
        <w:trPr>
          <w:cantSplit/>
        </w:trPr>
        <w:tc>
          <w:tcPr>
            <w:tcW w:type="dxa" w:w="3452"/>
          </w:tcPr>
          <w:p>
            <w:pPr>
              <w:pStyle w:val="Compact"/>
              <w:jc w:val="left"/>
            </w:pPr>
            <w:r>
              <w:t xml:space="preserve">SLM</w:t>
            </w:r>
          </w:p>
        </w:tc>
        <w:tc>
          <w:tcPr>
            <w:tcW w:type="dxa" w:w="5617"/>
          </w:tcPr>
          <w:p>
            <w:pPr>
              <w:pStyle w:val="Compact"/>
              <w:jc w:val="left"/>
            </w:pPr>
            <w:r>
              <w:t xml:space="preserve">standard-load method: constant taken from a crossing of known weight</w:t>
            </w:r>
          </w:p>
        </w:tc>
      </w:tr>
      <w:tr>
        <w:trPr>
          <w:cantSplit/>
        </w:trPr>
        <w:tc>
          <w:tcPr>
            <w:tcW w:type="dxa" w:w="3452"/>
          </w:tcPr>
          <w:p>
            <w:pPr>
              <w:pStyle w:val="Compact"/>
              <w:jc w:val="left"/>
            </w:pPr>
            <w:r>
              <w:t xml:space="preserve">WIM, BWIM, NOR</w:t>
            </w:r>
          </w:p>
        </w:tc>
        <w:tc>
          <w:tcPr>
            <w:tcW w:type="dxa" w:w="5617"/>
          </w:tcPr>
          <w:p>
            <w:pPr>
              <w:pStyle w:val="Compact"/>
              <w:jc w:val="left"/>
            </w:pPr>
            <w:r>
              <w:t xml:space="preserve">weigh-in-motion; bridge weigh-in-motion; Nothing-on-Road (no sensors on the road surface)</w:t>
            </w:r>
          </w:p>
        </w:tc>
      </w:tr>
      <w:tr>
        <w:trPr>
          <w:cantSplit/>
        </w:trPr>
        <w:tc>
          <w:tcPr>
            <w:tcW w:type="dxa" w:w="3452"/>
          </w:tcPr>
          <w:p>
            <w:pPr>
              <w:pStyle w:val="Compact"/>
              <w:jc w:val="left"/>
            </w:pPr>
            <w:r>
              <w:t xml:space="preserve">CI, CV, MAE, SD</w:t>
            </w:r>
          </w:p>
        </w:tc>
        <w:tc>
          <w:tcPr>
            <w:tcW w:type="dxa" w:w="5617"/>
          </w:tcPr>
          <w:p>
            <w:pPr>
              <w:pStyle w:val="Compact"/>
              <w:jc w:val="left"/>
            </w:pPr>
            <w:r>
              <w:t xml:space="preserve">confidence interval; coefficient of variation; mean absolute error; standard deviation</w:t>
            </w:r>
          </w:p>
        </w:tc>
      </w:tr>
      <w:tr>
        <w:trPr>
          <w:cantSplit/>
        </w:trPr>
        <w:tc>
          <w:tcPr>
            <w:tcW w:type="dxa" w:w="3452"/>
          </w:tcPr>
          <w:p>
            <w:pPr>
              <w:pStyle w:val="Compact"/>
              <w:jc w:val="left"/>
            </w:pPr>
            <w:r>
              <w:t xml:space="preserve">FE</w:t>
            </w:r>
          </w:p>
        </w:tc>
        <w:tc>
          <w:tcPr>
            <w:tcW w:type="dxa" w:w="5617"/>
          </w:tcPr>
          <w:p>
            <w:pPr>
              <w:pStyle w:val="Compact"/>
              <w:jc w:val="left"/>
            </w:pPr>
            <w:r>
              <w:t xml:space="preserve">finite element</w:t>
            </w:r>
          </w:p>
        </w:tc>
      </w:tr>
      <w:tr>
        <w:trPr>
          <w:cantSplit/>
        </w:trPr>
        <w:tc>
          <w:tcPr>
            <w:tcW w:type="dxa" w:w="3452"/>
          </w:tcPr>
          <w:p>
            <w:pPr>
              <w:pStyle w:val="Compact"/>
              <w:jc w:val="left"/>
            </w:pPr>
            <w:r>
              <w:t xml:space="preserve">GLS</w:t>
            </w:r>
          </w:p>
        </w:tc>
        <w:tc>
          <w:tcPr>
            <w:tcW w:type="dxa" w:w="5617"/>
          </w:tcPr>
          <w:p>
            <w:pPr>
              <w:pStyle w:val="Compact"/>
              <w:jc w:val="left"/>
            </w:pPr>
            <w:r>
              <w:t xml:space="preserve">generalized least squares</w:t>
            </w:r>
          </w:p>
        </w:tc>
      </w:tr>
      <w:tr>
        <w:trPr>
          <w:cantSplit/>
        </w:trPr>
        <w:tc>
          <w:tcPr>
            <w:tcW w:type="dxa" w:w="3452"/>
          </w:tcPr>
          <w:p>
            <w:pPr>
              <w:pStyle w:val="Compact"/>
              <w:jc w:val="left"/>
            </w:pPr>
            <w:r>
              <w:t xml:space="preserve">GUM</w:t>
            </w:r>
          </w:p>
        </w:tc>
        <w:tc>
          <w:tcPr>
            <w:tcW w:type="dxa" w:w="5617"/>
          </w:tcPr>
          <w:p>
            <w:pPr>
              <w:pStyle w:val="Compact"/>
              <w:jc w:val="left"/>
            </w:pPr>
            <w:r>
              <w:t xml:space="preserve">Guide to the Expression of Uncertainty in Measurement</w:t>
            </w:r>
          </w:p>
        </w:tc>
      </w:tr>
      <w:tr>
        <w:trPr>
          <w:cantSplit/>
        </w:trPr>
        <w:tc>
          <w:tcPr>
            <w:tcW w:type="dxa" w:w="3452"/>
          </w:tcPr>
          <w:p>
            <w:pPr>
              <w:pStyle w:val="Compact"/>
              <w:jc w:val="left"/>
            </w:pPr>
            <w:r>
              <w:t xml:space="preserve">GVW</w:t>
            </w:r>
          </w:p>
        </w:tc>
        <w:tc>
          <w:tcPr>
            <w:tcW w:type="dxa" w:w="5617"/>
          </w:tcPr>
          <w:p>
            <w:pPr>
              <w:pStyle w:val="Compact"/>
              <w:jc w:val="left"/>
            </w:pPr>
            <w:r>
              <w:t xml:space="preserve">gross vehicle weight</w:t>
            </w:r>
          </w:p>
        </w:tc>
      </w:tr>
      <w:tr>
        <w:trPr>
          <w:cantSplit/>
        </w:trPr>
        <w:tc>
          <w:tcPr>
            <w:tcW w:type="dxa" w:w="3452"/>
          </w:tcPr>
          <w:p>
            <w:pPr>
              <w:pStyle w:val="Compact"/>
              <w:jc w:val="left"/>
            </w:pPr>
            <w:r>
              <w:t xml:space="preserve">LOO, LOTO</w:t>
            </w:r>
          </w:p>
        </w:tc>
        <w:tc>
          <w:tcPr>
            <w:tcW w:type="dxa" w:w="5617"/>
          </w:tcPr>
          <w:p>
            <w:pPr>
              <w:pStyle w:val="Compact"/>
              <w:jc w:val="left"/>
            </w:pPr>
            <w:r>
              <w:t xml:space="preserve">leave-one-run-out and leave-one-truck-out cross-validation</w:t>
            </w:r>
          </w:p>
        </w:tc>
      </w:tr>
      <w:tr>
        <w:trPr>
          <w:cantSplit/>
        </w:trPr>
        <w:tc>
          <w:tcPr>
            <w:tcW w:type="dxa" w:w="3452"/>
          </w:tcPr>
          <w:p>
            <w:pPr>
              <w:pStyle w:val="Compact"/>
              <w:jc w:val="left"/>
            </w:pPr>
            <w:r>
              <w:t xml:space="preserve">TOST</w:t>
            </w:r>
          </w:p>
        </w:tc>
        <w:tc>
          <w:tcPr>
            <w:tcW w:type="dxa" w:w="5617"/>
          </w:tcPr>
          <w:p>
            <w:pPr>
              <w:pStyle w:val="Compact"/>
              <w:jc w:val="left"/>
            </w:pPr>
            <w:r>
              <w:t xml:space="preserve">two one-sided tests of equivalence</w:t>
            </w:r>
          </w:p>
        </w:tc>
      </w:tr>
      <w:tr>
        <w:trPr>
          <w:cantSplit/>
        </w:trPr>
        <w:tc>
          <w:tcPr>
            <w:tcW w:type="dxa" w:w="3452"/>
          </w:tcPr>
          <w:p>
            <w:pPr>
              <w:pStyle w:val="Compact"/>
              <w:jc w:val="left"/>
            </w:pPr>
            <w:r>
              <w:t xml:space="preserve">N7, N8</w:t>
            </w:r>
          </w:p>
        </w:tc>
        <w:tc>
          <w:tcPr>
            <w:tcW w:type="dxa" w:w="5617"/>
          </w:tcPr>
          <w:p>
            <w:pPr>
              <w:pStyle w:val="Compact"/>
              <w:jc w:val="left"/>
            </w:pPr>
            <w:r>
              <w:t xml:space="preserve">deflection gauges at mid main span and at 0.4</w:t>
            </w:r>
            <m:oMath>
              <m:r>
                <m:t>L</m:t>
              </m:r>
            </m:oMath>
            <w:r>
              <w:t xml:space="preserve"> </w:t>
            </w:r>
            <w:r>
              <w:t xml:space="preserve">of a side span (Mây Bridge)</w:t>
            </w:r>
          </w:p>
        </w:tc>
      </w:tr>
      <w:tr>
        <w:trPr>
          <w:cantSplit/>
        </w:trPr>
        <w:tc>
          <w:tcPr>
            <w:tcW w:type="dxa" w:w="3452"/>
          </w:tcPr>
          <w:p>
            <w:pPr>
              <w:pStyle w:val="Compact"/>
              <w:jc w:val="left"/>
            </w:pPr>
            <w:r>
              <w:t xml:space="preserve">T5–T8</w:t>
            </w:r>
          </w:p>
        </w:tc>
        <w:tc>
          <w:tcPr>
            <w:tcW w:type="dxa" w:w="5617"/>
          </w:tcPr>
          <w:p>
            <w:pPr>
              <w:pStyle w:val="Compact"/>
              <w:jc w:val="left"/>
            </w:pPr>
            <w:r>
              <w:t xml:space="preserve">supports of the main unit of the Mây Bridge: T5, T8 end supports, T6, T7 inner piers (Section 5.1)</w:t>
            </w:r>
          </w:p>
        </w:tc>
      </w:tr>
    </w:tbl>
    <w:bookmarkEnd w:id="20"/>
    <w:bookmarkStart w:id="27" w:name="X9fcb1b0ddebf9566f180decb2c6747fdbe7c378"/>
    <w:p>
      <w:pPr>
        <w:pStyle w:val="Heading2"/>
      </w:pPr>
      <w:r>
        <w:t xml:space="preserve">S2. Closed forms for two- and three-span beams</w:t>
      </w:r>
    </w:p>
    <w:p>
      <w:pPr>
        <w:pStyle w:val="FirstParagraph"/>
      </w:pPr>
      <w:r>
        <w:t xml:space="preserve">For unequal spans the uniform-load support moment of a two-span beam is</w:t>
      </w:r>
      <w:r>
        <w:t xml:space="preserve"> </w:t>
      </w:r>
      <m:oMath>
        <m:sSub>
          <m:e>
            <m:r>
              <m:t>M</m:t>
            </m:r>
          </m:e>
          <m:sub>
            <m:r>
              <m:t>B</m:t>
            </m:r>
          </m:sub>
        </m:sSub>
        <m:r>
          <m:rPr>
            <m:sty m:val="p"/>
          </m:rPr>
          <m:t>=</m:t>
        </m:r>
        <m:r>
          <m:rPr>
            <m:sty m:val="p"/>
          </m:rPr>
          <m:t>−</m:t>
        </m:r>
        <m:sSub>
          <m:e>
            <m:r>
              <m:t>q</m:t>
            </m:r>
          </m:e>
          <m:sub>
            <m:r>
              <m:t>0</m:t>
            </m:r>
          </m:sub>
        </m:sSub>
        <m:d>
          <m:dPr>
            <m:begChr m:val="("/>
            <m:endChr m:val=")"/>
            <m:grow/>
          </m:dPr>
          <m:e>
            <m:sSubSup>
              <m:e>
                <m:r>
                  <m:t>L</m:t>
                </m:r>
              </m:e>
              <m:sub>
                <m:r>
                  <m:t>1</m:t>
                </m:r>
              </m:sub>
              <m:sup>
                <m:r>
                  <m:t>3</m:t>
                </m:r>
              </m:sup>
            </m:sSubSup>
            <m:r>
              <m:rPr>
                <m:sty m:val="p"/>
              </m:rPr>
              <m:t>/</m:t>
            </m:r>
            <m:r>
              <m:t>E</m:t>
            </m:r>
            <m:sSub>
              <m:e>
                <m:r>
                  <m:t>I</m:t>
                </m:r>
              </m:e>
              <m:sub>
                <m:r>
                  <m:t>1</m:t>
                </m:r>
              </m:sub>
            </m:sSub>
            <m:r>
              <m:rPr>
                <m:sty m:val="p"/>
              </m:rPr>
              <m:t>+</m:t>
            </m:r>
            <m:sSubSup>
              <m:e>
                <m:r>
                  <m:t>L</m:t>
                </m:r>
              </m:e>
              <m:sub>
                <m:r>
                  <m:t>2</m:t>
                </m:r>
              </m:sub>
              <m:sup>
                <m:r>
                  <m:t>3</m:t>
                </m:r>
              </m:sup>
            </m:sSubSup>
            <m:r>
              <m:rPr>
                <m:sty m:val="p"/>
              </m:rPr>
              <m:t>/</m:t>
            </m:r>
            <m:r>
              <m:t>E</m:t>
            </m:r>
            <m:sSub>
              <m:e>
                <m:r>
                  <m:t>I</m:t>
                </m:r>
              </m:e>
              <m:sub>
                <m:r>
                  <m:t>2</m:t>
                </m:r>
              </m:sub>
            </m:sSub>
          </m:e>
        </m:d>
        <m:r>
          <m:rPr>
            <m:sty m:val="p"/>
          </m:rPr>
          <m:t>/</m:t>
        </m:r>
        <m:d>
          <m:dPr>
            <m:begChr m:val="["/>
            <m:endChr m:val="]"/>
            <m:grow/>
          </m:dPr>
          <m:e>
            <m:r>
              <m:t>8</m:t>
            </m:r>
            <m:d>
              <m:dPr>
                <m:begChr m:val="("/>
                <m:endChr m:val=")"/>
                <m:grow/>
              </m:dPr>
              <m:e>
                <m:sSub>
                  <m:e>
                    <m:r>
                      <m:t>L</m:t>
                    </m:r>
                  </m:e>
                  <m:sub>
                    <m:r>
                      <m:t>1</m:t>
                    </m:r>
                  </m:sub>
                </m:sSub>
                <m:r>
                  <m:rPr>
                    <m:sty m:val="p"/>
                  </m:rPr>
                  <m:t>/</m:t>
                </m:r>
                <m:r>
                  <m:t>E</m:t>
                </m:r>
                <m:sSub>
                  <m:e>
                    <m:r>
                      <m:t>I</m:t>
                    </m:r>
                  </m:e>
                  <m:sub>
                    <m:r>
                      <m:t>1</m:t>
                    </m:r>
                  </m:sub>
                </m:sSub>
                <m:r>
                  <m:rPr>
                    <m:sty m:val="p"/>
                  </m:rPr>
                  <m:t>+</m:t>
                </m:r>
                <m:sSub>
                  <m:e>
                    <m:r>
                      <m:t>L</m:t>
                    </m:r>
                  </m:e>
                  <m:sub>
                    <m:r>
                      <m:t>2</m:t>
                    </m:r>
                  </m:sub>
                </m:sSub>
                <m:r>
                  <m:rPr>
                    <m:sty m:val="p"/>
                  </m:rPr>
                  <m:t>/</m:t>
                </m:r>
                <m:r>
                  <m:t>E</m:t>
                </m:r>
                <m:sSub>
                  <m:e>
                    <m:r>
                      <m:t>I</m:t>
                    </m:r>
                  </m:e>
                  <m:sub>
                    <m:r>
                      <m:t>2</m:t>
                    </m:r>
                  </m:sub>
                </m:sSub>
              </m:e>
            </m:d>
          </m:e>
        </m:d>
      </m:oMath>
      <w:r>
        <w:t xml:space="preserve">. Superposing the simply supported uniform-load deflection of span 1 and the deflection due to</w:t>
      </w:r>
      <w:r>
        <w:t xml:space="preserve"> </w:t>
      </w:r>
      <m:oMath>
        <m:sSub>
          <m:e>
            <m:r>
              <m:t>M</m:t>
            </m:r>
          </m:e>
          <m:sub>
            <m:r>
              <m:t>B</m:t>
            </m:r>
          </m:sub>
        </m:sSub>
      </m:oMath>
      <w:r>
        <w:t xml:space="preserve">, evaluating at</w:t>
      </w:r>
      <w:r>
        <w:t xml:space="preserve"> </w:t>
      </w:r>
      <m:oMath>
        <m:sSub>
          <m:e>
            <m:r>
              <m:t>x</m:t>
            </m:r>
          </m:e>
          <m:sub>
            <m:r>
              <m:t>m</m:t>
            </m:r>
          </m:sub>
        </m:sSub>
      </m:oMath>
      <w:r>
        <w:t xml:space="preserve"> </w:t>
      </w:r>
      <w:r>
        <w:t xml:space="preserve">and dividing by</w:t>
      </w:r>
      <w:r>
        <w:t xml:space="preserve"> </w:t>
      </w:r>
      <m:oMath>
        <m:sSub>
          <m:e>
            <m:r>
              <m:t>q</m:t>
            </m:r>
          </m:e>
          <m:sub>
            <m:r>
              <m:t>0</m:t>
            </m:r>
          </m:sub>
        </m:sSub>
      </m:oMath>
      <w:r>
        <w:t xml:space="preserve"> </w:t>
      </w:r>
      <w:r>
        <w:t xml:space="preserve">gives Eq. (5) with</w:t>
      </w:r>
      <w:r>
        <w:t xml:space="preserve"> </w:t>
      </w:r>
      <m:oMath>
        <m:r>
          <m:t>μ</m:t>
        </m:r>
        <m:r>
          <m:rPr>
            <m:sty m:val="p"/>
          </m:rPr>
          <m:t>=</m:t>
        </m:r>
        <m:r>
          <m:rPr>
            <m:sty m:val="p"/>
          </m:rPr>
          <m:t>−</m:t>
        </m:r>
        <m:r>
          <m:t>8</m:t>
        </m:r>
        <m:sSub>
          <m:e>
            <m:r>
              <m:t>M</m:t>
            </m:r>
          </m:e>
          <m:sub>
            <m:r>
              <m:t>B</m:t>
            </m:r>
          </m:sub>
        </m:sSub>
        <m:r>
          <m:rPr>
            <m:sty m:val="p"/>
          </m:rPr>
          <m:t>/</m:t>
        </m:r>
        <m:d>
          <m:dPr>
            <m:begChr m:val="("/>
            <m:endChr m:val=")"/>
            <m:grow/>
          </m:dPr>
          <m:e>
            <m:sSub>
              <m:e>
                <m:r>
                  <m:t>q</m:t>
                </m:r>
              </m:e>
              <m:sub>
                <m:r>
                  <m:t>0</m:t>
                </m:r>
              </m:sub>
            </m:sSub>
            <m:sSubSup>
              <m:e>
                <m:r>
                  <m:t>L</m:t>
                </m:r>
              </m:e>
              <m:sub>
                <m:r>
                  <m:t>1</m:t>
                </m:r>
              </m:sub>
              <m:sup>
                <m:r>
                  <m:t>2</m:t>
                </m:r>
              </m:sup>
            </m:sSubSup>
          </m:e>
        </m:d>
      </m:oMath>
      <w:r>
        <w:t xml:space="preserve">, which is</w:t>
      </w:r>
      <w:r>
        <w:t xml:space="preserve"> </w:t>
      </w:r>
      <m:oMath>
        <m:sSub>
          <m:e>
            <m:r>
              <m:t>μ</m:t>
            </m:r>
          </m:e>
          <m:sub>
            <m:r>
              <m:rPr>
                <m:sty m:val="p"/>
              </m:rPr>
              <m:t>2</m:t>
            </m:r>
            <m:r>
              <m:rPr>
                <m:sty m:val="p"/>
                <m:nor/>
              </m:rPr>
              <m:t>span</m:t>
            </m:r>
          </m:sub>
        </m:sSub>
      </m:oMath>
      <w:r>
        <w:t xml:space="preserve"> </w:t>
      </w:r>
      <w:r>
        <w:t xml:space="preserve">of Eq. (4). Because</w:t>
      </w:r>
      <w:r>
        <w:t xml:space="preserve"> </w:t>
      </w:r>
      <m:oMath>
        <m:r>
          <m:t>1</m:t>
        </m:r>
        <m:r>
          <m:rPr>
            <m:sty m:val="p"/>
          </m:rPr>
          <m:t>−</m:t>
        </m:r>
        <m:r>
          <m:t>2</m:t>
        </m:r>
        <m:sSup>
          <m:e>
            <m:r>
              <m:t>ξ</m:t>
            </m:r>
          </m:e>
          <m:sup>
            <m:r>
              <m:t>2</m:t>
            </m:r>
          </m:sup>
        </m:sSup>
        <m:r>
          <m:rPr>
            <m:sty m:val="p"/>
          </m:rPr>
          <m:t>+</m:t>
        </m:r>
        <m:sSup>
          <m:e>
            <m:r>
              <m:t>ξ</m:t>
            </m:r>
          </m:e>
          <m:sup>
            <m:r>
              <m:t>3</m:t>
            </m:r>
          </m:sup>
        </m:sSup>
        <m:r>
          <m:rPr>
            <m:sty m:val="p"/>
          </m:rPr>
          <m:t>=</m:t>
        </m:r>
        <m:d>
          <m:dPr>
            <m:begChr m:val="("/>
            <m:endChr m:val=")"/>
            <m:grow/>
          </m:dPr>
          <m:e>
            <m:r>
              <m:t>1</m:t>
            </m:r>
            <m:r>
              <m:rPr>
                <m:sty m:val="p"/>
              </m:rPr>
              <m:t>−</m:t>
            </m:r>
            <m:r>
              <m:t>ξ</m:t>
            </m:r>
          </m:e>
        </m:d>
        <m:d>
          <m:dPr>
            <m:begChr m:val="("/>
            <m:endChr m:val=")"/>
            <m:grow/>
          </m:dPr>
          <m:e>
            <m:r>
              <m:t>1</m:t>
            </m:r>
            <m:r>
              <m:rPr>
                <m:sty m:val="p"/>
              </m:rPr>
              <m:t>+</m:t>
            </m:r>
            <m:r>
              <m:t>ξ</m:t>
            </m:r>
            <m:r>
              <m:rPr>
                <m:sty m:val="p"/>
              </m:rPr>
              <m:t>−</m:t>
            </m:r>
            <m:sSup>
              <m:e>
                <m:r>
                  <m:t>ξ</m:t>
                </m:r>
              </m:e>
              <m:sup>
                <m:r>
                  <m:t>2</m:t>
                </m:r>
              </m:sup>
            </m:sSup>
          </m:e>
        </m:d>
      </m:oMath>
      <w:r>
        <w:t xml:space="preserve">, setting</w:t>
      </w:r>
      <w:r>
        <w:t xml:space="preserve"> </w:t>
      </w:r>
      <m:oMath>
        <m:r>
          <m:t>F</m:t>
        </m:r>
        <m:r>
          <m:rPr>
            <m:sty m:val="p"/>
          </m:rPr>
          <m:t>=</m:t>
        </m:r>
        <m:r>
          <m:t>0</m:t>
        </m:r>
      </m:oMath>
      <w:r>
        <w:t xml:space="preserve"> </w:t>
      </w:r>
      <w:r>
        <w:t xml:space="preserve">gives Eq. (6). With uniform rigidity, the blind condition for a mid-span sensor is</w:t>
      </w:r>
      <w:r>
        <w:t xml:space="preserve"> </w:t>
      </w:r>
      <m:oMath>
        <m:r>
          <m:t>3</m:t>
        </m:r>
        <m:sSup>
          <m:e>
            <m:r>
              <m:t>λ</m:t>
            </m:r>
          </m:e>
          <m:sup>
            <m:r>
              <m:t>2</m:t>
            </m:r>
          </m:sup>
        </m:sSup>
        <m:r>
          <m:rPr>
            <m:sty m:val="p"/>
          </m:rPr>
          <m:t>−</m:t>
        </m:r>
        <m:r>
          <m:t>3</m:t>
        </m:r>
        <m:r>
          <m:t>λ</m:t>
        </m:r>
        <m:r>
          <m:rPr>
            <m:sty m:val="p"/>
          </m:rPr>
          <m:t>−</m:t>
        </m:r>
        <m:r>
          <m:t>2</m:t>
        </m:r>
        <m:r>
          <m:rPr>
            <m:sty m:val="p"/>
          </m:rPr>
          <m:t>=</m:t>
        </m:r>
        <m:r>
          <m:t>0</m:t>
        </m:r>
      </m:oMath>
      <w:r>
        <w:t xml:space="preserve">, and maximizing</w:t>
      </w:r>
      <w:r>
        <w:t xml:space="preserve"> </w:t>
      </w:r>
      <m:oMath>
        <m:r>
          <m:t>F</m:t>
        </m:r>
      </m:oMath>
      <w:r>
        <w:t xml:space="preserve"> </w:t>
      </w:r>
      <w:r>
        <w:t xml:space="preserve">over</w:t>
      </w:r>
      <w:r>
        <w:t xml:space="preserve"> </w:t>
      </w:r>
      <m:oMath>
        <m:r>
          <m:t>ξ</m:t>
        </m:r>
      </m:oMath>
      <w:r>
        <w:t xml:space="preserve"> </w:t>
      </w:r>
      <w:r>
        <w:t xml:space="preserve">at</w:t>
      </w:r>
      <w:r>
        <w:t xml:space="preserve"> </w:t>
      </w:r>
      <m:oMath>
        <m:r>
          <m:t>μ</m:t>
        </m:r>
        <m:r>
          <m:rPr>
            <m:sty m:val="p"/>
          </m:rPr>
          <m:t>=</m:t>
        </m:r>
        <m:r>
          <m:t>1</m:t>
        </m:r>
      </m:oMath>
      <w:r>
        <w:t xml:space="preserve"> </w:t>
      </w:r>
      <w:r>
        <w:t xml:space="preserve">gives</w:t>
      </w:r>
      <w:r>
        <w:t xml:space="preserve"> </w:t>
      </w:r>
      <m:oMath>
        <m:r>
          <m:t>8</m:t>
        </m:r>
        <m:sSup>
          <m:e>
            <m:r>
              <m:t>ξ</m:t>
            </m:r>
          </m:e>
          <m:sup>
            <m:r>
              <m:t>2</m:t>
            </m:r>
          </m:sup>
        </m:sSup>
        <m:r>
          <m:rPr>
            <m:sty m:val="p"/>
          </m:rPr>
          <m:t>−</m:t>
        </m:r>
        <m:r>
          <m:t>ξ</m:t>
        </m:r>
        <m:r>
          <m:rPr>
            <m:sty m:val="p"/>
          </m:rPr>
          <m:t>−</m:t>
        </m:r>
        <m:r>
          <m:t>1</m:t>
        </m:r>
        <m:r>
          <m:rPr>
            <m:sty m:val="p"/>
          </m:rPr>
          <m:t>=</m:t>
        </m:r>
        <m:r>
          <m:t>0</m:t>
        </m:r>
      </m:oMath>
      <w:r>
        <w:t xml:space="preserve">. Hence, for a mid-span sensor on two spans of equal rigidity, the blind span ratio and, for equal spans, the optimal sensor position are</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λ</m:t>
                    </m:r>
                  </m:e>
                  <m:sub>
                    <m:r>
                      <m:rPr>
                        <m:sty m:val="p"/>
                        <m:nor/>
                      </m:rPr>
                      <m:t>crit</m:t>
                    </m:r>
                  </m:sub>
                </m:sSub>
                <m:r>
                  <m:rPr>
                    <m:sty m:val="p"/>
                  </m:rPr>
                  <m:t>=</m:t>
                </m:r>
                <m:f>
                  <m:fPr>
                    <m:type m:val="bar"/>
                  </m:fPr>
                  <m:num>
                    <m:r>
                      <m:t>3</m:t>
                    </m:r>
                    <m:r>
                      <m:rPr>
                        <m:sty m:val="p"/>
                      </m:rPr>
                      <m:t>+</m:t>
                    </m:r>
                    <m:rad>
                      <m:radPr>
                        <m:degHide m:val="on"/>
                      </m:radPr>
                      <m:deg/>
                      <m:e>
                        <m:r>
                          <m:t>33</m:t>
                        </m:r>
                      </m:e>
                    </m:rad>
                  </m:num>
                  <m:den>
                    <m:r>
                      <m:t>6</m:t>
                    </m:r>
                  </m:den>
                </m:f>
                <m:r>
                  <m:rPr>
                    <m:sty m:val="p"/>
                  </m:rPr>
                  <m:t>=</m:t>
                </m:r>
                <m:r>
                  <m:t>1.4574</m:t>
                </m:r>
                <m:r>
                  <m:rPr>
                    <m:sty m:val="p"/>
                  </m:rPr>
                  <m:t>,</m:t>
                </m:r>
                <m:r>
                  <m:t>  </m:t>
                </m:r>
                <m:sSup>
                  <m:e>
                    <m:r>
                      <m:t>ξ</m:t>
                    </m:r>
                  </m:e>
                  <m:sup>
                    <m:r>
                      <m:rPr>
                        <m:nor/>
                      </m:rPr>
                      <m:t>*</m:t>
                    </m:r>
                  </m:sup>
                </m:sSup>
                <m:r>
                  <m:rPr>
                    <m:sty m:val="p"/>
                  </m:rPr>
                  <m:t>=</m:t>
                </m:r>
                <m:f>
                  <m:fPr>
                    <m:type m:val="bar"/>
                  </m:fPr>
                  <m:num>
                    <m:r>
                      <m:t>1</m:t>
                    </m:r>
                    <m:r>
                      <m:rPr>
                        <m:sty m:val="p"/>
                      </m:rPr>
                      <m:t>+</m:t>
                    </m:r>
                    <m:rad>
                      <m:radPr>
                        <m:degHide m:val="on"/>
                      </m:radPr>
                      <m:deg/>
                      <m:e>
                        <m:r>
                          <m:t>33</m:t>
                        </m:r>
                      </m:e>
                    </m:rad>
                  </m:num>
                  <m:den>
                    <m:r>
                      <m:t>16</m:t>
                    </m:r>
                  </m:den>
                </m:f>
                <m:r>
                  <m:rPr>
                    <m:sty m:val="p"/>
                  </m:rPr>
                  <m:t>=</m:t>
                </m:r>
                <m:r>
                  <m:t>0.4215</m:t>
                </m:r>
                <m:r>
                  <m:rPr>
                    <m:sty m:val="p"/>
                  </m:rPr>
                  <m:t>.</m:t>
                </m:r>
              </m:oMath>
            </m:oMathPara>
          </w:p>
        </w:tc>
        <w:tc>
          <w:tcPr>
            <w:tcW w:type="dxa" w:w="907"/>
            <w:vAlign w:val="center"/>
          </w:tcPr>
          <w:p>
            <w:pPr>
              <w:jc w:val="right"/>
            </w:pPr>
            <w:r>
              <w:t xml:space="preserve">(S1)</w:t>
            </w:r>
          </w:p>
        </w:tc>
      </w:tr>
    </w:tbl>
    <w:p>
      <w:pPr>
        <w:pStyle w:val="BodyText"/>
      </w:pPr>
      <w:r>
        <w:t xml:space="preserve">In units of</w:t>
      </w:r>
      <w:r>
        <w:t xml:space="preserve"> </w:t>
      </w:r>
      <m:oMath>
        <m:sSubSup>
          <m:e>
            <m:r>
              <m:t>L</m:t>
            </m:r>
          </m:e>
          <m:sub>
            <m:r>
              <m:t>1</m:t>
            </m:r>
          </m:sub>
          <m:sup>
            <m:r>
              <m:t>4</m:t>
            </m:r>
          </m:sup>
        </m:sSubSup>
        <m:r>
          <m:rPr>
            <m:sty m:val="p"/>
          </m:rPr>
          <m:t>/</m:t>
        </m:r>
        <m:d>
          <m:dPr>
            <m:begChr m:val="("/>
            <m:endChr m:val=")"/>
            <m:grow/>
          </m:dPr>
          <m:e>
            <m:r>
              <m:t>192</m:t>
            </m:r>
            <m:r>
              <m:t>E</m:t>
            </m:r>
            <m:sSub>
              <m:e>
                <m:r>
                  <m:t>I</m:t>
                </m:r>
              </m:e>
              <m:sub>
                <m:r>
                  <m:t>1</m:t>
                </m:r>
              </m:sub>
            </m:sSub>
          </m:e>
        </m:d>
      </m:oMath>
      <w:r>
        <w:t xml:space="preserve">, the positive contribution of the instrumented span varies only between 1.50 and 2.00 for</w:t>
      </w:r>
      <w:r>
        <w:t xml:space="preserve"> </w:t>
      </w:r>
      <m:oMath>
        <m:r>
          <m:t>λ</m:t>
        </m:r>
      </m:oMath>
      <w:r>
        <w:t xml:space="preserve"> </w:t>
      </w:r>
      <w:r>
        <w:t xml:space="preserve">from 0.5 to 2.0, whereas the negative contribution of the adjacent span sweeps from −0.125 to −4.00; the cancellation is driven almost entirely by the adjacent span.</w:t>
      </w:r>
    </w:p>
    <w:p>
      <w:pPr>
        <w:pStyle w:val="BodyText"/>
      </w:pPr>
      <w:r>
        <w:t xml:space="preserve">For the symmetric three-span beam the three-moment equation gives</w:t>
      </w:r>
      <w:r>
        <w:t xml:space="preserve"> </w:t>
      </w:r>
      <m:oMath>
        <m:sSub>
          <m:e>
            <m:r>
              <m:t>M</m:t>
            </m:r>
          </m:e>
          <m:sub>
            <m:r>
              <m:t>B</m:t>
            </m:r>
          </m:sub>
        </m:sSub>
        <m:r>
          <m:rPr>
            <m:sty m:val="p"/>
          </m:rPr>
          <m:t>=</m:t>
        </m:r>
        <m:sSub>
          <m:e>
            <m:r>
              <m:t>M</m:t>
            </m:r>
          </m:e>
          <m:sub>
            <m:r>
              <m:t>C</m:t>
            </m:r>
          </m:sub>
        </m:sSub>
        <m:r>
          <m:rPr>
            <m:sty m:val="p"/>
          </m:rPr>
          <m:t>=</m:t>
        </m:r>
        <m:r>
          <m:rPr>
            <m:sty m:val="p"/>
          </m:rPr>
          <m:t>−</m:t>
        </m:r>
        <m:sSub>
          <m:e>
            <m:r>
              <m:t>q</m:t>
            </m:r>
          </m:e>
          <m:sub>
            <m:r>
              <m:t>0</m:t>
            </m:r>
          </m:sub>
        </m:sSub>
        <m:sSubSup>
          <m:e>
            <m:r>
              <m:t>L</m:t>
            </m:r>
          </m:e>
          <m:sub>
            <m:r>
              <m:rPr>
                <m:sty m:val="p"/>
                <m:nor/>
              </m:rPr>
              <m:t>side</m:t>
            </m:r>
          </m:sub>
          <m:sup>
            <m:r>
              <m:t>2</m:t>
            </m:r>
          </m:sup>
        </m:sSubSup>
        <m:r>
          <m:t>μ</m:t>
        </m:r>
        <m:r>
          <m:rPr>
            <m:sty m:val="p"/>
          </m:rPr>
          <m:t>/</m:t>
        </m:r>
        <m:r>
          <m:t>8</m:t>
        </m:r>
      </m:oMath>
      <w:r>
        <w:t xml:space="preserve"> </w:t>
      </w:r>
      <w:r>
        <w:t xml:space="preserve">with</w:t>
      </w:r>
      <w:r>
        <w:t xml:space="preserve"> </w:t>
      </w:r>
      <m:oMath>
        <m:sSub>
          <m:e>
            <m:r>
              <m:t>μ</m:t>
            </m:r>
          </m:e>
          <m:sub>
            <m:r>
              <m:rPr>
                <m:sty m:val="p"/>
              </m:rPr>
              <m:t>3</m:t>
            </m:r>
            <m:r>
              <m:rPr>
                <m:sty m:val="p"/>
                <m:nor/>
              </m:rPr>
              <m:t>span</m:t>
            </m:r>
          </m:sub>
        </m:sSub>
      </m:oMath>
      <w:r>
        <w:t xml:space="preserve"> </w:t>
      </w:r>
      <w:r>
        <w:t xml:space="preserve">of Eq. (4). Three equal spans give</w:t>
      </w:r>
      <w:r>
        <w:t xml:space="preserve"> </w:t>
      </w:r>
      <m:oMath>
        <m:r>
          <m:t>μ</m:t>
        </m:r>
        <m:r>
          <m:rPr>
            <m:sty m:val="p"/>
          </m:rPr>
          <m:t>=</m:t>
        </m:r>
        <m:r>
          <m:t>4</m:t>
        </m:r>
        <m:r>
          <m:rPr>
            <m:sty m:val="p"/>
          </m:rPr>
          <m:t>/</m:t>
        </m:r>
        <m:r>
          <m:t>5</m:t>
        </m:r>
      </m:oMath>
      <w:r>
        <w:t xml:space="preserve">. For a mid side-span sensor and uniform rigidity, the blind ratio is the positive root of</w:t>
      </w:r>
      <w:r>
        <w:t xml:space="preserve"> </w:t>
      </w:r>
      <m:oMath>
        <m:r>
          <m:t>6</m:t>
        </m:r>
        <m:sSup>
          <m:e>
            <m:r>
              <m:t>β</m:t>
            </m:r>
          </m:e>
          <m:sup>
            <m:r>
              <m:t>3</m:t>
            </m:r>
          </m:sup>
        </m:sSup>
        <m:r>
          <m:rPr>
            <m:sty m:val="p"/>
          </m:rPr>
          <m:t>−</m:t>
        </m:r>
        <m:r>
          <m:t>15</m:t>
        </m:r>
        <m:r>
          <m:t>β</m:t>
        </m:r>
        <m:r>
          <m:rPr>
            <m:sty m:val="p"/>
          </m:rPr>
          <m:t>−</m:t>
        </m:r>
        <m:r>
          <m:t>4</m:t>
        </m:r>
        <m:r>
          <m:rPr>
            <m:sty m:val="p"/>
          </m:rPr>
          <m:t>=</m:t>
        </m:r>
        <m:r>
          <m:t>0</m:t>
        </m:r>
      </m:oMath>
      <w:r>
        <w:t xml:space="preserve">,</w:t>
      </w:r>
    </w:p>
    <w:tbl>
      <w:tblPr>
        <w:tblStyle w:val="Table"/>
        <w:tblW w:type="pct" w:w="5000"/>
        <w:tblLook w:firstRow="0" w:lastRow="0" w:firstColumn="0" w:lastColumn="0" w:noHBand="0" w:noVBand="0" w:val="0000"/>
        <w:jc w:val="center"/>
        <w:tblBorders>
          <w:top w:val="nil"/>
          <w:left w:val="nil"/>
          <w:bottom w:val="nil"/>
          <w:right w:val="nil"/>
          <w:insideH w:val="nil"/>
          <w:insideV w:val="nil"/>
        </w:tblBorders>
      </w:tblPr>
      <w:tblGrid>
        <w:gridCol w:w="907"/>
        <w:gridCol w:w="7256"/>
        <w:gridCol w:w="907"/>
      </w:tblGrid>
      <w:tr>
        <w:tc>
          <w:tcPr>
            <w:tcW w:type="dxa" w:w="907"/>
            <w:vAlign w:val="center"/>
          </w:tcPr>
          <w:p>
            <w:pPr>
              <w:pStyle w:val="Compact"/>
            </w:pPr>
          </w:p>
        </w:tc>
        <w:tc>
          <w:tcPr>
            <w:tcW w:type="dxa" w:w="7256"/>
            <w:vAlign w:val="center"/>
          </w:tcPr>
          <w:p>
            <w:pPr>
              <w:jc w:val="center"/>
            </w:pPr>
            <m:oMathPara>
              <m:oMathParaPr>
                <m:jc m:val="center"/>
              </m:oMathParaPr>
              <m:oMath>
                <m:sSub>
                  <m:e>
                    <m:r>
                      <m:t>β</m:t>
                    </m:r>
                  </m:e>
                  <m:sub>
                    <m:r>
                      <m:rPr>
                        <m:sty m:val="p"/>
                        <m:nor/>
                      </m:rPr>
                      <m:t>crit</m:t>
                    </m:r>
                  </m:sub>
                </m:sSub>
                <m:r>
                  <m:rPr>
                    <m:sty m:val="p"/>
                  </m:rPr>
                  <m:t>=</m:t>
                </m:r>
                <m:rad>
                  <m:radPr>
                    <m:degHide m:val="on"/>
                  </m:radPr>
                  <m:deg/>
                  <m:e>
                    <m:r>
                      <m:t>10</m:t>
                    </m:r>
                    <m:r>
                      <m:rPr>
                        <m:sty m:val="p"/>
                      </m:rPr>
                      <m:t>/</m:t>
                    </m:r>
                    <m:r>
                      <m:t>3</m:t>
                    </m:r>
                  </m:e>
                </m:rad>
                <m:r>
                  <m:t> </m:t>
                </m:r>
                <m:r>
                  <m:rPr>
                    <m:sty m:val="p"/>
                    <m:nor/>
                  </m:rPr>
                  <m:t>cos</m:t>
                </m:r>
                <m:r>
                  <m:t>​</m:t>
                </m:r>
                <m:d>
                  <m:dPr>
                    <m:begChr m:val="["/>
                    <m:endChr m:val="]"/>
                    <m:grow/>
                  </m:dPr>
                  <m:e>
                    <m:f>
                      <m:fPr>
                        <m:type m:val="bar"/>
                      </m:fPr>
                      <m:num>
                        <m:r>
                          <m:t>1</m:t>
                        </m:r>
                      </m:num>
                      <m:den>
                        <m:r>
                          <m:t>3</m:t>
                        </m:r>
                      </m:den>
                    </m:f>
                    <m:r>
                      <m:rPr>
                        <m:sty m:val="p"/>
                        <m:nor/>
                      </m:rPr>
                      <m:t>arccos</m:t>
                    </m:r>
                    <m:r>
                      <m:t>​</m:t>
                    </m:r>
                    <m:d>
                      <m:dPr>
                        <m:begChr m:val="("/>
                        <m:endChr m:val=")"/>
                        <m:grow/>
                      </m:dPr>
                      <m:e>
                        <m:f>
                          <m:fPr>
                            <m:type m:val="bar"/>
                          </m:fPr>
                          <m:num>
                            <m:r>
                              <m:t>2</m:t>
                            </m:r>
                          </m:num>
                          <m:den>
                            <m:r>
                              <m:t>5</m:t>
                            </m:r>
                          </m:den>
                        </m:f>
                        <m:rad>
                          <m:radPr>
                            <m:degHide m:val="on"/>
                          </m:radPr>
                          <m:deg/>
                          <m:e>
                            <m:r>
                              <m:t>6</m:t>
                            </m:r>
                            <m:r>
                              <m:rPr>
                                <m:sty m:val="p"/>
                              </m:rPr>
                              <m:t>/</m:t>
                            </m:r>
                            <m:r>
                              <m:t>5</m:t>
                            </m:r>
                          </m:e>
                        </m:rad>
                      </m:e>
                    </m:d>
                  </m:e>
                </m:d>
                <m:r>
                  <m:rPr>
                    <m:sty m:val="p"/>
                  </m:rPr>
                  <m:t>=</m:t>
                </m:r>
                <m:r>
                  <m:t>1.7006</m:t>
                </m:r>
                <m:r>
                  <m:rPr>
                    <m:sty m:val="p"/>
                  </m:rPr>
                  <m:t>.</m:t>
                </m:r>
              </m:oMath>
            </m:oMathPara>
          </w:p>
        </w:tc>
        <w:tc>
          <w:tcPr>
            <w:tcW w:type="dxa" w:w="907"/>
            <w:vAlign w:val="center"/>
          </w:tcPr>
          <w:p>
            <w:pPr>
              <w:jc w:val="right"/>
            </w:pPr>
            <w:r>
              <w:t xml:space="preserve">(S2)</w:t>
            </w:r>
          </w:p>
        </w:tc>
      </w:tr>
    </w:tbl>
    <w:p>
      <w:pPr>
        <w:pStyle w:val="BodyText"/>
      </w:pPr>
      <w:r>
        <w:t xml:space="preserve">The blind locus over all side-span positions ends at</w:t>
      </w:r>
      <w:r>
        <w:t xml:space="preserve"> </w:t>
      </w:r>
      <m:oMath>
        <m:r>
          <m:t>β</m:t>
        </m:r>
        <m:r>
          <m:rPr>
            <m:sty m:val="p"/>
          </m:rPr>
          <m:t>=</m:t>
        </m:r>
        <m:r>
          <m:t>2</m:t>
        </m:r>
        <m:r>
          <m:rPr>
            <m:sty m:val="p"/>
            <m:nor/>
          </m:rPr>
          <m:t>cos</m:t>
        </m:r>
        <m:d>
          <m:dPr>
            <m:begChr m:val="("/>
            <m:endChr m:val=")"/>
            <m:grow/>
          </m:dPr>
          <m:e>
            <m:r>
              <m:t>π</m:t>
            </m:r>
            <m:r>
              <m:rPr>
                <m:sty m:val="p"/>
              </m:rPr>
              <m:t>/</m:t>
            </m:r>
            <m:r>
              <m:t>9</m:t>
            </m:r>
          </m:e>
        </m:d>
        <m:r>
          <m:rPr>
            <m:sty m:val="p"/>
          </m:rPr>
          <m:t>=</m:t>
        </m:r>
        <m:r>
          <m:t>1.8794</m:t>
        </m:r>
      </m:oMath>
      <w:r>
        <w:t xml:space="preserve">. The optimal side-span position solves</w:t>
      </w:r>
      <w:r>
        <w:t xml:space="preserve"> </w:t>
      </w:r>
      <m:oMath>
        <m:r>
          <m:t>8</m:t>
        </m:r>
        <m:sSup>
          <m:e>
            <m:r>
              <m:t>ξ</m:t>
            </m:r>
          </m:e>
          <m:sup>
            <m:r>
              <m:t>3</m:t>
            </m:r>
          </m:sup>
        </m:sSup>
        <m:r>
          <m:rPr>
            <m:sty m:val="p"/>
          </m:rPr>
          <m:t>−</m:t>
        </m:r>
        <m:d>
          <m:dPr>
            <m:begChr m:val="("/>
            <m:endChr m:val=")"/>
            <m:grow/>
          </m:dPr>
          <m:e>
            <m:r>
              <m:t>12</m:t>
            </m:r>
            <m:r>
              <m:rPr>
                <m:sty m:val="p"/>
              </m:rPr>
              <m:t>−</m:t>
            </m:r>
            <m:r>
              <m:t>3</m:t>
            </m:r>
            <m:r>
              <m:t>μ</m:t>
            </m:r>
          </m:e>
        </m:d>
        <m:sSup>
          <m:e>
            <m:r>
              <m:t>ξ</m:t>
            </m:r>
          </m:e>
          <m:sup>
            <m:r>
              <m:t>2</m:t>
            </m:r>
          </m:sup>
        </m:sSup>
        <m:r>
          <m:rPr>
            <m:sty m:val="p"/>
          </m:rPr>
          <m:t>+</m:t>
        </m:r>
        <m:d>
          <m:dPr>
            <m:begChr m:val="("/>
            <m:endChr m:val=")"/>
            <m:grow/>
          </m:dPr>
          <m:e>
            <m:r>
              <m:t>2</m:t>
            </m:r>
            <m:r>
              <m:rPr>
                <m:sty m:val="p"/>
              </m:rPr>
              <m:t>−</m:t>
            </m:r>
            <m:r>
              <m:t>μ</m:t>
            </m:r>
          </m:e>
        </m:d>
        <m:r>
          <m:rPr>
            <m:sty m:val="p"/>
          </m:rPr>
          <m:t>=</m:t>
        </m:r>
        <m:r>
          <m:t>0</m:t>
        </m:r>
      </m:oMath>
      <w:r>
        <w:t xml:space="preserve"> </w:t>
      </w:r>
      <w:r>
        <w:t xml:space="preserve">(Table S2). For the threshold 0.2, the near-blind band at mid side span,</w:t>
      </w:r>
      <w:r>
        <w:t xml:space="preserve"> </w:t>
      </w:r>
      <m:oMath>
        <m:r>
          <m:t>1.621</m:t>
        </m:r>
        <m:r>
          <m:rPr>
            <m:sty m:val="p"/>
          </m:rPr>
          <m:t>&lt;</m:t>
        </m:r>
        <m:r>
          <m:t>β</m:t>
        </m:r>
        <m:r>
          <m:rPr>
            <m:sty m:val="p"/>
          </m:rPr>
          <m:t>&lt;</m:t>
        </m:r>
        <m:r>
          <m:t>1.775</m:t>
        </m:r>
      </m:oMath>
      <w:r>
        <w:t xml:space="preserve">, runs from the root of</w:t>
      </w:r>
      <w:r>
        <w:t xml:space="preserve"> </w:t>
      </w:r>
      <m:oMath>
        <m:r>
          <m:t>30</m:t>
        </m:r>
        <m:sSup>
          <m:e>
            <m:r>
              <m:t>β</m:t>
            </m:r>
          </m:e>
          <m:sup>
            <m:r>
              <m:t>3</m:t>
            </m:r>
          </m:sup>
        </m:sSup>
        <m:r>
          <m:rPr>
            <m:sty m:val="p"/>
          </m:rPr>
          <m:t>−</m:t>
        </m:r>
        <m:r>
          <m:t>69</m:t>
        </m:r>
        <m:r>
          <m:t>β</m:t>
        </m:r>
        <m:r>
          <m:rPr>
            <m:sty m:val="p"/>
          </m:rPr>
          <m:t>−</m:t>
        </m:r>
        <m:r>
          <m:t>16</m:t>
        </m:r>
        <m:r>
          <m:rPr>
            <m:sty m:val="p"/>
          </m:rPr>
          <m:t>=</m:t>
        </m:r>
        <m:r>
          <m:t>0</m:t>
        </m:r>
      </m:oMath>
      <w:r>
        <w:t xml:space="preserve"> </w:t>
      </w:r>
      <w:r>
        <w:t xml:space="preserve">(1.621) to that of</w:t>
      </w:r>
      <w:r>
        <w:t xml:space="preserve"> </w:t>
      </w:r>
      <m:oMath>
        <m:r>
          <m:t>10</m:t>
        </m:r>
        <m:sSup>
          <m:e>
            <m:r>
              <m:t>β</m:t>
            </m:r>
          </m:e>
          <m:sup>
            <m:r>
              <m:t>3</m:t>
            </m:r>
          </m:sup>
        </m:sSup>
        <m:r>
          <m:rPr>
            <m:sty m:val="p"/>
          </m:rPr>
          <m:t>−</m:t>
        </m:r>
        <m:r>
          <m:t>27</m:t>
        </m:r>
        <m:r>
          <m:t>β</m:t>
        </m:r>
        <m:r>
          <m:rPr>
            <m:sty m:val="p"/>
          </m:rPr>
          <m:t>−</m:t>
        </m:r>
        <m:r>
          <m:t>8</m:t>
        </m:r>
        <m:r>
          <m:rPr>
            <m:sty m:val="p"/>
          </m:rPr>
          <m:t>=</m:t>
        </m:r>
        <m:r>
          <m:t>0</m:t>
        </m:r>
      </m:oMath>
      <w:r>
        <w:t xml:space="preserve"> </w:t>
      </w:r>
      <w:r>
        <w:t xml:space="preserve">(1.775). A mid main-span deflection sensor is blind at</w:t>
      </w:r>
      <w:r>
        <w:t xml:space="preserve"> </w:t>
      </w:r>
      <m:oMath>
        <m:r>
          <m:t>β</m:t>
        </m:r>
        <m:r>
          <m:rPr>
            <m:sty m:val="p"/>
          </m:rPr>
          <m:t>=</m:t>
        </m:r>
        <m:r>
          <m:t>0.9647</m:t>
        </m:r>
      </m:oMath>
      <w:r>
        <w:t xml:space="preserve">; in the main span, blind points exist for</w:t>
      </w:r>
      <w:r>
        <w:t xml:space="preserve"> </w:t>
      </w:r>
      <m:oMath>
        <m:r>
          <m:t>0.9647</m:t>
        </m:r>
        <m:r>
          <m:rPr>
            <m:sty m:val="p"/>
          </m:rPr>
          <m:t>≤</m:t>
        </m:r>
        <m:r>
          <m:t>β</m:t>
        </m:r>
        <m:r>
          <m:rPr>
            <m:sty m:val="p"/>
          </m:rPr>
          <m:t>&lt;</m:t>
        </m:r>
        <m:rad>
          <m:radPr>
            <m:degHide m:val="on"/>
          </m:radPr>
          <m:deg/>
          <m:e>
            <m:r>
              <m:t>3</m:t>
            </m:r>
            <m:r>
              <m:rPr>
                <m:sty m:val="p"/>
              </m:rPr>
              <m:t>/</m:t>
            </m:r>
            <m:r>
              <m:t>2</m:t>
            </m:r>
          </m:e>
        </m:rad>
        <m:r>
          <m:rPr>
            <m:sty m:val="p"/>
          </m:rPr>
          <m:t>=</m:t>
        </m:r>
        <m:r>
          <m:t>1.2247</m:t>
        </m:r>
      </m:oMath>
      <w:r>
        <w:t xml:space="preserve">, where the blind condition is</w:t>
      </w:r>
      <w:r>
        <w:t xml:space="preserve"> </w:t>
      </w:r>
      <m:oMath>
        <m:r>
          <m:t>ν</m:t>
        </m:r>
        <m:r>
          <m:rPr>
            <m:sty m:val="p"/>
          </m:rPr>
          <m:t>=</m:t>
        </m:r>
        <m:r>
          <m:t>1</m:t>
        </m:r>
        <m:r>
          <m:rPr>
            <m:sty m:val="p"/>
          </m:rPr>
          <m:t>+</m:t>
        </m:r>
        <m:r>
          <m:t>ζ</m:t>
        </m:r>
        <m:r>
          <m:rPr>
            <m:sty m:val="p"/>
          </m:rPr>
          <m:t>−</m:t>
        </m:r>
        <m:sSup>
          <m:e>
            <m:r>
              <m:t>ζ</m:t>
            </m:r>
          </m:e>
          <m:sup>
            <m:r>
              <m:t>2</m:t>
            </m:r>
          </m:sup>
        </m:sSup>
      </m:oMath>
      <w:r>
        <w:t xml:space="preserve"> </w:t>
      </w:r>
      <w:r>
        <w:t xml:space="preserve">with</w:t>
      </w:r>
      <w:r>
        <w:t xml:space="preserve"> </w:t>
      </w:r>
      <m:oMath>
        <m:r>
          <m:t>ν</m:t>
        </m:r>
      </m:oMath>
      <w:r>
        <w:t xml:space="preserve"> </w:t>
      </w:r>
      <w:r>
        <w:t xml:space="preserve">defined below (three equal spans:</w:t>
      </w:r>
      <w:r>
        <w:t xml:space="preserve"> </w:t>
      </w:r>
      <m:oMath>
        <m:r>
          <m:t>ν</m:t>
        </m:r>
        <m:r>
          <m:rPr>
            <m:sty m:val="p"/>
          </m:rPr>
          <m:t>=</m:t>
        </m:r>
        <m:r>
          <m:t>1.2</m:t>
        </m:r>
      </m:oMath>
      <w:r>
        <w:t xml:space="preserve">,</w:t>
      </w:r>
      <w:r>
        <w:t xml:space="preserve"> </w:t>
      </w:r>
      <m:oMath>
        <m:r>
          <m:t>ζ</m:t>
        </m:r>
        <m:r>
          <m:rPr>
            <m:sty m:val="p"/>
          </m:rPr>
          <m:t>=</m:t>
        </m:r>
        <m:r>
          <m:t>0.276</m:t>
        </m:r>
      </m:oMath>
      <w:r>
        <w:t xml:space="preserve">, and</w:t>
      </w:r>
      <w:r>
        <w:t xml:space="preserve"> </w:t>
      </w:r>
      <m:oMath>
        <m:r>
          <m:rPr>
            <m:sty m:val="p"/>
          </m:rPr>
          <m:t>−</m:t>
        </m:r>
        <m:r>
          <m:t>0.08</m:t>
        </m:r>
        <m:r>
          <m:rPr>
            <m:sty m:val="p"/>
          </m:rPr>
          <m:t>≤</m:t>
        </m:r>
        <m:sSub>
          <m:e>
            <m:r>
              <m:t>N</m:t>
            </m:r>
          </m:e>
          <m:sub>
            <m:r>
              <m:t>w</m:t>
            </m:r>
          </m:sub>
        </m:sSub>
        <m:r>
          <m:rPr>
            <m:sty m:val="p"/>
          </m:rPr>
          <m:t>≤</m:t>
        </m:r>
        <m:r>
          <m:t>0.10</m:t>
        </m:r>
      </m:oMath>
      <w:r>
        <w:t xml:space="preserve"> </w:t>
      </w:r>
      <w:r>
        <w:t xml:space="preserve">along the main span). For a sensor at</w:t>
      </w:r>
      <w:r>
        <w:t xml:space="preserve"> </w:t>
      </w:r>
      <m:oMath>
        <m:r>
          <m:t>ζ</m:t>
        </m:r>
        <m:r>
          <m:rPr>
            <m:sty m:val="p"/>
          </m:rPr>
          <m:t>=</m:t>
        </m:r>
        <m:r>
          <m:t>x</m:t>
        </m:r>
        <m:r>
          <m:rPr>
            <m:sty m:val="p"/>
          </m:rPr>
          <m:t>/</m:t>
        </m:r>
        <m:sSub>
          <m:e>
            <m:r>
              <m:t>L</m:t>
            </m:r>
          </m:e>
          <m:sub>
            <m:r>
              <m:rPr>
                <m:sty m:val="p"/>
                <m:nor/>
              </m:rPr>
              <m:t>main</m:t>
            </m:r>
          </m:sub>
        </m:sSub>
      </m:oMath>
      <w:r>
        <w:t xml:space="preserve"> </w:t>
      </w:r>
      <w:r>
        <w:t xml:space="preserve">in the main span,</w:t>
      </w:r>
      <w:r>
        <w:t xml:space="preserve"> </w:t>
      </w:r>
      <m:oMath>
        <m:r>
          <m:t>192</m:t>
        </m:r>
        <m:r>
          <m:t>E</m:t>
        </m:r>
        <m:sSub>
          <m:e>
            <m:r>
              <m:t>I</m:t>
            </m:r>
          </m:e>
          <m:sub>
            <m:r>
              <m:rPr>
                <m:sty m:val="p"/>
                <m:nor/>
              </m:rPr>
              <m:t>main</m:t>
            </m:r>
          </m:sub>
        </m:sSub>
        <m:sSub>
          <m:e>
            <m:r>
              <m:t>C</m:t>
            </m:r>
          </m:e>
          <m:sub>
            <m:r>
              <m:t>m</m:t>
            </m:r>
          </m:sub>
        </m:sSub>
        <m:r>
          <m:rPr>
            <m:sty m:val="p"/>
          </m:rPr>
          <m:t>/</m:t>
        </m:r>
        <m:sSubSup>
          <m:e>
            <m:r>
              <m:t>L</m:t>
            </m:r>
          </m:e>
          <m:sub>
            <m:r>
              <m:rPr>
                <m:sty m:val="p"/>
                <m:nor/>
              </m:rPr>
              <m:t>main</m:t>
            </m:r>
          </m:sub>
          <m:sup>
            <m:r>
              <m:t>4</m:t>
            </m:r>
          </m:sup>
        </m:sSubSup>
        <m:r>
          <m:rPr>
            <m:sty m:val="p"/>
          </m:rPr>
          <m:t>=</m:t>
        </m:r>
        <m:r>
          <m:t>8</m:t>
        </m:r>
        <m:d>
          <m:dPr>
            <m:begChr m:val="["/>
            <m:endChr m:val="]"/>
            <m:grow/>
          </m:dPr>
          <m:e>
            <m:r>
              <m:t>ζ</m:t>
            </m:r>
            <m:d>
              <m:dPr>
                <m:begChr m:val="("/>
                <m:endChr m:val=")"/>
                <m:grow/>
              </m:dPr>
              <m:e>
                <m:r>
                  <m:t>1</m:t>
                </m:r>
                <m:r>
                  <m:rPr>
                    <m:sty m:val="p"/>
                  </m:rPr>
                  <m:t>−</m:t>
                </m:r>
                <m:r>
                  <m:t>2</m:t>
                </m:r>
                <m:sSup>
                  <m:e>
                    <m:r>
                      <m:t>ζ</m:t>
                    </m:r>
                  </m:e>
                  <m:sup>
                    <m:r>
                      <m:t>2</m:t>
                    </m:r>
                  </m:sup>
                </m:sSup>
                <m:r>
                  <m:rPr>
                    <m:sty m:val="p"/>
                  </m:rPr>
                  <m:t>+</m:t>
                </m:r>
                <m:sSup>
                  <m:e>
                    <m:r>
                      <m:t>ζ</m:t>
                    </m:r>
                  </m:e>
                  <m:sup>
                    <m:r>
                      <m:t>3</m:t>
                    </m:r>
                  </m:sup>
                </m:sSup>
              </m:e>
            </m:d>
            <m:r>
              <m:rPr>
                <m:sty m:val="p"/>
              </m:rPr>
              <m:t>−</m:t>
            </m:r>
            <m:r>
              <m:t>ν</m:t>
            </m:r>
            <m:r>
              <m:t>ζ</m:t>
            </m:r>
            <m:d>
              <m:dPr>
                <m:begChr m:val="("/>
                <m:endChr m:val=")"/>
                <m:grow/>
              </m:dPr>
              <m:e>
                <m:r>
                  <m:t>1</m:t>
                </m:r>
                <m:r>
                  <m:rPr>
                    <m:sty m:val="p"/>
                  </m:rPr>
                  <m:t>−</m:t>
                </m:r>
                <m:r>
                  <m:t>ζ</m:t>
                </m:r>
              </m:e>
            </m:d>
          </m:e>
        </m:d>
      </m:oMath>
      <w:r>
        <w:t xml:space="preserve"> </w:t>
      </w:r>
      <w:r>
        <w:t xml:space="preserve">with</w:t>
      </w:r>
      <w:r>
        <w:t xml:space="preserve"> </w:t>
      </w:r>
      <m:oMath>
        <m:r>
          <m:t>ν</m:t>
        </m:r>
        <m:r>
          <m:rPr>
            <m:sty m:val="p"/>
          </m:rPr>
          <m:t>=</m:t>
        </m:r>
        <m:r>
          <m:t>3</m:t>
        </m:r>
        <m:d>
          <m:dPr>
            <m:begChr m:val="("/>
            <m:endChr m:val=")"/>
            <m:grow/>
          </m:dPr>
          <m:e>
            <m:r>
              <m:t>γ</m:t>
            </m:r>
            <m:r>
              <m:rPr>
                <m:sty m:val="p"/>
              </m:rPr>
              <m:t>+</m:t>
            </m:r>
            <m:sSup>
              <m:e>
                <m:r>
                  <m:t>β</m:t>
                </m:r>
              </m:e>
              <m:sup>
                <m:r>
                  <m:t>3</m:t>
                </m:r>
              </m:sup>
            </m:sSup>
          </m:e>
        </m:d>
        <m:r>
          <m:rPr>
            <m:sty m:val="p"/>
          </m:rPr>
          <m:t>/</m:t>
        </m:r>
        <m:d>
          <m:dPr>
            <m:begChr m:val="["/>
            <m:endChr m:val="]"/>
            <m:grow/>
          </m:dPr>
          <m:e>
            <m:sSup>
              <m:e>
                <m:r>
                  <m:t>β</m:t>
                </m:r>
              </m:e>
              <m:sup>
                <m:r>
                  <m:t>2</m:t>
                </m:r>
              </m:sup>
            </m:sSup>
            <m:d>
              <m:dPr>
                <m:begChr m:val="("/>
                <m:endChr m:val=")"/>
                <m:grow/>
              </m:dPr>
              <m:e>
                <m:r>
                  <m:t>2</m:t>
                </m:r>
                <m:r>
                  <m:t>γ</m:t>
                </m:r>
                <m:r>
                  <m:rPr>
                    <m:sty m:val="p"/>
                  </m:rPr>
                  <m:t>+</m:t>
                </m:r>
                <m:r>
                  <m:t>3</m:t>
                </m:r>
                <m:r>
                  <m:t>β</m:t>
                </m:r>
              </m:e>
            </m:d>
          </m:e>
        </m:d>
      </m:oMath>
      <w:r>
        <w:t xml:space="preserve">. For</w:t>
      </w:r>
      <w:r>
        <w:t xml:space="preserve"> </w:t>
      </w:r>
      <m:oMath>
        <m:r>
          <m:t>β</m:t>
        </m:r>
        <m:r>
          <m:rPr>
            <m:sty m:val="p"/>
          </m:rPr>
          <m:t>=</m:t>
        </m:r>
        <m:r>
          <m:t>1.636</m:t>
        </m:r>
      </m:oMath>
      <w:r>
        <w:t xml:space="preserve"> </w:t>
      </w:r>
      <w:r>
        <w:t xml:space="preserve">the strain blind point in the main span lies at</w:t>
      </w:r>
      <w:r>
        <w:t xml:space="preserve"> </w:t>
      </w:r>
      <m:oMath>
        <m:sSub>
          <m:e>
            <m:r>
              <m:t>ζ</m:t>
            </m:r>
          </m:e>
          <m:sub>
            <m:r>
              <m:t>0</m:t>
            </m:r>
          </m:sub>
        </m:sSub>
        <m:r>
          <m:rPr>
            <m:sty m:val="p"/>
          </m:rPr>
          <m:t>=</m:t>
        </m:r>
        <m:r>
          <m:t>0.177</m:t>
        </m:r>
      </m:oMath>
      <w:r>
        <w:t xml:space="preserve"> </w:t>
      </w:r>
      <w:r>
        <w:t xml:space="preserve">from the pier.</w:t>
      </w:r>
    </w:p>
    <w:p>
      <w:pPr>
        <w:pStyle w:val="BodyText"/>
        <w:keepNext/>
        <w:keepLines/>
      </w:pPr>
      <w:r>
        <w:rPr>
          <w:bCs/>
          <w:b/>
        </w:rPr>
        <w:t xml:space="preserve">Table S2.</w:t>
      </w:r>
      <w:r>
        <w:t xml:space="preserve"> </w:t>
      </w:r>
      <w:r>
        <w:t xml:space="preserve">Symmetric three-span beam, uniform rigidity: optimal side-span position</w:t>
      </w:r>
      <w:r>
        <w:t xml:space="preserve"> </w:t>
      </w:r>
      <m:oMath>
        <m:sSup>
          <m:e>
            <m:r>
              <m:t>ξ</m:t>
            </m:r>
          </m:e>
          <m:sup>
            <m:r>
              <m:rPr>
                <m:nor/>
              </m:rPr>
              <m:t>*</m:t>
            </m:r>
          </m:sup>
        </m:sSup>
      </m:oMath>
      <w:r>
        <w:t xml:space="preserve"> </w:t>
      </w:r>
      <w:r>
        <w:t xml:space="preserve">(largest positive indicator; beyond</w:t>
      </w:r>
      <w:r>
        <w:t xml:space="preserve"> </w:t>
      </w:r>
      <m:oMath>
        <m:r>
          <m:t>β</m:t>
        </m:r>
      </m:oMath>
      <w:r>
        <w:t xml:space="preserve"> </w:t>
      </w:r>
      <w:r>
        <w:t xml:space="preserve">= 1.639 the negative indicator near the inner pier is larger in magnitude, −0.435 at</w:t>
      </w:r>
      <w:r>
        <w:t xml:space="preserve"> </w:t>
      </w:r>
      <m:oMath>
        <m:r>
          <m:t>ξ</m:t>
        </m:r>
      </m:oMath>
      <w:r>
        <w:t xml:space="preserve"> </w:t>
      </w:r>
      <w:r>
        <w:t xml:space="preserve">= 0.81 for</w:t>
      </w:r>
      <w:r>
        <w:t xml:space="preserve"> </w:t>
      </w:r>
      <m:oMath>
        <m:r>
          <m:t>β</m:t>
        </m:r>
      </m:oMath>
      <w:r>
        <w:t xml:space="preserve"> </w:t>
      </w:r>
      <w:r>
        <w:t xml:space="preserve">= 1.7) and deflection indicator</w:t>
      </w:r>
      <w:r>
        <w:t xml:space="preserve"> </w:t>
      </w:r>
      <m:oMath>
        <m:sSub>
          <m:e>
            <m:r>
              <m:t>N</m:t>
            </m:r>
          </m:e>
          <m:sub>
            <m:r>
              <m:t>w</m:t>
            </m:r>
          </m:sub>
        </m:sSub>
      </m:oMath>
      <w:r>
        <w:t xml:space="preserve"> </w:t>
      </w:r>
      <w:r>
        <w:t xml:space="preserve">(Eq. (8); 2.5 for a simply supported mid-span).</w:t>
      </w:r>
    </w:p>
    <w:tbl>
      <w:tblPr>
        <w:tblStyle w:val="Table"/>
        <w:tblW w:type="auto" w:w="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2093"/>
        <w:gridCol w:w="1744"/>
        <w:gridCol w:w="1744"/>
        <w:gridCol w:w="1744"/>
        <w:gridCol w:w="1744"/>
      </w:tblGrid>
      <w:tr>
        <w:trPr>
          <w:tblHeader w:val="true"/>
          <w:tblHeader w:val="true"/>
          <w:cantSplit/>
        </w:trPr>
        <w:tc>
          <w:tcPr>
            <w:tcW w:type="dxa" w:w="2093"/>
            <w:tcBorders>
              <w:top w:val="nil"/>
              <w:left w:val="nil"/>
              <w:bottom w:val="single" w:sz="6" w:space="0" w:color="000000"/>
              <w:right w:val="nil"/>
            </w:tcBorders>
          </w:tcPr>
          <w:p>
            <w:pPr>
              <w:keepNext/>
              <w:pStyle w:val="Compact"/>
              <w:jc w:val="right"/>
            </w:pPr>
            <m:oMath>
              <m:r>
                <m:t>β</m:t>
              </m:r>
            </m:oMath>
          </w:p>
        </w:tc>
        <w:tc>
          <w:tcPr>
            <w:tcW w:type="dxa" w:w="1744"/>
            <w:tcBorders>
              <w:top w:val="nil"/>
              <w:left w:val="nil"/>
              <w:bottom w:val="single" w:sz="6" w:space="0" w:color="000000"/>
              <w:right w:val="nil"/>
            </w:tcBorders>
          </w:tcPr>
          <w:p>
            <w:pPr>
              <w:keepNext/>
              <w:pStyle w:val="Compact"/>
              <w:jc w:val="right"/>
            </w:pPr>
            <m:oMath>
              <m:r>
                <m:t>μ</m:t>
              </m:r>
            </m:oMath>
          </w:p>
        </w:tc>
        <w:tc>
          <w:tcPr>
            <w:tcW w:type="dxa" w:w="1744"/>
            <w:tcBorders>
              <w:top w:val="nil"/>
              <w:left w:val="nil"/>
              <w:bottom w:val="single" w:sz="6" w:space="0" w:color="000000"/>
              <w:right w:val="nil"/>
            </w:tcBorders>
          </w:tcPr>
          <w:p>
            <w:pPr>
              <w:keepNext/>
              <w:pStyle w:val="Compact"/>
              <w:jc w:val="right"/>
            </w:pPr>
            <m:oMath>
              <m:sSup>
                <m:e>
                  <m:r>
                    <m:t>ξ</m:t>
                  </m:r>
                </m:e>
                <m:sup>
                  <m:r>
                    <m:rPr>
                      <m:nor/>
                    </m:rPr>
                    <m:t>*</m:t>
                  </m:r>
                </m:sup>
              </m:sSup>
            </m:oMath>
          </w:p>
        </w:tc>
        <w:tc>
          <w:tcPr>
            <w:tcW w:type="dxa" w:w="1744"/>
            <w:tcBorders>
              <w:top w:val="nil"/>
              <w:left w:val="nil"/>
              <w:bottom w:val="single" w:sz="6" w:space="0" w:color="000000"/>
              <w:right w:val="nil"/>
            </w:tcBorders>
          </w:tcPr>
          <w:p>
            <w:pPr>
              <w:keepNext/>
              <w:pStyle w:val="Compact"/>
              <w:jc w:val="right"/>
            </w:pPr>
            <m:oMath>
              <m:sSub>
                <m:e>
                  <m:r>
                    <m:t>N</m:t>
                  </m:r>
                </m:e>
                <m:sub>
                  <m:r>
                    <m:t>w</m:t>
                  </m:r>
                </m:sub>
              </m:sSub>
            </m:oMath>
            <w:r>
              <w:t xml:space="preserve"> </w:t>
            </w:r>
            <w:r>
              <w:t xml:space="preserve">at</w:t>
            </w:r>
            <w:r>
              <w:t xml:space="preserve"> </w:t>
            </w:r>
            <m:oMath>
              <m:sSup>
                <m:e>
                  <m:r>
                    <m:t>ξ</m:t>
                  </m:r>
                </m:e>
                <m:sup>
                  <m:r>
                    <m:rPr>
                      <m:nor/>
                    </m:rPr>
                    <m:t>*</m:t>
                  </m:r>
                </m:sup>
              </m:sSup>
            </m:oMath>
          </w:p>
        </w:tc>
        <w:tc>
          <w:tcPr>
            <w:tcW w:type="dxa" w:w="1744"/>
            <w:tcBorders>
              <w:top w:val="nil"/>
              <w:left w:val="nil"/>
              <w:bottom w:val="single" w:sz="6" w:space="0" w:color="000000"/>
              <w:right w:val="nil"/>
            </w:tcBorders>
          </w:tcPr>
          <w:p>
            <w:pPr>
              <w:keepNext/>
              <w:pStyle w:val="Compact"/>
              <w:jc w:val="right"/>
            </w:pPr>
            <m:oMath>
              <m:sSub>
                <m:e>
                  <m:r>
                    <m:t>N</m:t>
                  </m:r>
                </m:e>
                <m:sub>
                  <m:r>
                    <m:t>w</m:t>
                  </m:r>
                </m:sub>
              </m:sSub>
            </m:oMath>
            <w:r>
              <w:t xml:space="preserve"> </w:t>
            </w:r>
            <w:r>
              <w:t xml:space="preserve">at</w:t>
            </w:r>
            <w:r>
              <w:t xml:space="preserve"> </w:t>
            </w:r>
            <m:oMath>
              <m:r>
                <m:t>ξ</m:t>
              </m:r>
              <m:r>
                <m:rPr>
                  <m:sty m:val="p"/>
                </m:rPr>
                <m:t>=</m:t>
              </m:r>
              <m:r>
                <m:t>1</m:t>
              </m:r>
              <m:r>
                <m:rPr>
                  <m:sty m:val="p"/>
                </m:rPr>
                <m:t>/</m:t>
              </m:r>
              <m:r>
                <m:t>2</m:t>
              </m:r>
            </m:oMath>
          </w:p>
        </w:tc>
      </w:tr>
      <w:tr>
        <w:trPr>
          <w:cantSplit/>
        </w:trPr>
        <w:tc>
          <w:tcPr>
            <w:tcW w:type="dxa" w:w="2093"/>
          </w:tcPr>
          <w:p>
            <w:pPr>
              <w:keepNext/>
              <w:pStyle w:val="Compact"/>
              <w:jc w:val="right"/>
            </w:pPr>
            <w:r>
              <w:t xml:space="preserve">1.0</w:t>
            </w:r>
          </w:p>
        </w:tc>
        <w:tc>
          <w:tcPr>
            <w:tcW w:type="dxa" w:w="1744"/>
          </w:tcPr>
          <w:p>
            <w:pPr>
              <w:keepNext/>
              <w:pStyle w:val="Compact"/>
              <w:jc w:val="right"/>
            </w:pPr>
            <w:r>
              <w:t xml:space="preserve">0.800</w:t>
            </w:r>
          </w:p>
        </w:tc>
        <w:tc>
          <w:tcPr>
            <w:tcW w:type="dxa" w:w="1744"/>
          </w:tcPr>
          <w:p>
            <w:pPr>
              <w:keepNext/>
              <w:pStyle w:val="Compact"/>
              <w:jc w:val="right"/>
            </w:pPr>
            <w:r>
              <w:t xml:space="preserve">0.4460</w:t>
            </w:r>
          </w:p>
        </w:tc>
        <w:tc>
          <w:tcPr>
            <w:tcW w:type="dxa" w:w="1744"/>
          </w:tcPr>
          <w:p>
            <w:pPr>
              <w:keepNext/>
              <w:pStyle w:val="Compact"/>
              <w:jc w:val="right"/>
            </w:pPr>
            <w:r>
              <w:t xml:space="preserve">1.322</w:t>
            </w:r>
          </w:p>
        </w:tc>
        <w:tc>
          <w:tcPr>
            <w:tcW w:type="dxa" w:w="1744"/>
          </w:tcPr>
          <w:p>
            <w:pPr>
              <w:keepNext/>
              <w:pStyle w:val="Compact"/>
              <w:jc w:val="right"/>
            </w:pPr>
            <w:r>
              <w:t xml:space="preserve">1.300</w:t>
            </w:r>
          </w:p>
        </w:tc>
      </w:tr>
      <w:tr>
        <w:trPr>
          <w:cantSplit/>
        </w:trPr>
        <w:tc>
          <w:tcPr>
            <w:tcW w:type="dxa" w:w="2093"/>
          </w:tcPr>
          <w:p>
            <w:pPr>
              <w:keepNext/>
              <w:pStyle w:val="Compact"/>
              <w:jc w:val="right"/>
            </w:pPr>
            <w:r>
              <w:t xml:space="preserve">1.2</w:t>
            </w:r>
          </w:p>
        </w:tc>
        <w:tc>
          <w:tcPr>
            <w:tcW w:type="dxa" w:w="1744"/>
          </w:tcPr>
          <w:p>
            <w:pPr>
              <w:keepNext/>
              <w:pStyle w:val="Compact"/>
              <w:jc w:val="right"/>
            </w:pPr>
            <w:r>
              <w:t xml:space="preserve">0.9743</w:t>
            </w:r>
          </w:p>
        </w:tc>
        <w:tc>
          <w:tcPr>
            <w:tcW w:type="dxa" w:w="1744"/>
          </w:tcPr>
          <w:p>
            <w:pPr>
              <w:keepNext/>
              <w:pStyle w:val="Compact"/>
              <w:jc w:val="right"/>
            </w:pPr>
            <w:r>
              <w:t xml:space="preserve">0.4251</w:t>
            </w:r>
          </w:p>
        </w:tc>
        <w:tc>
          <w:tcPr>
            <w:tcW w:type="dxa" w:w="1744"/>
          </w:tcPr>
          <w:p>
            <w:pPr>
              <w:keepNext/>
              <w:pStyle w:val="Compact"/>
              <w:jc w:val="right"/>
            </w:pPr>
            <w:r>
              <w:t xml:space="preserve">1.076</w:t>
            </w:r>
          </w:p>
        </w:tc>
        <w:tc>
          <w:tcPr>
            <w:tcW w:type="dxa" w:w="1744"/>
          </w:tcPr>
          <w:p>
            <w:pPr>
              <w:keepNext/>
              <w:pStyle w:val="Compact"/>
              <w:jc w:val="right"/>
            </w:pPr>
            <w:r>
              <w:t xml:space="preserve">1.039</w:t>
            </w:r>
          </w:p>
        </w:tc>
      </w:tr>
      <w:tr>
        <w:trPr>
          <w:cantSplit/>
        </w:trPr>
        <w:tc>
          <w:tcPr>
            <w:tcW w:type="dxa" w:w="2093"/>
          </w:tcPr>
          <w:p>
            <w:pPr>
              <w:keepNext/>
              <w:pStyle w:val="Compact"/>
              <w:jc w:val="right"/>
            </w:pPr>
            <w:r>
              <w:t xml:space="preserve">1.4</w:t>
            </w:r>
          </w:p>
        </w:tc>
        <w:tc>
          <w:tcPr>
            <w:tcW w:type="dxa" w:w="1744"/>
          </w:tcPr>
          <w:p>
            <w:pPr>
              <w:keepNext/>
              <w:pStyle w:val="Compact"/>
              <w:jc w:val="right"/>
            </w:pPr>
            <w:r>
              <w:t xml:space="preserve">1.208</w:t>
            </w:r>
          </w:p>
        </w:tc>
        <w:tc>
          <w:tcPr>
            <w:tcW w:type="dxa" w:w="1744"/>
          </w:tcPr>
          <w:p>
            <w:pPr>
              <w:keepNext/>
              <w:pStyle w:val="Compact"/>
              <w:jc w:val="right"/>
            </w:pPr>
            <w:r>
              <w:t xml:space="preserve">0.3875</w:t>
            </w:r>
          </w:p>
        </w:tc>
        <w:tc>
          <w:tcPr>
            <w:tcW w:type="dxa" w:w="1744"/>
          </w:tcPr>
          <w:p>
            <w:pPr>
              <w:keepNext/>
              <w:pStyle w:val="Compact"/>
              <w:jc w:val="right"/>
            </w:pPr>
            <w:r>
              <w:t xml:space="preserve">0.7585</w:t>
            </w:r>
          </w:p>
        </w:tc>
        <w:tc>
          <w:tcPr>
            <w:tcW w:type="dxa" w:w="1744"/>
          </w:tcPr>
          <w:p>
            <w:pPr>
              <w:keepNext/>
              <w:pStyle w:val="Compact"/>
              <w:jc w:val="right"/>
            </w:pPr>
            <w:r>
              <w:t xml:space="preserve">0.6884</w:t>
            </w:r>
          </w:p>
        </w:tc>
      </w:tr>
      <w:tr>
        <w:trPr>
          <w:cantSplit/>
        </w:trPr>
        <w:tc>
          <w:tcPr>
            <w:tcW w:type="dxa" w:w="2093"/>
          </w:tcPr>
          <w:p>
            <w:pPr>
              <w:keepNext/>
              <w:pStyle w:val="Compact"/>
              <w:jc w:val="right"/>
            </w:pPr>
            <w:r>
              <w:t xml:space="preserve">1.5</w:t>
            </w:r>
          </w:p>
        </w:tc>
        <w:tc>
          <w:tcPr>
            <w:tcW w:type="dxa" w:w="1744"/>
          </w:tcPr>
          <w:p>
            <w:pPr>
              <w:keepNext/>
              <w:pStyle w:val="Compact"/>
              <w:jc w:val="right"/>
            </w:pPr>
            <w:r>
              <w:t xml:space="preserve">1.346</w:t>
            </w:r>
          </w:p>
        </w:tc>
        <w:tc>
          <w:tcPr>
            <w:tcW w:type="dxa" w:w="1744"/>
          </w:tcPr>
          <w:p>
            <w:pPr>
              <w:keepNext/>
              <w:pStyle w:val="Compact"/>
              <w:jc w:val="right"/>
            </w:pPr>
            <w:r>
              <w:t xml:space="preserve">0.3582</w:t>
            </w:r>
          </w:p>
        </w:tc>
        <w:tc>
          <w:tcPr>
            <w:tcW w:type="dxa" w:w="1744"/>
          </w:tcPr>
          <w:p>
            <w:pPr>
              <w:keepNext/>
              <w:pStyle w:val="Compact"/>
              <w:jc w:val="right"/>
            </w:pPr>
            <w:r>
              <w:t xml:space="preserve">0.5807</w:t>
            </w:r>
          </w:p>
        </w:tc>
        <w:tc>
          <w:tcPr>
            <w:tcW w:type="dxa" w:w="1744"/>
          </w:tcPr>
          <w:p>
            <w:pPr>
              <w:keepNext/>
              <w:pStyle w:val="Compact"/>
              <w:jc w:val="right"/>
            </w:pPr>
            <w:r>
              <w:t xml:space="preserve">0.4808</w:t>
            </w:r>
          </w:p>
        </w:tc>
      </w:tr>
      <w:tr>
        <w:trPr>
          <w:cantSplit/>
        </w:trPr>
        <w:tc>
          <w:tcPr>
            <w:tcW w:type="dxa" w:w="2093"/>
          </w:tcPr>
          <w:p>
            <w:pPr>
              <w:keepNext/>
              <w:pStyle w:val="Compact"/>
              <w:jc w:val="right"/>
            </w:pPr>
            <w:r>
              <w:t xml:space="preserve">1.636 (= 90/55)</w:t>
            </w:r>
          </w:p>
        </w:tc>
        <w:tc>
          <w:tcPr>
            <w:tcW w:type="dxa" w:w="1744"/>
          </w:tcPr>
          <w:p>
            <w:pPr>
              <w:keepNext/>
              <w:pStyle w:val="Compact"/>
              <w:jc w:val="right"/>
            </w:pPr>
            <w:r>
              <w:t xml:space="preserve">1.558</w:t>
            </w:r>
          </w:p>
        </w:tc>
        <w:tc>
          <w:tcPr>
            <w:tcW w:type="dxa" w:w="1744"/>
          </w:tcPr>
          <w:p>
            <w:pPr>
              <w:keepNext/>
              <w:pStyle w:val="Compact"/>
              <w:jc w:val="right"/>
            </w:pPr>
            <w:r>
              <w:t xml:space="preserve">0.2994</w:t>
            </w:r>
          </w:p>
        </w:tc>
        <w:tc>
          <w:tcPr>
            <w:tcW w:type="dxa" w:w="1744"/>
          </w:tcPr>
          <w:p>
            <w:pPr>
              <w:keepNext/>
              <w:pStyle w:val="Compact"/>
              <w:jc w:val="right"/>
            </w:pPr>
            <w:r>
              <w:t xml:space="preserve">0.3316</w:t>
            </w:r>
          </w:p>
        </w:tc>
        <w:tc>
          <w:tcPr>
            <w:tcW w:type="dxa" w:w="1744"/>
          </w:tcPr>
          <w:p>
            <w:pPr>
              <w:keepNext/>
              <w:pStyle w:val="Compact"/>
              <w:jc w:val="right"/>
            </w:pPr>
            <w:r>
              <w:t xml:space="preserve">0.1632</w:t>
            </w:r>
          </w:p>
        </w:tc>
      </w:tr>
      <w:tr>
        <w:trPr>
          <w:cantSplit/>
        </w:trPr>
        <w:tc>
          <w:tcPr>
            <w:tcW w:type="dxa" w:w="2093"/>
          </w:tcPr>
          <w:p>
            <w:pPr>
              <w:pStyle w:val="Compact"/>
              <w:jc w:val="right"/>
            </w:pPr>
            <w:r>
              <w:t xml:space="preserve">1.7</w:t>
            </w:r>
          </w:p>
        </w:tc>
        <w:tc>
          <w:tcPr>
            <w:tcW w:type="dxa" w:w="1744"/>
          </w:tcPr>
          <w:p>
            <w:pPr>
              <w:pStyle w:val="Compact"/>
              <w:jc w:val="right"/>
            </w:pPr>
            <w:r>
              <w:t xml:space="preserve">1.666</w:t>
            </w:r>
          </w:p>
        </w:tc>
        <w:tc>
          <w:tcPr>
            <w:tcW w:type="dxa" w:w="1744"/>
          </w:tcPr>
          <w:p>
            <w:pPr>
              <w:pStyle w:val="Compact"/>
              <w:jc w:val="right"/>
            </w:pPr>
            <w:r>
              <w:t xml:space="preserve">0.2608</w:t>
            </w:r>
          </w:p>
        </w:tc>
        <w:tc>
          <w:tcPr>
            <w:tcW w:type="dxa" w:w="1744"/>
          </w:tcPr>
          <w:p>
            <w:pPr>
              <w:pStyle w:val="Compact"/>
              <w:jc w:val="right"/>
            </w:pPr>
            <w:r>
              <w:t xml:space="preserve">0.2202</w:t>
            </w:r>
          </w:p>
        </w:tc>
        <w:tc>
          <w:tcPr>
            <w:tcW w:type="dxa" w:w="1744"/>
          </w:tcPr>
          <w:p>
            <w:pPr>
              <w:pStyle w:val="Compact"/>
              <w:jc w:val="right"/>
            </w:pPr>
            <w:r>
              <w:t xml:space="preserve">0.0015</w:t>
            </w:r>
          </w:p>
        </w:tc>
      </w:tr>
    </w:tbl>
    <w:p>
      <w:pPr>
        <w:pStyle w:val="BodyText"/>
      </w:pPr>
      <w:r>
        <w:t xml:space="preserve">Asymmetric three-span beams. For arbitrary spans</w:t>
      </w:r>
      <w:r>
        <w:t xml:space="preserve"> </w:t>
      </w:r>
      <m:oMath>
        <m:sSub>
          <m:e>
            <m:r>
              <m:t>L</m:t>
            </m:r>
          </m:e>
          <m:sub>
            <m:r>
              <m:t>1</m:t>
            </m:r>
          </m:sub>
        </m:sSub>
        <m:r>
          <m:rPr>
            <m:sty m:val="p"/>
          </m:rPr>
          <m:t>,</m:t>
        </m:r>
        <m:sSub>
          <m:e>
            <m:r>
              <m:t>L</m:t>
            </m:r>
          </m:e>
          <m:sub>
            <m:r>
              <m:t>2</m:t>
            </m:r>
          </m:sub>
        </m:sSub>
        <m:r>
          <m:rPr>
            <m:sty m:val="p"/>
          </m:rPr>
          <m:t>,</m:t>
        </m:r>
        <m:sSub>
          <m:e>
            <m:r>
              <m:t>L</m:t>
            </m:r>
          </m:e>
          <m:sub>
            <m:r>
              <m:t>3</m:t>
            </m:r>
          </m:sub>
        </m:sSub>
      </m:oMath>
      <w:r>
        <w:t xml:space="preserve"> </w:t>
      </w:r>
      <w:r>
        <w:t xml:space="preserve">and rigidities</w:t>
      </w:r>
      <w:r>
        <w:t xml:space="preserve"> </w:t>
      </w:r>
      <m:oMath>
        <m:r>
          <m:t>E</m:t>
        </m:r>
        <m:sSub>
          <m:e>
            <m:r>
              <m:t>I</m:t>
            </m:r>
          </m:e>
          <m:sub>
            <m:r>
              <m:t>1</m:t>
            </m:r>
          </m:sub>
        </m:sSub>
        <m:r>
          <m:rPr>
            <m:sty m:val="p"/>
          </m:rPr>
          <m:t>,</m:t>
        </m:r>
        <m:r>
          <m:t>E</m:t>
        </m:r>
        <m:sSub>
          <m:e>
            <m:r>
              <m:t>I</m:t>
            </m:r>
          </m:e>
          <m:sub>
            <m:r>
              <m:t>2</m:t>
            </m:r>
          </m:sub>
        </m:sSub>
        <m:r>
          <m:rPr>
            <m:sty m:val="p"/>
          </m:rPr>
          <m:t>,</m:t>
        </m:r>
        <m:r>
          <m:t>E</m:t>
        </m:r>
        <m:sSub>
          <m:e>
            <m:r>
              <m:t>I</m:t>
            </m:r>
          </m:e>
          <m:sub>
            <m:r>
              <m:t>3</m:t>
            </m:r>
          </m:sub>
        </m:sSub>
      </m:oMath>
      <w:r>
        <w:t xml:space="preserve">, the two support moments follow from the three-moment equations at the inner supports, solved symbolically; the sensor deflection under a uniform load then follows by superposition, as above. The general expressions are long and are given in the scripts. Four asymmetric cases agree with FE to a relative error of at most 9.2 × 10⁻¹². With the sensor at mid-span of span 1 and uniform rigidity, the blind ratio</w:t>
      </w:r>
      <w:r>
        <w:t xml:space="preserve"> </w:t>
      </w:r>
      <m:oMath>
        <m:sSub>
          <m:e>
            <m:r>
              <m:t>L</m:t>
            </m:r>
          </m:e>
          <m:sub>
            <m:r>
              <m:t>1</m:t>
            </m:r>
          </m:sub>
        </m:sSub>
        <m:r>
          <m:rPr>
            <m:sty m:val="p"/>
          </m:rPr>
          <m:t>/</m:t>
        </m:r>
        <m:sSub>
          <m:e>
            <m:r>
              <m:t>L</m:t>
            </m:r>
          </m:e>
          <m:sub>
            <m:r>
              <m:t>2</m:t>
            </m:r>
          </m:sub>
        </m:sSub>
      </m:oMath>
      <w:r>
        <w:t xml:space="preserve"> </w:t>
      </w:r>
      <w:r>
        <w:t xml:space="preserve">is 0.589774, 0.591969, 0.587260, 0.565712, 0.525757 and 0.461410 for</w:t>
      </w:r>
      <w:r>
        <w:t xml:space="preserve"> </w:t>
      </w:r>
      <m:oMath>
        <m:sSub>
          <m:e>
            <m:r>
              <m:t>L</m:t>
            </m:r>
          </m:e>
          <m:sub>
            <m:r>
              <m:t>3</m:t>
            </m:r>
          </m:sub>
        </m:sSub>
        <m:r>
          <m:rPr>
            <m:sty m:val="p"/>
          </m:rPr>
          <m:t>/</m:t>
        </m:r>
        <m:sSub>
          <m:e>
            <m:r>
              <m:t>L</m:t>
            </m:r>
          </m:e>
          <m:sub>
            <m:r>
              <m:t>2</m:t>
            </m:r>
          </m:sub>
        </m:sSub>
      </m:oMath>
      <w:r>
        <w:t xml:space="preserve"> </w:t>
      </w:r>
      <w:r>
        <w:t xml:space="preserve">= 0.3, 0.5, 0.6, 0.8, 1.0 and 1.2 (main-text Fig. 2b).</w:t>
      </w:r>
    </w:p>
    <w:p>
      <w:pPr>
        <w:pStyle w:val="BodyText"/>
      </w:pPr>
      <w:r>
        <w:t xml:space="preserve">Strain blind-locus maps. Figures S1 and S2 map the strain indicator</w:t>
      </w:r>
      <w:r>
        <w:t xml:space="preserve"> </w:t>
      </w:r>
      <m:oMath>
        <m:sSub>
          <m:e>
            <m:r>
              <m:t>N</m:t>
            </m:r>
          </m:e>
          <m:sub>
            <m:r>
              <m:t>M</m:t>
            </m:r>
          </m:sub>
        </m:sSub>
      </m:oMath>
      <w:r>
        <w:t xml:space="preserve"> </w:t>
      </w:r>
      <w:r>
        <w:t xml:space="preserve">over the sensor position and the span ratio for two-span and symmetric three-span beams. For two equal spans the strain near-blind band is</w:t>
      </w:r>
      <w:r>
        <w:t xml:space="preserve"> </w:t>
      </w:r>
      <m:oMath>
        <m:r>
          <m:t>0.676</m:t>
        </m:r>
        <m:r>
          <m:rPr>
            <m:sty m:val="p"/>
          </m:rPr>
          <m:t>&lt;</m:t>
        </m:r>
        <m:r>
          <m:t>ξ</m:t>
        </m:r>
        <m:r>
          <m:rPr>
            <m:sty m:val="p"/>
          </m:rPr>
          <m:t>&lt;</m:t>
        </m:r>
        <m:r>
          <m:t>0.812</m:t>
        </m:r>
      </m:oMath>
      <w:r>
        <w:t xml:space="preserve">, that is, 0.19–0.32 of the span from the interior support.</w:t>
      </w:r>
    </w:p>
    <w:p>
      <w:pPr>
        <w:pStyle w:val="Figure"/>
      </w:pPr>
      <w:r>
        <w:drawing>
          <wp:inline>
            <wp:extent cx="5039999" cy="2026020"/>
            <wp:effectExtent b="0" l="0" r="0" t="0"/>
            <wp:docPr descr="" title="" id="22" name="Picture"/>
            <a:graphic>
              <a:graphicData uri="http://schemas.openxmlformats.org/drawingml/2006/picture">
                <pic:pic>
                  <pic:nvPicPr>
                    <pic:cNvPr descr="/home/user/SHM-Paper1-1D/manuscript/ase/figures/supplementary/FigS1_strain_map_2span.png" id="23" name="Picture"/>
                    <pic:cNvPicPr>
                      <a:picLocks noChangeArrowheads="1" noChangeAspect="1"/>
                    </pic:cNvPicPr>
                  </pic:nvPicPr>
                  <pic:blipFill>
                    <a:blip r:embed="rId21"/>
                    <a:stretch>
                      <a:fillRect/>
                    </a:stretch>
                  </pic:blipFill>
                  <pic:spPr bwMode="auto">
                    <a:xfrm>
                      <a:off x="0" y="0"/>
                      <a:ext cx="5039999" cy="2026020"/>
                    </a:xfrm>
                    <a:prstGeom prst="rect">
                      <a:avLst/>
                    </a:prstGeom>
                    <a:noFill/>
                    <a:ln w="9525">
                      <a:noFill/>
                      <a:headEnd/>
                      <a:tailEnd/>
                    </a:ln>
                  </pic:spPr>
                </pic:pic>
              </a:graphicData>
            </a:graphic>
          </wp:inline>
        </w:drawing>
      </w:r>
    </w:p>
    <w:p>
      <w:pPr>
        <w:pStyle w:val="Captionjustified"/>
        <w:keepLines/>
      </w:pPr>
      <w:r>
        <w:rPr>
          <w:bCs/>
          <w:b/>
        </w:rPr>
        <w:t xml:space="preserve">Figure S1.</w:t>
      </w:r>
      <w:r>
        <w:t xml:space="preserve"> </w:t>
      </w:r>
      <w:r>
        <w:t xml:space="preserve">Two-span beam: (a) strain indicator</w:t>
      </w:r>
      <w:r>
        <w:t xml:space="preserve"> </w:t>
      </w:r>
      <m:oMath>
        <m:sSub>
          <m:e>
            <m:r>
              <m:t>N</m:t>
            </m:r>
          </m:e>
          <m:sub>
            <m:r>
              <m:t>M</m:t>
            </m:r>
          </m:sub>
        </m:sSub>
      </m:oMath>
      <w:r>
        <w:t xml:space="preserve"> </w:t>
      </w:r>
      <w:r>
        <w:t xml:space="preserve">over the sensor position and the span ratio</w:t>
      </w:r>
      <w:r>
        <w:t xml:space="preserve"> </w:t>
      </w:r>
      <m:oMath>
        <m:r>
          <m:t>λ</m:t>
        </m:r>
      </m:oMath>
      <w:r>
        <w:t xml:space="preserve">, with the strain and deflection blind loci and the near-blind band; (b) blind positions against</w:t>
      </w:r>
      <w:r>
        <w:t xml:space="preserve"> </w:t>
      </w:r>
      <m:oMath>
        <m:r>
          <m:t>λ</m:t>
        </m:r>
      </m:oMath>
      <w:r>
        <w:t xml:space="preserve">.</w:t>
      </w:r>
    </w:p>
    <w:p>
      <w:pPr>
        <w:pStyle w:val="Figure"/>
      </w:pPr>
      <w:r>
        <w:drawing>
          <wp:inline>
            <wp:extent cx="5039999" cy="2050867"/>
            <wp:effectExtent b="0" l="0" r="0" t="0"/>
            <wp:docPr descr="" title="" id="25" name="Picture"/>
            <a:graphic>
              <a:graphicData uri="http://schemas.openxmlformats.org/drawingml/2006/picture">
                <pic:pic>
                  <pic:nvPicPr>
                    <pic:cNvPr descr="/home/user/SHM-Paper1-1D/manuscript/ase/figures/supplementary/FigS2_strain_map_3span.png" id="26" name="Picture"/>
                    <pic:cNvPicPr>
                      <a:picLocks noChangeArrowheads="1" noChangeAspect="1"/>
                    </pic:cNvPicPr>
                  </pic:nvPicPr>
                  <pic:blipFill>
                    <a:blip r:embed="rId24"/>
                    <a:stretch>
                      <a:fillRect/>
                    </a:stretch>
                  </pic:blipFill>
                  <pic:spPr bwMode="auto">
                    <a:xfrm>
                      <a:off x="0" y="0"/>
                      <a:ext cx="5039999" cy="2050867"/>
                    </a:xfrm>
                    <a:prstGeom prst="rect">
                      <a:avLst/>
                    </a:prstGeom>
                    <a:noFill/>
                    <a:ln w="9525">
                      <a:noFill/>
                      <a:headEnd/>
                      <a:tailEnd/>
                    </a:ln>
                  </pic:spPr>
                </pic:pic>
              </a:graphicData>
            </a:graphic>
          </wp:inline>
        </w:drawing>
      </w:r>
    </w:p>
    <w:p>
      <w:pPr>
        <w:pStyle w:val="Captionjustified"/>
        <w:keepLines/>
      </w:pPr>
      <w:r>
        <w:rPr>
          <w:bCs/>
          <w:b/>
        </w:rPr>
        <w:t xml:space="preserve">Figure S2.</w:t>
      </w:r>
      <w:r>
        <w:t xml:space="preserve"> </w:t>
      </w:r>
      <w:r>
        <w:t xml:space="preserve">Symmetric three-span beam: strain indicator</w:t>
      </w:r>
      <w:r>
        <w:t xml:space="preserve"> </w:t>
      </w:r>
      <m:oMath>
        <m:sSub>
          <m:e>
            <m:r>
              <m:t>N</m:t>
            </m:r>
          </m:e>
          <m:sub>
            <m:r>
              <m:t>M</m:t>
            </m:r>
          </m:sub>
        </m:sSub>
      </m:oMath>
      <w:r>
        <w:t xml:space="preserve"> </w:t>
      </w:r>
      <w:r>
        <w:t xml:space="preserve">(a) in the side span and (b) in the main span measured from the pier, over the span ratio</w:t>
      </w:r>
      <w:r>
        <w:t xml:space="preserve"> </w:t>
      </w:r>
      <m:oMath>
        <m:r>
          <m:t>β</m:t>
        </m:r>
      </m:oMath>
      <w:r>
        <w:t xml:space="preserve">, with the blind loci, the near-blind band and the Mây Bridge span ratio.</w:t>
      </w:r>
    </w:p>
    <w:p>
      <w:pPr>
        <w:pStyle w:val="BodyText"/>
      </w:pPr>
      <w:r>
        <w:t xml:space="preserve">Threshold sensitivity. The threshold 0.2 is a design convention (Section 2.3). Table S3 gives the near-blind bands of three gauges for thresholds of 0.1, 0.2 and 0.3 (script</w:t>
      </w:r>
      <w:r>
        <w:t xml:space="preserve"> </w:t>
      </w:r>
      <w:r>
        <w:rPr>
          <w:rStyle w:val="VerbatimChar"/>
        </w:rPr>
        <w:t xml:space="preserve">s06_threshold_sensitivity.py</w:t>
      </w:r>
      <w:r>
        <w:t xml:space="preserve">).</w:t>
      </w:r>
    </w:p>
    <w:p>
      <w:pPr>
        <w:pStyle w:val="BodyText"/>
        <w:keepNext/>
        <w:keepLines/>
      </w:pPr>
      <w:r>
        <w:rPr>
          <w:bCs/>
          <w:b/>
        </w:rPr>
        <w:t xml:space="preserve">Table S3.</w:t>
      </w:r>
      <w:r>
        <w:t xml:space="preserve"> </w:t>
      </w:r>
      <w:r>
        <w:t xml:space="preserve">Near-blind bands against the threshold on the indicator magnitude; prismatic beams of uniform rigidity. Strain: two equal spans, distance from the interior support as a fraction of the span. Deflection: mid-span gauge on two spans (span ratio</w:t>
      </w:r>
      <w:r>
        <w:t xml:space="preserve"> </w:t>
      </w:r>
      <m:oMath>
        <m:r>
          <m:t>λ</m:t>
        </m:r>
      </m:oMath>
      <w:r>
        <w:t xml:space="preserve">) and mid side-span gauge on a symmetric three-span beam (span ratio</w:t>
      </w:r>
      <w:r>
        <w:t xml:space="preserve"> </w:t>
      </w:r>
      <m:oMath>
        <m:r>
          <m:t>β</m:t>
        </m:r>
      </m:oMath>
      <w:r>
        <w:t xml:space="preserve">).</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579"/>
        <w:gridCol w:w="2075"/>
        <w:gridCol w:w="2707"/>
        <w:gridCol w:w="2707"/>
      </w:tblGrid>
      <w:tr>
        <w:trPr>
          <w:tblHeader w:val="true"/>
          <w:tblHeader w:val="true"/>
          <w:cantSplit/>
        </w:trPr>
        <w:tc>
          <w:tcPr>
            <w:tcW w:type="dxa" w:w="1579"/>
            <w:tcBorders>
              <w:top w:val="nil"/>
              <w:left w:val="nil"/>
              <w:bottom w:val="single" w:sz="6" w:space="0" w:color="000000"/>
              <w:right w:val="nil"/>
            </w:tcBorders>
          </w:tcPr>
          <w:p>
            <w:pPr>
              <w:keepNext/>
              <w:pStyle w:val="Compact"/>
              <w:jc w:val="right"/>
            </w:pPr>
            <w:r>
              <w:t xml:space="preserve">Threshold</w:t>
            </w:r>
          </w:p>
        </w:tc>
        <w:tc>
          <w:tcPr>
            <w:tcW w:type="dxa" w:w="2075"/>
            <w:tcBorders>
              <w:top w:val="nil"/>
              <w:left w:val="nil"/>
              <w:bottom w:val="single" w:sz="6" w:space="0" w:color="000000"/>
              <w:right w:val="nil"/>
            </w:tcBorders>
          </w:tcPr>
          <w:p>
            <w:pPr>
              <w:keepNext/>
              <w:pStyle w:val="Compact"/>
              <w:jc w:val="right"/>
            </w:pPr>
            <w:r>
              <w:t xml:space="preserve">Strain, two equal spans</w:t>
            </w:r>
          </w:p>
        </w:tc>
        <w:tc>
          <w:tcPr>
            <w:tcW w:type="dxa" w:w="2707"/>
            <w:tcBorders>
              <w:top w:val="nil"/>
              <w:left w:val="nil"/>
              <w:bottom w:val="single" w:sz="6" w:space="0" w:color="000000"/>
              <w:right w:val="nil"/>
            </w:tcBorders>
          </w:tcPr>
          <w:p>
            <w:pPr>
              <w:keepNext/>
              <w:pStyle w:val="Compact"/>
              <w:jc w:val="right"/>
            </w:pPr>
            <w:r>
              <w:t xml:space="preserve">Deflection, mid-span, two spans:</w:t>
            </w:r>
            <w:r>
              <w:t xml:space="preserve"> </w:t>
            </w:r>
            <m:oMath>
              <m:r>
                <m:t>λ</m:t>
              </m:r>
            </m:oMath>
          </w:p>
        </w:tc>
        <w:tc>
          <w:tcPr>
            <w:tcW w:type="dxa" w:w="2707"/>
            <w:tcBorders>
              <w:top w:val="nil"/>
              <w:left w:val="nil"/>
              <w:bottom w:val="single" w:sz="6" w:space="0" w:color="000000"/>
              <w:right w:val="nil"/>
            </w:tcBorders>
          </w:tcPr>
          <w:p>
            <w:pPr>
              <w:keepNext/>
              <w:pStyle w:val="Compact"/>
              <w:jc w:val="right"/>
            </w:pPr>
            <w:r>
              <w:t xml:space="preserve">Deflection, mid side span, three spans:</w:t>
            </w:r>
            <w:r>
              <w:t xml:space="preserve"> </w:t>
            </w:r>
            <m:oMath>
              <m:r>
                <m:t>β</m:t>
              </m:r>
            </m:oMath>
          </w:p>
        </w:tc>
      </w:tr>
      <w:tr>
        <w:trPr>
          <w:cantSplit/>
        </w:trPr>
        <w:tc>
          <w:tcPr>
            <w:tcW w:type="dxa" w:w="1579"/>
          </w:tcPr>
          <w:p>
            <w:pPr>
              <w:keepNext/>
              <w:pStyle w:val="Compact"/>
              <w:jc w:val="right"/>
            </w:pPr>
            <w:r>
              <w:t xml:space="preserve">0.1</w:t>
            </w:r>
          </w:p>
        </w:tc>
        <w:tc>
          <w:tcPr>
            <w:tcW w:type="dxa" w:w="2075"/>
          </w:tcPr>
          <w:p>
            <w:pPr>
              <w:keepNext/>
              <w:pStyle w:val="Compact"/>
              <w:jc w:val="right"/>
            </w:pPr>
            <w:r>
              <w:t xml:space="preserve">0.218–0.285</w:t>
            </w:r>
          </w:p>
        </w:tc>
        <w:tc>
          <w:tcPr>
            <w:tcW w:type="dxa" w:w="2707"/>
          </w:tcPr>
          <w:p>
            <w:pPr>
              <w:keepNext/>
              <w:pStyle w:val="Compact"/>
              <w:jc w:val="right"/>
            </w:pPr>
            <w:r>
              <w:t xml:space="preserve">1.422–1.492</w:t>
            </w:r>
          </w:p>
        </w:tc>
        <w:tc>
          <w:tcPr>
            <w:tcW w:type="dxa" w:w="2707"/>
          </w:tcPr>
          <w:p>
            <w:pPr>
              <w:keepNext/>
              <w:pStyle w:val="Compact"/>
              <w:jc w:val="right"/>
            </w:pPr>
            <w:r>
              <w:t xml:space="preserve">1.662–1.738</w:t>
            </w:r>
          </w:p>
        </w:tc>
      </w:tr>
      <w:tr>
        <w:trPr>
          <w:cantSplit/>
        </w:trPr>
        <w:tc>
          <w:tcPr>
            <w:tcW w:type="dxa" w:w="1579"/>
          </w:tcPr>
          <w:p>
            <w:pPr>
              <w:keepNext/>
              <w:pStyle w:val="Compact"/>
              <w:jc w:val="right"/>
            </w:pPr>
            <w:r>
              <w:t xml:space="preserve">0.2</w:t>
            </w:r>
          </w:p>
        </w:tc>
        <w:tc>
          <w:tcPr>
            <w:tcW w:type="dxa" w:w="2075"/>
          </w:tcPr>
          <w:p>
            <w:pPr>
              <w:keepNext/>
              <w:pStyle w:val="Compact"/>
              <w:jc w:val="right"/>
            </w:pPr>
            <w:r>
              <w:t xml:space="preserve">0.188–0.324</w:t>
            </w:r>
          </w:p>
        </w:tc>
        <w:tc>
          <w:tcPr>
            <w:tcW w:type="dxa" w:w="2707"/>
          </w:tcPr>
          <w:p>
            <w:pPr>
              <w:keepNext/>
              <w:pStyle w:val="Compact"/>
              <w:jc w:val="right"/>
            </w:pPr>
            <w:r>
              <w:t xml:space="preserve">1.385–1.525</w:t>
            </w:r>
          </w:p>
        </w:tc>
        <w:tc>
          <w:tcPr>
            <w:tcW w:type="dxa" w:w="2707"/>
          </w:tcPr>
          <w:p>
            <w:pPr>
              <w:keepNext/>
              <w:pStyle w:val="Compact"/>
              <w:jc w:val="right"/>
            </w:pPr>
            <w:r>
              <w:t xml:space="preserve">1.621–1.775</w:t>
            </w:r>
          </w:p>
        </w:tc>
      </w:tr>
      <w:tr>
        <w:trPr>
          <w:cantSplit/>
        </w:trPr>
        <w:tc>
          <w:tcPr>
            <w:tcW w:type="dxa" w:w="1579"/>
          </w:tcPr>
          <w:p>
            <w:pPr>
              <w:pStyle w:val="Compact"/>
              <w:jc w:val="right"/>
            </w:pPr>
            <w:r>
              <w:t xml:space="preserve">0.3</w:t>
            </w:r>
          </w:p>
        </w:tc>
        <w:tc>
          <w:tcPr>
            <w:tcW w:type="dxa" w:w="2075"/>
          </w:tcPr>
          <w:p>
            <w:pPr>
              <w:pStyle w:val="Compact"/>
              <w:jc w:val="right"/>
            </w:pPr>
            <w:r>
              <w:t xml:space="preserve">0.161–0.369</w:t>
            </w:r>
          </w:p>
        </w:tc>
        <w:tc>
          <w:tcPr>
            <w:tcW w:type="dxa" w:w="2707"/>
          </w:tcPr>
          <w:p>
            <w:pPr>
              <w:pStyle w:val="Compact"/>
              <w:jc w:val="right"/>
            </w:pPr>
            <w:r>
              <w:t xml:space="preserve">1.347–1.557</w:t>
            </w:r>
          </w:p>
        </w:tc>
        <w:tc>
          <w:tcPr>
            <w:tcW w:type="dxa" w:w="2707"/>
          </w:tcPr>
          <w:p>
            <w:pPr>
              <w:pStyle w:val="Compact"/>
              <w:jc w:val="right"/>
            </w:pPr>
            <w:r>
              <w:t xml:space="preserve">1.580–1.811</w:t>
            </w:r>
          </w:p>
        </w:tc>
      </w:tr>
    </w:tbl>
    <w:bookmarkEnd w:id="27"/>
    <w:bookmarkStart w:id="31" w:name="X44c9035c4fb27a4b9c667ec5209ad657665486b"/>
    <w:p>
      <w:pPr>
        <w:pStyle w:val="Heading2"/>
      </w:pPr>
      <w:r>
        <w:t xml:space="preserve">S3. General channels, finite element verification and invariant weighting functions</w:t>
      </w:r>
    </w:p>
    <w:p>
      <w:pPr>
        <w:pStyle w:val="FirstParagraph"/>
      </w:pPr>
      <w:r>
        <w:t xml:space="preserve">For a prismatic span with end-moment parameters</w:t>
      </w:r>
      <w:r>
        <w:t xml:space="preserve"> </w:t>
      </w:r>
      <m:oMath>
        <m:sSub>
          <m:e>
            <m:acc>
              <m:accPr>
                <m:chr m:val="¯"/>
              </m:accPr>
              <m:e>
                <m:r>
                  <m:t>M</m:t>
                </m:r>
              </m:e>
            </m:acc>
          </m:e>
          <m:sub>
            <m:r>
              <m:t>l</m:t>
            </m:r>
          </m:sub>
        </m:sSub>
      </m:oMath>
      <w:r>
        <w:t xml:space="preserve">,</w:t>
      </w:r>
      <w:r>
        <w:t xml:space="preserve"> </w:t>
      </w:r>
      <m:oMath>
        <m:sSub>
          <m:e>
            <m:acc>
              <m:accPr>
                <m:chr m:val="¯"/>
              </m:accPr>
              <m:e>
                <m:r>
                  <m:t>M</m:t>
                </m:r>
              </m:e>
            </m:acc>
          </m:e>
          <m:sub>
            <m:r>
              <m:t>r</m:t>
            </m:r>
          </m:sub>
        </m:sSub>
      </m:oMath>
      <w:r>
        <w:t xml:space="preserve"> </w:t>
      </w:r>
      <w:r>
        <w:t xml:space="preserve">and</w:t>
      </w:r>
      <w:r>
        <w:t xml:space="preserve"> </w:t>
      </w:r>
      <m:oMath>
        <m:r>
          <m:t>ξ</m:t>
        </m:r>
        <m:r>
          <m:rPr>
            <m:sty m:val="p"/>
          </m:rPr>
          <m:t>=</m:t>
        </m:r>
        <m:r>
          <m:t>x</m:t>
        </m:r>
        <m:r>
          <m:rPr>
            <m:sty m:val="p"/>
          </m:rPr>
          <m:t>/</m:t>
        </m:r>
        <m:r>
          <m:t>L</m:t>
        </m:r>
      </m:oMath>
      <w:r>
        <w:t xml:space="preserve">, the indicators are</w:t>
      </w:r>
      <w:r>
        <w:t xml:space="preserve"> </w:t>
      </w:r>
      <m:oMath>
        <m:sSub>
          <m:e>
            <m:r>
              <m:t>N</m:t>
            </m:r>
          </m:e>
          <m:sub>
            <m:r>
              <m:t>w</m:t>
            </m:r>
          </m:sub>
        </m:sSub>
        <m:r>
          <m:rPr>
            <m:sty m:val="p"/>
          </m:rPr>
          <m:t>=</m:t>
        </m:r>
        <m:r>
          <m:t>8</m:t>
        </m:r>
        <m:r>
          <m:t>Φ</m:t>
        </m:r>
      </m:oMath>
      <w:r>
        <w:t xml:space="preserve"> </w:t>
      </w:r>
      <w:r>
        <w:t xml:space="preserve">with</w:t>
      </w:r>
      <w:r>
        <w:t xml:space="preserve"> </w:t>
      </w:r>
      <m:oMath>
        <m:r>
          <m:t>Φ</m:t>
        </m:r>
        <m:r>
          <m:rPr>
            <m:sty m:val="p"/>
          </m:rPr>
          <m:t>=</m:t>
        </m:r>
        <m:r>
          <m:t>ξ</m:t>
        </m:r>
        <m:d>
          <m:dPr>
            <m:begChr m:val="("/>
            <m:endChr m:val=")"/>
            <m:grow/>
          </m:dPr>
          <m:e>
            <m:r>
              <m:t>1</m:t>
            </m:r>
            <m:r>
              <m:rPr>
                <m:sty m:val="p"/>
              </m:rPr>
              <m:t>−</m:t>
            </m:r>
            <m:r>
              <m:t>2</m:t>
            </m:r>
            <m:sSup>
              <m:e>
                <m:r>
                  <m:t>ξ</m:t>
                </m:r>
              </m:e>
              <m:sup>
                <m:r>
                  <m:t>2</m:t>
                </m:r>
              </m:sup>
            </m:sSup>
            <m:r>
              <m:rPr>
                <m:sty m:val="p"/>
              </m:rPr>
              <m:t>+</m:t>
            </m:r>
            <m:sSup>
              <m:e>
                <m:r>
                  <m:t>ξ</m:t>
                </m:r>
              </m:e>
              <m:sup>
                <m:r>
                  <m:t>3</m:t>
                </m:r>
              </m:sup>
            </m:sSup>
          </m:e>
        </m:d>
        <m:r>
          <m:rPr>
            <m:sty m:val="p"/>
          </m:rPr>
          <m:t>−</m:t>
        </m:r>
        <m:f>
          <m:fPr>
            <m:type m:val="lin"/>
          </m:fPr>
          <m:num>
            <m:sSub>
              <m:e>
                <m:acc>
                  <m:accPr>
                    <m:chr m:val="¯"/>
                  </m:accPr>
                  <m:e>
                    <m:r>
                      <m:t>M</m:t>
                    </m:r>
                  </m:e>
                </m:acc>
              </m:e>
              <m:sub>
                <m:r>
                  <m:t>l</m:t>
                </m:r>
              </m:sub>
            </m:sSub>
          </m:num>
          <m:den>
            <m:r>
              <m:t>2</m:t>
            </m:r>
          </m:den>
        </m:f>
        <m:d>
          <m:dPr>
            <m:begChr m:val="("/>
            <m:endChr m:val=")"/>
            <m:grow/>
          </m:dPr>
          <m:e>
            <m:r>
              <m:t>2</m:t>
            </m:r>
            <m:r>
              <m:t>ξ</m:t>
            </m:r>
            <m:r>
              <m:rPr>
                <m:sty m:val="p"/>
              </m:rPr>
              <m:t>−</m:t>
            </m:r>
            <m:r>
              <m:t>3</m:t>
            </m:r>
            <m:sSup>
              <m:e>
                <m:r>
                  <m:t>ξ</m:t>
                </m:r>
              </m:e>
              <m:sup>
                <m:r>
                  <m:t>2</m:t>
                </m:r>
              </m:sup>
            </m:sSup>
            <m:r>
              <m:rPr>
                <m:sty m:val="p"/>
              </m:rPr>
              <m:t>+</m:t>
            </m:r>
            <m:sSup>
              <m:e>
                <m:r>
                  <m:t>ξ</m:t>
                </m:r>
              </m:e>
              <m:sup>
                <m:r>
                  <m:t>3</m:t>
                </m:r>
              </m:sup>
            </m:sSup>
          </m:e>
        </m:d>
        <m:r>
          <m:rPr>
            <m:sty m:val="p"/>
          </m:rPr>
          <m:t>−</m:t>
        </m:r>
        <m:f>
          <m:fPr>
            <m:type m:val="lin"/>
          </m:fPr>
          <m:num>
            <m:sSub>
              <m:e>
                <m:acc>
                  <m:accPr>
                    <m:chr m:val="¯"/>
                  </m:accPr>
                  <m:e>
                    <m:r>
                      <m:t>M</m:t>
                    </m:r>
                  </m:e>
                </m:acc>
              </m:e>
              <m:sub>
                <m:r>
                  <m:t>r</m:t>
                </m:r>
              </m:sub>
            </m:sSub>
          </m:num>
          <m:den>
            <m:r>
              <m:t>2</m:t>
            </m:r>
          </m:den>
        </m:f>
        <m:d>
          <m:dPr>
            <m:begChr m:val="("/>
            <m:endChr m:val=")"/>
            <m:grow/>
          </m:dPr>
          <m:e>
            <m:r>
              <m:t>ξ</m:t>
            </m:r>
            <m:r>
              <m:rPr>
                <m:sty m:val="p"/>
              </m:rPr>
              <m:t>−</m:t>
            </m:r>
            <m:sSup>
              <m:e>
                <m:r>
                  <m:t>ξ</m:t>
                </m:r>
              </m:e>
              <m:sup>
                <m:r>
                  <m:t>3</m:t>
                </m:r>
              </m:sup>
            </m:sSup>
          </m:e>
        </m:d>
      </m:oMath>
      <w:r>
        <w:t xml:space="preserve">,</w:t>
      </w:r>
      <w:r>
        <w:t xml:space="preserve"> </w:t>
      </w:r>
      <m:oMath>
        <m:sSub>
          <m:e>
            <m:r>
              <m:t>N</m:t>
            </m:r>
          </m:e>
          <m:sub>
            <m:r>
              <m:t>θ</m:t>
            </m:r>
          </m:sub>
        </m:sSub>
        <m:r>
          <m:rPr>
            <m:sty m:val="p"/>
          </m:rPr>
          <m:t>=</m:t>
        </m:r>
        <m:r>
          <m:t>24</m:t>
        </m:r>
        <m:r>
          <m:t>E</m:t>
        </m:r>
        <m:r>
          <m:t>I</m:t>
        </m:r>
        <m:r>
          <m:t> </m:t>
        </m:r>
        <m:sSub>
          <m:e>
            <m:r>
              <m:t>C</m:t>
            </m:r>
          </m:e>
          <m:sub>
            <m:r>
              <m:t>θ</m:t>
            </m:r>
          </m:sub>
        </m:sSub>
        <m:r>
          <m:rPr>
            <m:sty m:val="p"/>
          </m:rPr>
          <m:t>/</m:t>
        </m:r>
        <m:sSup>
          <m:e>
            <m:r>
              <m:t>L</m:t>
            </m:r>
          </m:e>
          <m:sup>
            <m:r>
              <m:t>3</m:t>
            </m:r>
          </m:sup>
        </m:sSup>
        <m:r>
          <m:rPr>
            <m:sty m:val="p"/>
          </m:rPr>
          <m:t>=</m:t>
        </m:r>
        <m:r>
          <m:t>Φ</m:t>
        </m:r>
        <m:r>
          <m:rPr>
            <m:sty m:val="p"/>
          </m:rPr>
          <m:t>′</m:t>
        </m:r>
        <m:d>
          <m:dPr>
            <m:begChr m:val="("/>
            <m:endChr m:val=")"/>
            <m:grow/>
          </m:dPr>
          <m:e>
            <m:r>
              <m:t>ξ</m:t>
            </m:r>
          </m:e>
        </m:d>
      </m:oMath>
      <w:r>
        <w:t xml:space="preserve">,</w:t>
      </w:r>
      <w:r>
        <w:t xml:space="preserve"> </w:t>
      </w:r>
      <m:oMath>
        <m:sSub>
          <m:e>
            <m:r>
              <m:t>N</m:t>
            </m:r>
          </m:e>
          <m:sub>
            <m:r>
              <m:t>M</m:t>
            </m:r>
          </m:sub>
        </m:sSub>
      </m:oMath>
      <w:r>
        <w:t xml:space="preserve"> </w:t>
      </w:r>
      <w:r>
        <w:t xml:space="preserve">of Eq. (7) and</w:t>
      </w:r>
      <w:r>
        <w:t xml:space="preserve"> </w:t>
      </w:r>
      <m:oMath>
        <m:sSub>
          <m:e>
            <m:r>
              <m:t>N</m:t>
            </m:r>
          </m:e>
          <m:sub>
            <m:r>
              <m:t>V</m:t>
            </m:r>
          </m:sub>
        </m:sSub>
        <m:r>
          <m:rPr>
            <m:sty m:val="p"/>
          </m:rPr>
          <m:t>=</m:t>
        </m:r>
        <m:r>
          <m:t>2</m:t>
        </m:r>
        <m:sSub>
          <m:e>
            <m:r>
              <m:t>C</m:t>
            </m:r>
          </m:e>
          <m:sub>
            <m:r>
              <m:t>V</m:t>
            </m:r>
          </m:sub>
        </m:sSub>
        <m:r>
          <m:rPr>
            <m:sty m:val="p"/>
          </m:rPr>
          <m:t>/</m:t>
        </m:r>
        <m:r>
          <m:t>L</m:t>
        </m:r>
        <m:r>
          <m:rPr>
            <m:sty m:val="p"/>
          </m:rPr>
          <m:t>=</m:t>
        </m:r>
        <m:r>
          <m:t>1</m:t>
        </m:r>
        <m:r>
          <m:rPr>
            <m:sty m:val="p"/>
          </m:rPr>
          <m:t>−</m:t>
        </m:r>
        <m:r>
          <m:t>2</m:t>
        </m:r>
        <m:r>
          <m:t>ξ</m:t>
        </m:r>
        <m:r>
          <m:rPr>
            <m:sty m:val="p"/>
          </m:rPr>
          <m:t>+</m:t>
        </m:r>
        <m:d>
          <m:dPr>
            <m:begChr m:val="("/>
            <m:endChr m:val=")"/>
            <m:grow/>
          </m:dPr>
          <m:e>
            <m:sSub>
              <m:e>
                <m:acc>
                  <m:accPr>
                    <m:chr m:val="¯"/>
                  </m:accPr>
                  <m:e>
                    <m:r>
                      <m:t>M</m:t>
                    </m:r>
                  </m:e>
                </m:acc>
              </m:e>
              <m:sub>
                <m:r>
                  <m:t>l</m:t>
                </m:r>
              </m:sub>
            </m:sSub>
            <m:r>
              <m:rPr>
                <m:sty m:val="p"/>
              </m:rPr>
              <m:t>−</m:t>
            </m:r>
            <m:sSub>
              <m:e>
                <m:acc>
                  <m:accPr>
                    <m:chr m:val="¯"/>
                  </m:accPr>
                  <m:e>
                    <m:r>
                      <m:t>M</m:t>
                    </m:r>
                  </m:e>
                </m:acc>
              </m:e>
              <m:sub>
                <m:r>
                  <m:t>r</m:t>
                </m:r>
              </m:sub>
            </m:sSub>
          </m:e>
        </m:d>
        <m:r>
          <m:rPr>
            <m:sty m:val="p"/>
          </m:rPr>
          <m:t>/</m:t>
        </m:r>
        <m:r>
          <m:t>4</m:t>
        </m:r>
      </m:oMath>
      <w:r>
        <w:t xml:space="preserve">.</w:t>
      </w:r>
      <w:r>
        <w:t xml:space="preserve"> </w:t>
      </w:r>
      <m:oMath>
        <m:sSub>
          <m:e>
            <m:r>
              <m:t>N</m:t>
            </m:r>
          </m:e>
          <m:sub>
            <m:r>
              <m:t>θ</m:t>
            </m:r>
          </m:sub>
        </m:sSub>
      </m:oMath>
      <w:r>
        <w:t xml:space="preserve">,</w:t>
      </w:r>
      <w:r>
        <w:t xml:space="preserve"> </w:t>
      </w:r>
      <m:oMath>
        <m:sSub>
          <m:e>
            <m:r>
              <m:t>N</m:t>
            </m:r>
          </m:e>
          <m:sub>
            <m:r>
              <m:t>M</m:t>
            </m:r>
          </m:sub>
        </m:sSub>
      </m:oMath>
      <w:r>
        <w:t xml:space="preserve"> </w:t>
      </w:r>
      <w:r>
        <w:t xml:space="preserve">and</w:t>
      </w:r>
      <w:r>
        <w:t xml:space="preserve"> </w:t>
      </w:r>
      <m:oMath>
        <m:sSub>
          <m:e>
            <m:r>
              <m:t>N</m:t>
            </m:r>
          </m:e>
          <m:sub>
            <m:r>
              <m:t>V</m:t>
            </m:r>
          </m:sub>
        </m:sSub>
      </m:oMath>
      <w:r>
        <w:t xml:space="preserve"> </w:t>
      </w:r>
      <w:r>
        <w:t xml:space="preserve">equal 1 for the simply supported reference (end rotation, mid-span moment, end shear).</w:t>
      </w:r>
      <w:r>
        <w:t xml:space="preserve"> </w:t>
      </w:r>
      <m:oMath>
        <m:sSub>
          <m:e>
            <m:r>
              <m:t>N</m:t>
            </m:r>
          </m:e>
          <m:sub>
            <m:r>
              <m:t>w</m:t>
            </m:r>
          </m:sub>
        </m:sSub>
      </m:oMath>
      <w:r>
        <w:t xml:space="preserve"> </w:t>
      </w:r>
      <w:r>
        <w:t xml:space="preserve">equals 2.5 at a simply supported mid-span and 1 at mid-span of each span of an equal two-span beam. For the two-span beam,</w:t>
      </w:r>
      <w:r>
        <w:t xml:space="preserve"> </w:t>
      </w:r>
      <m:oMath>
        <m:d>
          <m:dPr>
            <m:begChr m:val="("/>
            <m:endChr m:val=")"/>
            <m:grow/>
          </m:dPr>
          <m:e>
            <m:sSub>
              <m:e>
                <m:acc>
                  <m:accPr>
                    <m:chr m:val="¯"/>
                  </m:accPr>
                  <m:e>
                    <m:r>
                      <m:t>M</m:t>
                    </m:r>
                  </m:e>
                </m:acc>
              </m:e>
              <m:sub>
                <m:r>
                  <m:t>l</m:t>
                </m:r>
              </m:sub>
            </m:sSub>
            <m:r>
              <m:rPr>
                <m:sty m:val="p"/>
              </m:rPr>
              <m:t>,</m:t>
            </m:r>
            <m:sSub>
              <m:e>
                <m:acc>
                  <m:accPr>
                    <m:chr m:val="¯"/>
                  </m:accPr>
                  <m:e>
                    <m:r>
                      <m:t>M</m:t>
                    </m:r>
                  </m:e>
                </m:acc>
              </m:e>
              <m:sub>
                <m:r>
                  <m:t>r</m:t>
                </m:r>
              </m:sub>
            </m:sSub>
          </m:e>
        </m:d>
        <m:r>
          <m:rPr>
            <m:sty m:val="p"/>
          </m:rPr>
          <m:t>=</m:t>
        </m:r>
        <m:d>
          <m:dPr>
            <m:begChr m:val="("/>
            <m:endChr m:val=")"/>
            <m:grow/>
          </m:dPr>
          <m:e>
            <m:r>
              <m:t>0</m:t>
            </m:r>
            <m:r>
              <m:rPr>
                <m:sty m:val="p"/>
              </m:rPr>
              <m:t>,</m:t>
            </m:r>
            <m:r>
              <m:t>μ</m:t>
            </m:r>
          </m:e>
        </m:d>
      </m:oMath>
      <w:r>
        <w:t xml:space="preserve"> </w:t>
      </w:r>
      <w:r>
        <w:t xml:space="preserve">in span 1 and</w:t>
      </w:r>
      <w:r>
        <w:t xml:space="preserve"> </w:t>
      </w:r>
      <m:oMath>
        <m:d>
          <m:dPr>
            <m:begChr m:val="("/>
            <m:endChr m:val=")"/>
            <m:grow/>
          </m:dPr>
          <m:e>
            <m:r>
              <m:t>μ</m:t>
            </m:r>
            <m:r>
              <m:rPr>
                <m:sty m:val="p"/>
              </m:rPr>
              <m:t>/</m:t>
            </m:r>
            <m:sSup>
              <m:e>
                <m:r>
                  <m:t>λ</m:t>
                </m:r>
              </m:e>
              <m:sup>
                <m:r>
                  <m:t>2</m:t>
                </m:r>
              </m:sup>
            </m:sSup>
            <m:r>
              <m:rPr>
                <m:sty m:val="p"/>
              </m:rPr>
              <m:t>,</m:t>
            </m:r>
            <m:r>
              <m:t>0</m:t>
            </m:r>
          </m:e>
        </m:d>
      </m:oMath>
      <w:r>
        <w:t xml:space="preserve"> </w:t>
      </w:r>
      <w:r>
        <w:t xml:space="preserve">in span 2; for the symmetric three-span beam,</w:t>
      </w:r>
      <w:r>
        <w:t xml:space="preserve"> </w:t>
      </w:r>
      <m:oMath>
        <m:d>
          <m:dPr>
            <m:begChr m:val="("/>
            <m:endChr m:val=")"/>
            <m:grow/>
          </m:dPr>
          <m:e>
            <m:r>
              <m:t>0</m:t>
            </m:r>
            <m:r>
              <m:rPr>
                <m:sty m:val="p"/>
              </m:rPr>
              <m:t>,</m:t>
            </m:r>
            <m:r>
              <m:t>μ</m:t>
            </m:r>
          </m:e>
        </m:d>
      </m:oMath>
      <w:r>
        <w:t xml:space="preserve"> </w:t>
      </w:r>
      <w:r>
        <w:t xml:space="preserve">in the side span and</w:t>
      </w:r>
      <w:r>
        <w:t xml:space="preserve"> </w:t>
      </w:r>
      <m:oMath>
        <m:d>
          <m:dPr>
            <m:begChr m:val="("/>
            <m:endChr m:val=")"/>
            <m:grow/>
          </m:dPr>
          <m:e>
            <m:r>
              <m:t>μ</m:t>
            </m:r>
            <m:r>
              <m:rPr>
                <m:sty m:val="p"/>
              </m:rPr>
              <m:t>/</m:t>
            </m:r>
            <m:sSup>
              <m:e>
                <m:r>
                  <m:t>β</m:t>
                </m:r>
              </m:e>
              <m:sup>
                <m:r>
                  <m:t>2</m:t>
                </m:r>
              </m:sup>
            </m:sSup>
            <m:r>
              <m:rPr>
                <m:sty m:val="p"/>
              </m:rPr>
              <m:t>,</m:t>
            </m:r>
            <m:r>
              <m:t>μ</m:t>
            </m:r>
            <m:r>
              <m:rPr>
                <m:sty m:val="p"/>
              </m:rPr>
              <m:t>/</m:t>
            </m:r>
            <m:sSup>
              <m:e>
                <m:r>
                  <m:t>β</m:t>
                </m:r>
              </m:e>
              <m:sup>
                <m:r>
                  <m:t>2</m:t>
                </m:r>
              </m:sup>
            </m:sSup>
          </m:e>
        </m:d>
      </m:oMath>
      <w:r>
        <w:t xml:space="preserve"> </w:t>
      </w:r>
      <w:r>
        <w:t xml:space="preserve">in the main span with pinned piers; with pier springs,</w:t>
      </w:r>
      <w:r>
        <w:t xml:space="preserve"> </w:t>
      </w:r>
      <m:oMath>
        <m:r>
          <m:t>μ</m:t>
        </m:r>
      </m:oMath>
      <w:r>
        <w:t xml:space="preserve"> </w:t>
      </w:r>
      <w:r>
        <w:t xml:space="preserve">follows from Eq. (14) and the main-span values from</w:t>
      </w:r>
      <w:r>
        <w:t xml:space="preserve"> </w:t>
      </w:r>
      <m:oMath>
        <m:sSub>
          <m:e>
            <m:acc>
              <m:accPr>
                <m:chr m:val="¯"/>
              </m:accPr>
              <m:e>
                <m:r>
                  <m:t>M</m:t>
                </m:r>
              </m:e>
            </m:acc>
          </m:e>
          <m:sub>
            <m:r>
              <m:rPr>
                <m:sty m:val="p"/>
                <m:nor/>
              </m:rPr>
              <m:t>main</m:t>
            </m:r>
          </m:sub>
        </m:sSub>
      </m:oMath>
      <w:r>
        <w:t xml:space="preserve"> </w:t>
      </w:r>
      <w:r>
        <w:t xml:space="preserve">in Section 2.5. Strain zeros solve</w:t>
      </w:r>
      <w:r>
        <w:t xml:space="preserve"> </w:t>
      </w:r>
      <m:oMath>
        <m:r>
          <m:t>4</m:t>
        </m:r>
        <m:sSup>
          <m:e>
            <m:r>
              <m:t>ξ</m:t>
            </m:r>
          </m:e>
          <m:sup>
            <m:r>
              <m:t>2</m:t>
            </m:r>
          </m:sup>
        </m:sSup>
        <m:r>
          <m:rPr>
            <m:sty m:val="p"/>
          </m:rPr>
          <m:t>−</m:t>
        </m:r>
        <m:d>
          <m:dPr>
            <m:begChr m:val="("/>
            <m:endChr m:val=")"/>
            <m:grow/>
          </m:dPr>
          <m:e>
            <m:r>
              <m:t>4</m:t>
            </m:r>
            <m:r>
              <m:rPr>
                <m:sty m:val="p"/>
              </m:rPr>
              <m:t>+</m:t>
            </m:r>
            <m:sSub>
              <m:e>
                <m:acc>
                  <m:accPr>
                    <m:chr m:val="¯"/>
                  </m:accPr>
                  <m:e>
                    <m:r>
                      <m:t>M</m:t>
                    </m:r>
                  </m:e>
                </m:acc>
              </m:e>
              <m:sub>
                <m:r>
                  <m:t>l</m:t>
                </m:r>
              </m:sub>
            </m:sSub>
            <m:r>
              <m:rPr>
                <m:sty m:val="p"/>
              </m:rPr>
              <m:t>−</m:t>
            </m:r>
            <m:sSub>
              <m:e>
                <m:acc>
                  <m:accPr>
                    <m:chr m:val="¯"/>
                  </m:accPr>
                  <m:e>
                    <m:r>
                      <m:t>M</m:t>
                    </m:r>
                  </m:e>
                </m:acc>
              </m:e>
              <m:sub>
                <m:r>
                  <m:t>r</m:t>
                </m:r>
              </m:sub>
            </m:sSub>
          </m:e>
        </m:d>
        <m:r>
          <m:t>ξ</m:t>
        </m:r>
        <m:r>
          <m:rPr>
            <m:sty m:val="p"/>
          </m:rPr>
          <m:t>+</m:t>
        </m:r>
        <m:sSub>
          <m:e>
            <m:acc>
              <m:accPr>
                <m:chr m:val="¯"/>
              </m:accPr>
              <m:e>
                <m:r>
                  <m:t>M</m:t>
                </m:r>
              </m:e>
            </m:acc>
          </m:e>
          <m:sub>
            <m:r>
              <m:t>l</m:t>
            </m:r>
          </m:sub>
        </m:sSub>
        <m:r>
          <m:rPr>
            <m:sty m:val="p"/>
          </m:rPr>
          <m:t>=</m:t>
        </m:r>
        <m:r>
          <m:t>0</m:t>
        </m:r>
      </m:oMath>
      <w:r>
        <w:t xml:space="preserve">.</w:t>
      </w:r>
    </w:p>
    <w:p>
      <w:pPr>
        <w:pStyle w:val="BodyText"/>
      </w:pPr>
      <w:r>
        <w:t xml:space="preserve">All closed forms of Section 2.2 agree with FE evaluations of Eq. (2) in 981 checks, with a maximum error of 8.1 × 10⁻¹¹ on the normalized indicators. The verification covered two-span, symmetric and asymmetric three-span and four-span beams, zero-moment positions, ten blind configurations, the identity for a two-truck convoy on piecewise-prismatic girders with elastic pier springs (relative error 2.8 × 10⁻⁹), and the haunched Mây Bridge FE against an independent force-method solution (5.4 × 10⁻¹⁰). Truncating the record when the first axle leaves changed the integral by up to 59 % (rotation) and 10 % (moment) on the two-span example.</w:t>
      </w:r>
    </w:p>
    <w:p>
      <w:pPr>
        <w:pStyle w:val="BodyText"/>
      </w:pPr>
      <w:r>
        <w:t xml:space="preserve">For the most general linear estimator</w:t>
      </w:r>
      <w:r>
        <w:t xml:space="preserve"> </w:t>
      </w:r>
      <m:oMath>
        <m:acc>
          <m:accPr>
            <m:chr m:val="̂"/>
          </m:accPr>
          <m:e>
            <m:r>
              <m:t>P</m:t>
            </m:r>
          </m:e>
        </m:acc>
        <m:r>
          <m:rPr>
            <m:sty m:val="p"/>
          </m:rPr>
          <m:t>=</m:t>
        </m:r>
        <m:nary>
          <m:naryPr>
            <m:chr m:val="∑"/>
            <m:limLoc m:val="undOvr"/>
            <m:subHide m:val="off"/>
            <m:supHide m:val="on"/>
          </m:naryPr>
          <m:sub>
            <m:r>
              <m:t>j</m:t>
            </m:r>
          </m:sub>
          <m:sup>
            <m:r>
              <m:t>​</m:t>
            </m:r>
          </m:sup>
          <m:e>
            <m:r>
              <m:rPr>
                <m:sty m:val="p"/>
              </m:rPr>
              <m:t>∫</m:t>
            </m:r>
          </m:e>
        </m:nary>
        <m:sSub>
          <m:e>
            <m:r>
              <m:t>g</m:t>
            </m:r>
          </m:e>
          <m:sub>
            <m:r>
              <m:t>j</m:t>
            </m:r>
          </m:sub>
        </m:sSub>
        <m:d>
          <m:dPr>
            <m:begChr m:val="("/>
            <m:endChr m:val=")"/>
            <m:grow/>
          </m:dPr>
          <m:e>
            <m:r>
              <m:t>x</m:t>
            </m:r>
          </m:e>
        </m:d>
        <m:sSub>
          <m:e>
            <m:r>
              <m:t>y</m:t>
            </m:r>
          </m:e>
          <m:sub>
            <m:r>
              <m:t>j</m:t>
            </m:r>
          </m:sub>
        </m:sSub>
        <m:d>
          <m:dPr>
            <m:begChr m:val="("/>
            <m:endChr m:val=")"/>
            <m:grow/>
          </m:dPr>
          <m:e>
            <m:r>
              <m:t>x</m:t>
            </m:r>
          </m:e>
        </m:d>
        <m:r>
          <m:t> </m:t>
        </m:r>
        <m:r>
          <m:rPr>
            <m:sty m:val="p"/>
            <m:nor/>
          </m:rPr>
          <m:t>d</m:t>
        </m:r>
        <m:r>
          <m:t>x</m:t>
        </m:r>
      </m:oMath>
      <w:r>
        <w:t xml:space="preserve">, with weighting functions</w:t>
      </w:r>
      <w:r>
        <w:t xml:space="preserve"> </w:t>
      </w:r>
      <m:oMath>
        <m:sSub>
          <m:e>
            <m:r>
              <m:t>g</m:t>
            </m:r>
          </m:e>
          <m:sub>
            <m:r>
              <m:t>j</m:t>
            </m:r>
          </m:sub>
        </m:sSub>
      </m:oMath>
      <w:r>
        <w:t xml:space="preserve"> </w:t>
      </w:r>
      <w:r>
        <w:t xml:space="preserve">along the records</w:t>
      </w:r>
      <w:r>
        <w:t xml:space="preserve"> </w:t>
      </w:r>
      <m:oMath>
        <m:sSub>
          <m:e>
            <m:r>
              <m:t>y</m:t>
            </m:r>
          </m:e>
          <m:sub>
            <m:r>
              <m:t>j</m:t>
            </m:r>
          </m:sub>
        </m:sSub>
      </m:oMath>
      <w:r>
        <w:t xml:space="preserve">, the mean is</w:t>
      </w:r>
      <w:r>
        <w:t xml:space="preserve"> </w:t>
      </w:r>
      <m:oMath>
        <m:nary>
          <m:naryPr>
            <m:chr m:val="∑"/>
            <m:limLoc m:val="undOvr"/>
            <m:subHide m:val="off"/>
            <m:supHide m:val="on"/>
          </m:naryPr>
          <m:sub>
            <m:r>
              <m:t>i</m:t>
            </m:r>
          </m:sub>
          <m:sup>
            <m:r>
              <m:t>​</m:t>
            </m:r>
          </m:sup>
          <m:e>
            <m:sSub>
              <m:e>
                <m:r>
                  <m:t>P</m:t>
                </m:r>
              </m:e>
              <m:sub>
                <m:r>
                  <m:t>i</m:t>
                </m:r>
              </m:sub>
            </m:sSub>
          </m:e>
        </m:nary>
        <m:r>
          <m:t>ψ</m:t>
        </m:r>
        <m:d>
          <m:dPr>
            <m:begChr m:val="("/>
            <m:endChr m:val=")"/>
            <m:grow/>
          </m:dPr>
          <m:e>
            <m:sSub>
              <m:e>
                <m:r>
                  <m:t>s</m:t>
                </m:r>
              </m:e>
              <m:sub>
                <m:r>
                  <m:t>i</m:t>
                </m:r>
              </m:sub>
            </m:sSub>
          </m:e>
        </m:d>
      </m:oMath>
      <w:r>
        <w:t xml:space="preserve">, with</w:t>
      </w:r>
      <w:r>
        <w:t xml:space="preserve"> </w:t>
      </w:r>
      <m:oMath>
        <m:sSub>
          <m:e>
            <m:r>
              <m:t>s</m:t>
            </m:r>
          </m:e>
          <m:sub>
            <m:r>
              <m:t>i</m:t>
            </m:r>
          </m:sub>
        </m:sSub>
      </m:oMath>
      <w:r>
        <w:t xml:space="preserve"> </w:t>
      </w:r>
      <w:r>
        <w:t xml:space="preserve">the position of axle</w:t>
      </w:r>
      <w:r>
        <w:t xml:space="preserve"> </w:t>
      </w:r>
      <m:oMath>
        <m:r>
          <m:t>i</m:t>
        </m:r>
      </m:oMath>
      <w:r>
        <w:t xml:space="preserve"> </w:t>
      </w:r>
      <w:r>
        <w:t xml:space="preserve">and</w:t>
      </w:r>
      <w:r>
        <w:t xml:space="preserve"> </w:t>
      </w:r>
      <m:oMath>
        <m:r>
          <m:t>ψ</m:t>
        </m:r>
        <m:d>
          <m:dPr>
            <m:begChr m:val="("/>
            <m:endChr m:val=")"/>
            <m:grow/>
          </m:dPr>
          <m:e>
            <m:r>
              <m:t>s</m:t>
            </m:r>
          </m:e>
        </m:d>
        <m:r>
          <m:rPr>
            <m:sty m:val="p"/>
          </m:rPr>
          <m:t>=</m:t>
        </m:r>
        <m:nary>
          <m:naryPr>
            <m:chr m:val="∑"/>
            <m:limLoc m:val="undOvr"/>
            <m:subHide m:val="off"/>
            <m:supHide m:val="on"/>
          </m:naryPr>
          <m:sub>
            <m:r>
              <m:t>j</m:t>
            </m:r>
          </m:sub>
          <m:sup>
            <m:r>
              <m:t>​</m:t>
            </m:r>
          </m:sup>
          <m:e>
            <m:r>
              <m:rPr>
                <m:sty m:val="p"/>
              </m:rPr>
              <m:t>∫</m:t>
            </m:r>
          </m:e>
        </m:nary>
        <m:sSub>
          <m:e>
            <m:r>
              <m:t>g</m:t>
            </m:r>
          </m:e>
          <m:sub>
            <m:r>
              <m:t>j</m:t>
            </m:r>
          </m:sub>
        </m:sSub>
        <m:d>
          <m:dPr>
            <m:begChr m:val="("/>
            <m:endChr m:val=")"/>
            <m:grow/>
          </m:dPr>
          <m:e>
            <m:r>
              <m:t>x</m:t>
            </m:r>
          </m:e>
        </m:d>
        <m:sSub>
          <m:e>
            <m:r>
              <m:t>η</m:t>
            </m:r>
          </m:e>
          <m:sub>
            <m:r>
              <m:t>j</m:t>
            </m:r>
          </m:sub>
        </m:sSub>
        <m:d>
          <m:dPr>
            <m:begChr m:val="("/>
            <m:endChr m:val=")"/>
            <m:grow/>
          </m:dPr>
          <m:e>
            <m:r>
              <m:t>x</m:t>
            </m:r>
            <m:r>
              <m:rPr>
                <m:sty m:val="p"/>
              </m:rPr>
              <m:t>−</m:t>
            </m:r>
            <m:r>
              <m:t>s</m:t>
            </m:r>
          </m:e>
        </m:d>
        <m:r>
          <m:t> </m:t>
        </m:r>
        <m:r>
          <m:rPr>
            <m:sty m:val="p"/>
            <m:nor/>
          </m:rPr>
          <m:t>d</m:t>
        </m:r>
        <m:r>
          <m:t>x</m:t>
        </m:r>
      </m:oMath>
      <w:r>
        <w:t xml:space="preserve">. If</w:t>
      </w:r>
      <w:r>
        <w:t xml:space="preserve"> </w:t>
      </w:r>
      <m:oMath>
        <m:r>
          <m:t>ψ</m:t>
        </m:r>
      </m:oMath>
      <w:r>
        <w:t xml:space="preserve"> </w:t>
      </w:r>
      <w:r>
        <w:t xml:space="preserve">must be constant in</w:t>
      </w:r>
      <w:r>
        <w:t xml:space="preserve"> </w:t>
      </w:r>
      <m:oMath>
        <m:r>
          <m:t>s</m:t>
        </m:r>
      </m:oMath>
      <w:r>
        <w:t xml:space="preserve"> </w:t>
      </w:r>
      <w:r>
        <w:t xml:space="preserve">for every set of influence lines supported on</w:t>
      </w:r>
      <w:r>
        <w:t xml:space="preserve"> </w:t>
      </w:r>
      <m:oMath>
        <m:d>
          <m:dPr>
            <m:begChr m:val="["/>
            <m:endChr m:val="]"/>
            <m:grow/>
          </m:dPr>
          <m:e>
            <m:r>
              <m:t>0</m:t>
            </m:r>
            <m:r>
              <m:rPr>
                <m:sty m:val="p"/>
              </m:rPr>
              <m:t>,</m:t>
            </m:r>
            <m:sSub>
              <m:e>
                <m:r>
                  <m:t>L</m:t>
                </m:r>
              </m:e>
              <m:sub>
                <m:r>
                  <m:t>p</m:t>
                </m:r>
              </m:sub>
            </m:sSub>
          </m:e>
        </m:d>
      </m:oMath>
      <w:r>
        <w:t xml:space="preserve">, then</w:t>
      </w:r>
      <w:r>
        <w:t xml:space="preserve"> </w:t>
      </w:r>
      <m:oMath>
        <m:nary>
          <m:naryPr>
            <m:chr m:val="∫"/>
            <m:limLoc m:val="subSup"/>
            <m:subHide m:val="off"/>
            <m:supHide m:val="off"/>
          </m:naryPr>
          <m:sub>
            <m:r>
              <m:t>0</m:t>
            </m:r>
          </m:sub>
          <m:sup>
            <m:sSub>
              <m:e>
                <m:r>
                  <m:t>L</m:t>
                </m:r>
              </m:e>
              <m:sub>
                <m:r>
                  <m:t>p</m:t>
                </m:r>
              </m:sub>
            </m:sSub>
          </m:sup>
          <m:e>
            <m:d>
              <m:dPr>
                <m:begChr m:val="["/>
                <m:endChr m:val="]"/>
                <m:grow/>
              </m:dPr>
              <m:e>
                <m:r>
                  <m:t>g</m:t>
                </m:r>
                <m:d>
                  <m:dPr>
                    <m:begChr m:val="("/>
                    <m:endChr m:val=")"/>
                    <m:grow/>
                  </m:dPr>
                  <m:e>
                    <m:r>
                      <m:t>u</m:t>
                    </m:r>
                    <m:r>
                      <m:rPr>
                        <m:sty m:val="p"/>
                      </m:rPr>
                      <m:t>+</m:t>
                    </m:r>
                    <m:r>
                      <m:t>s</m:t>
                    </m:r>
                  </m:e>
                </m:d>
                <m:r>
                  <m:rPr>
                    <m:sty m:val="p"/>
                  </m:rPr>
                  <m:t>−</m:t>
                </m:r>
                <m:r>
                  <m:t>g</m:t>
                </m:r>
                <m:d>
                  <m:dPr>
                    <m:begChr m:val="("/>
                    <m:endChr m:val=")"/>
                    <m:grow/>
                  </m:dPr>
                  <m:e>
                    <m:r>
                      <m:t>u</m:t>
                    </m:r>
                    <m:r>
                      <m:rPr>
                        <m:sty m:val="p"/>
                      </m:rPr>
                      <m:t>+</m:t>
                    </m:r>
                    <m:r>
                      <m:t>s</m:t>
                    </m:r>
                    <m:r>
                      <m:rPr>
                        <m:sty m:val="p"/>
                      </m:rPr>
                      <m:t>′</m:t>
                    </m:r>
                  </m:e>
                </m:d>
              </m:e>
            </m:d>
          </m:e>
        </m:nary>
        <m:r>
          <m:t>η</m:t>
        </m:r>
        <m:d>
          <m:dPr>
            <m:begChr m:val="("/>
            <m:endChr m:val=")"/>
            <m:grow/>
          </m:dPr>
          <m:e>
            <m:r>
              <m:t>u</m:t>
            </m:r>
          </m:e>
        </m:d>
        <m:r>
          <m:t> </m:t>
        </m:r>
        <m:r>
          <m:rPr>
            <m:sty m:val="p"/>
            <m:nor/>
          </m:rPr>
          <m:t>d</m:t>
        </m:r>
        <m:r>
          <m:t>u</m:t>
        </m:r>
        <m:r>
          <m:rPr>
            <m:sty m:val="p"/>
          </m:rPr>
          <m:t>=</m:t>
        </m:r>
        <m:r>
          <m:t>0</m:t>
        </m:r>
      </m:oMath>
      <w:r>
        <w:t xml:space="preserve"> </w:t>
      </w:r>
      <w:r>
        <w:t xml:space="preserve">for every admissible</w:t>
      </w:r>
      <w:r>
        <w:t xml:space="preserve"> </w:t>
      </w:r>
      <m:oMath>
        <m:r>
          <m:t>η</m:t>
        </m:r>
      </m:oMath>
      <w:r>
        <w:t xml:space="preserve">, so</w:t>
      </w:r>
      <w:r>
        <w:t xml:space="preserve"> </w:t>
      </w:r>
      <m:oMath>
        <m:r>
          <m:t>g</m:t>
        </m:r>
        <m:d>
          <m:dPr>
            <m:begChr m:val="("/>
            <m:endChr m:val=")"/>
            <m:grow/>
          </m:dPr>
          <m:e>
            <m:r>
              <m:t>u</m:t>
            </m:r>
            <m:r>
              <m:rPr>
                <m:sty m:val="p"/>
              </m:rPr>
              <m:t>+</m:t>
            </m:r>
            <m:r>
              <m:t>s</m:t>
            </m:r>
          </m:e>
        </m:d>
        <m:r>
          <m:rPr>
            <m:sty m:val="p"/>
          </m:rPr>
          <m:t>=</m:t>
        </m:r>
        <m:r>
          <m:t>g</m:t>
        </m:r>
        <m:d>
          <m:dPr>
            <m:begChr m:val="("/>
            <m:endChr m:val=")"/>
            <m:grow/>
          </m:dPr>
          <m:e>
            <m:r>
              <m:t>u</m:t>
            </m:r>
            <m:r>
              <m:rPr>
                <m:sty m:val="p"/>
              </m:rPr>
              <m:t>+</m:t>
            </m:r>
            <m:r>
              <m:t>s</m:t>
            </m:r>
            <m:r>
              <m:rPr>
                <m:sty m:val="p"/>
              </m:rPr>
              <m:t>′</m:t>
            </m:r>
          </m:e>
        </m:d>
      </m:oMath>
      <w:r>
        <w:t xml:space="preserve"> </w:t>
      </w:r>
      <w:r>
        <w:t xml:space="preserve">almost everywhere. Each</w:t>
      </w:r>
      <w:r>
        <w:t xml:space="preserve"> </w:t>
      </w:r>
      <m:oMath>
        <m:sSub>
          <m:e>
            <m:r>
              <m:t>g</m:t>
            </m:r>
          </m:e>
          <m:sub>
            <m:r>
              <m:t>j</m:t>
            </m:r>
          </m:sub>
        </m:sSub>
      </m:oMath>
      <w:r>
        <w:t xml:space="preserve"> </w:t>
      </w:r>
      <w:r>
        <w:t xml:space="preserve">is therefore constant, and the only freedom lies across channels. SLM relies on this invariance. An estimate built on the absolute value of the record (Deng et al., 2025) is not linear in the axle loads, so it loses this invariance whenever contributions of opposite sign overlap.</w:t>
      </w:r>
    </w:p>
    <w:p>
      <w:pPr>
        <w:pStyle w:val="BodyText"/>
      </w:pPr>
      <w:r>
        <w:t xml:space="preserve">The same argument links SLM to transmissibility-based weighing (Yan et al., 2022): a transmissibility is a ratio of response spectra, and at zero frequency it equals the ratio of record integrals. A record integrated uniformly in time weights space by</w:t>
      </w:r>
      <w:r>
        <w:t xml:space="preserve"> </w:t>
      </w:r>
      <m:oMath>
        <m:r>
          <m:t>1</m:t>
        </m:r>
        <m:r>
          <m:rPr>
            <m:sty m:val="p"/>
          </m:rPr>
          <m:t>/</m:t>
        </m:r>
        <m:r>
          <m:t>v</m:t>
        </m:r>
        <m:d>
          <m:dPr>
            <m:begChr m:val="("/>
            <m:endChr m:val=")"/>
            <m:grow/>
          </m:dPr>
          <m:e>
            <m:r>
              <m:t>x</m:t>
            </m:r>
          </m:e>
        </m:d>
      </m:oMath>
      <w:r>
        <w:t xml:space="preserve">, so the integral must be taken in space; at constant speed</w:t>
      </w:r>
      <w:r>
        <w:t xml:space="preserve"> </w:t>
      </w:r>
      <m:oMath>
        <m:r>
          <m:t>v</m:t>
        </m:r>
      </m:oMath>
      <w:r>
        <w:t xml:space="preserve"> </w:t>
      </w:r>
      <w:r>
        <w:t xml:space="preserve">the time integral is</w:t>
      </w:r>
      <w:r>
        <w:t xml:space="preserve"> </w:t>
      </w:r>
      <m:oMath>
        <m:sSub>
          <m:e>
            <m:r>
              <m:t>J</m:t>
            </m:r>
          </m:e>
          <m:sub>
            <m:r>
              <m:t>m</m:t>
            </m:r>
          </m:sub>
        </m:sSub>
        <m:r>
          <m:rPr>
            <m:sty m:val="p"/>
          </m:rPr>
          <m:t>/</m:t>
        </m:r>
        <m:r>
          <m:t>v</m:t>
        </m:r>
      </m:oMath>
      <w:r>
        <w:t xml:space="preserve">.</w:t>
      </w:r>
    </w:p>
    <w:p>
      <w:pPr>
        <w:pStyle w:val="BodyText"/>
      </w:pPr>
      <w:r>
        <w:t xml:space="preserve">When the influence line is known, other invariant weighting functions exist; for two equal spans and entry-shift ranges of 2–160 m (the range of axle positions over which the estimate must stay invariant) their white-noise variance is lower by a factor of 1.5–6.6, but a 20 % rigidity error in the adjacent span then produces configuration-dependent errors of −1.1 % to +2.0 % (Fig. S3).</w:t>
      </w:r>
    </w:p>
    <w:p>
      <w:pPr>
        <w:pStyle w:val="Figure"/>
      </w:pPr>
      <w:r>
        <w:drawing>
          <wp:inline>
            <wp:extent cx="5039999" cy="1732426"/>
            <wp:effectExtent b="0" l="0" r="0" t="0"/>
            <wp:docPr descr="" title="" id="29" name="Picture"/>
            <a:graphic>
              <a:graphicData uri="http://schemas.openxmlformats.org/drawingml/2006/picture">
                <pic:pic>
                  <pic:nvPicPr>
                    <pic:cNvPr descr="/home/user/SHM-Paper1-1D/manuscript/ase/figures/supplementary/FigS3_structure_aware_weights.png" id="30" name="Picture"/>
                    <pic:cNvPicPr>
                      <a:picLocks noChangeArrowheads="1" noChangeAspect="1"/>
                    </pic:cNvPicPr>
                  </pic:nvPicPr>
                  <pic:blipFill>
                    <a:blip r:embed="rId28"/>
                    <a:stretch>
                      <a:fillRect/>
                    </a:stretch>
                  </pic:blipFill>
                  <pic:spPr bwMode="auto">
                    <a:xfrm>
                      <a:off x="0" y="0"/>
                      <a:ext cx="5039999" cy="1732426"/>
                    </a:xfrm>
                    <a:prstGeom prst="rect">
                      <a:avLst/>
                    </a:prstGeom>
                    <a:noFill/>
                    <a:ln w="9525">
                      <a:noFill/>
                      <a:headEnd/>
                      <a:tailEnd/>
                    </a:ln>
                  </pic:spPr>
                </pic:pic>
              </a:graphicData>
            </a:graphic>
          </wp:inline>
        </w:drawing>
      </w:r>
    </w:p>
    <w:p>
      <w:pPr>
        <w:pStyle w:val="Captionjustified"/>
        <w:keepLines/>
      </w:pPr>
      <w:r>
        <w:rPr>
          <w:bCs/>
          <w:b/>
        </w:rPr>
        <w:t xml:space="preserve">Figure S3.</w:t>
      </w:r>
      <w:r>
        <w:t xml:space="preserve"> </w:t>
      </w:r>
      <w:r>
        <w:t xml:space="preserve">Structure-aware weighting functions for two equal spans (Section S3): (a) weighting functions along the record, (b) white-noise variance relative to uniform weighting against the range of entry shift, (c) invariance defect, (max − min)/mean of the constant over the axle configurations, under a 20 % rigidity error in the adjacent span or a 0.5 m sensor-position error.</w:t>
      </w:r>
    </w:p>
    <w:bookmarkEnd w:id="31"/>
    <w:bookmarkStart w:id="41" w:name="X04cfbbce9dd0f8d3105ba2172e0353156c4517f"/>
    <w:p>
      <w:pPr>
        <w:pStyle w:val="Heading2"/>
      </w:pPr>
      <w:r>
        <w:t xml:space="preserve">S4. Multi-channel estimation and placement</w:t>
      </w:r>
    </w:p>
    <w:p>
      <w:pPr>
        <w:pStyle w:val="FirstParagraph"/>
      </w:pPr>
      <w:r>
        <w:t xml:space="preserve">In Eqs. (11) and (12) the offsets are random, with zero mean and standard deviation</w:t>
      </w:r>
      <w:r>
        <w:t xml:space="preserve"> </w:t>
      </w:r>
      <m:oMath>
        <m:sSub>
          <m:e>
            <m:r>
              <m:t>δ</m:t>
            </m:r>
          </m:e>
          <m:sub>
            <m:r>
              <m:t>0</m:t>
            </m:r>
          </m:sub>
        </m:sSub>
      </m:oMath>
      <w:r>
        <w:t xml:space="preserve">; Eq. (10) gives the bias of one realization. For one channel, Eq. (11) returns</w:t>
      </w:r>
      <w:r>
        <w:t xml:space="preserve"> </w:t>
      </w:r>
      <m:oMath>
        <m:acc>
          <m:accPr>
            <m:chr m:val="̂"/>
          </m:accPr>
          <m:e>
            <m:r>
              <m:t>P</m:t>
            </m:r>
          </m:e>
        </m:acc>
        <m:r>
          <m:rPr>
            <m:sty m:val="p"/>
          </m:rPr>
          <m:t>=</m:t>
        </m:r>
        <m:r>
          <m:t>J</m:t>
        </m:r>
        <m:r>
          <m:rPr>
            <m:sty m:val="p"/>
          </m:rPr>
          <m:t>/</m:t>
        </m:r>
        <m:r>
          <m:t>C</m:t>
        </m:r>
      </m:oMath>
      <w:r>
        <w:t xml:space="preserve"> </w:t>
      </w:r>
      <w:r>
        <w:t xml:space="preserve">with variance</w:t>
      </w:r>
      <w:r>
        <w:t xml:space="preserve"> </w:t>
      </w:r>
      <m:oMath>
        <m:sSubSup>
          <m:e>
            <m:r>
              <m:t>σ</m:t>
            </m:r>
          </m:e>
          <m:sub>
            <m:r>
              <m:t>P</m:t>
            </m:r>
            <m:r>
              <m:rPr>
                <m:sty m:val="p"/>
              </m:rPr>
              <m:t>,</m:t>
            </m:r>
            <m:r>
              <m:rPr>
                <m:sty m:val="p"/>
                <m:nor/>
              </m:rPr>
              <m:t>noise</m:t>
            </m:r>
          </m:sub>
          <m:sup>
            <m:r>
              <m:t>2</m:t>
            </m:r>
          </m:sup>
        </m:sSubSup>
        <m:r>
          <m:rPr>
            <m:sty m:val="p"/>
          </m:rPr>
          <m:t>+</m:t>
        </m:r>
        <m:sSubSup>
          <m:e>
            <m:r>
              <m:t>P</m:t>
            </m:r>
          </m:e>
          <m:sub>
            <m:r>
              <m:t>δ</m:t>
            </m:r>
          </m:sub>
          <m:sup>
            <m:r>
              <m:t>2</m:t>
            </m:r>
          </m:sup>
        </m:sSubSup>
      </m:oMath>
      <w:r>
        <w:t xml:space="preserve">, where</w:t>
      </w:r>
      <w:r>
        <w:t xml:space="preserve"> </w:t>
      </w:r>
      <m:oMath>
        <m:sSub>
          <m:e>
            <m:r>
              <m:t>σ</m:t>
            </m:r>
          </m:e>
          <m:sub>
            <m:r>
              <m:t>P</m:t>
            </m:r>
            <m:r>
              <m:rPr>
                <m:sty m:val="p"/>
              </m:rPr>
              <m:t>,</m:t>
            </m:r>
            <m:r>
              <m:rPr>
                <m:sty m:val="p"/>
                <m:nor/>
              </m:rPr>
              <m:t>noise</m:t>
            </m:r>
          </m:sub>
        </m:sSub>
      </m:oMath>
      <w:r>
        <w:t xml:space="preserve"> </w:t>
      </w:r>
      <w:r>
        <w:t xml:space="preserve">is the standard deviation of the load estimate caused by white noise. For two channels the zero-sum weights are</w:t>
      </w:r>
      <w:r>
        <w:t xml:space="preserve"> </w:t>
      </w:r>
      <m:oMath>
        <m:r>
          <m:t>a</m:t>
        </m:r>
        <m:r>
          <m:rPr>
            <m:sty m:val="p"/>
          </m:rPr>
          <m:t>=</m:t>
        </m:r>
        <m:d>
          <m:dPr>
            <m:begChr m:val="("/>
            <m:endChr m:val=")"/>
            <m:grow/>
          </m:dPr>
          <m:e>
            <m:r>
              <m:t>1</m:t>
            </m:r>
            <m:r>
              <m:rPr>
                <m:sty m:val="p"/>
              </m:rPr>
              <m:t>,</m:t>
            </m:r>
            <m:r>
              <m:rPr>
                <m:sty m:val="p"/>
              </m:rPr>
              <m:t>−</m:t>
            </m:r>
            <m:r>
              <m:t>1</m:t>
            </m:r>
          </m:e>
        </m:d>
        <m:r>
          <m:rPr>
            <m:sty m:val="p"/>
          </m:rPr>
          <m:t>/</m:t>
        </m:r>
        <m:d>
          <m:dPr>
            <m:begChr m:val="("/>
            <m:endChr m:val=")"/>
            <m:grow/>
          </m:dPr>
          <m:e>
            <m:sSub>
              <m:e>
                <m:r>
                  <m:t>C</m:t>
                </m:r>
              </m:e>
              <m:sub>
                <m:r>
                  <m:t>1</m:t>
                </m:r>
              </m:sub>
            </m:sSub>
            <m:r>
              <m:rPr>
                <m:sty m:val="p"/>
              </m:rPr>
              <m:t>−</m:t>
            </m:r>
            <m:sSub>
              <m:e>
                <m:r>
                  <m:t>C</m:t>
                </m:r>
              </m:e>
              <m:sub>
                <m:r>
                  <m:t>2</m:t>
                </m:r>
              </m:sub>
            </m:sSub>
          </m:e>
        </m:d>
      </m:oMath>
      <w:r>
        <w:t xml:space="preserve">, and a second sensor over a support (</w:t>
      </w:r>
      <m:oMath>
        <m:sSub>
          <m:e>
            <m:r>
              <m:t>C</m:t>
            </m:r>
          </m:e>
          <m:sub>
            <m:r>
              <m:t>2</m:t>
            </m:r>
          </m:sub>
        </m:sSub>
        <m:r>
          <m:rPr>
            <m:sty m:val="p"/>
          </m:rPr>
          <m:t>=</m:t>
        </m:r>
        <m:r>
          <m:t>0</m:t>
        </m:r>
      </m:oMath>
      <w:r>
        <w:t xml:space="preserve">) gives the familiar differential measurement against a reference. The white-noise variance then rises by the factor</w:t>
      </w:r>
      <w:r>
        <w:t xml:space="preserve"> </w:t>
      </w:r>
      <m:oMath>
        <m:r>
          <m:t>2</m:t>
        </m:r>
        <m:sSubSup>
          <m:e>
            <m:r>
              <m:t>C</m:t>
            </m:r>
          </m:e>
          <m:sub>
            <m:r>
              <m:t>1</m:t>
            </m:r>
          </m:sub>
          <m:sup>
            <m:r>
              <m:t>2</m:t>
            </m:r>
          </m:sup>
        </m:sSubSup>
        <m:r>
          <m:rPr>
            <m:sty m:val="p"/>
          </m:rPr>
          <m:t>/</m:t>
        </m:r>
        <m:sSup>
          <m:e>
            <m:d>
              <m:dPr>
                <m:begChr m:val="("/>
                <m:endChr m:val=")"/>
                <m:grow/>
              </m:dPr>
              <m:e>
                <m:sSub>
                  <m:e>
                    <m:r>
                      <m:t>C</m:t>
                    </m:r>
                  </m:e>
                  <m:sub>
                    <m:r>
                      <m:t>1</m:t>
                    </m:r>
                  </m:sub>
                </m:sSub>
                <m:r>
                  <m:rPr>
                    <m:sty m:val="p"/>
                  </m:rPr>
                  <m:t>−</m:t>
                </m:r>
                <m:sSub>
                  <m:e>
                    <m:r>
                      <m:t>C</m:t>
                    </m:r>
                  </m:e>
                  <m:sub>
                    <m:r>
                      <m:t>2</m:t>
                    </m:r>
                  </m:sub>
                </m:sSub>
              </m:e>
            </m:d>
          </m:e>
          <m:sup>
            <m:r>
              <m:t>2</m:t>
            </m:r>
          </m:sup>
        </m:sSup>
      </m:oMath>
      <w:r>
        <w:t xml:space="preserve">, which is 1.65–2.0 on the beams studied. This price is small, because for the long-span parameters of Section 5.3 with</w:t>
      </w:r>
      <w:r>
        <w:t xml:space="preserve"> </w:t>
      </w:r>
      <m:oMath>
        <m:r>
          <m:t>Δ</m:t>
        </m:r>
        <m:r>
          <m:t>x</m:t>
        </m:r>
        <m:r>
          <m:rPr>
            <m:sty m:val="p"/>
          </m:rPr>
          <m:t>=</m:t>
        </m:r>
        <m:r>
          <m:t>0.1</m:t>
        </m:r>
      </m:oMath>
      <w:r>
        <w:t xml:space="preserve"> </w:t>
      </w:r>
      <w:r>
        <w:t xml:space="preserve">m the white-noise term of Eq. (12) is only about 5 × 10⁻⁶ of</w:t>
      </w:r>
      <w:r>
        <w:t xml:space="preserve"> </w:t>
      </w:r>
      <m:oMath>
        <m:sSubSup>
          <m:e>
            <m:r>
              <m:t>δ</m:t>
            </m:r>
          </m:e>
          <m:sub>
            <m:r>
              <m:t>0</m:t>
            </m:r>
          </m:sub>
          <m:sup>
            <m:r>
              <m:t>2</m:t>
            </m:r>
          </m:sup>
        </m:sSubSup>
        <m:sSubSup>
          <m:e>
            <m:r>
              <m:t>L</m:t>
            </m:r>
          </m:e>
          <m:sub>
            <m:r>
              <m:rPr>
                <m:sty m:val="p"/>
                <m:nor/>
              </m:rPr>
              <m:t>tot</m:t>
            </m:r>
          </m:sub>
          <m:sup>
            <m:r>
              <m:t>2</m:t>
            </m:r>
          </m:sup>
        </m:sSubSup>
      </m:oMath>
      <w:r>
        <w:t xml:space="preserve">, and 5 × 10⁻⁵ of the offset term at</w:t>
      </w:r>
      <w:r>
        <w:t xml:space="preserve"> </w:t>
      </w:r>
      <m:oMath>
        <m:r>
          <m:t>ρ</m:t>
        </m:r>
        <m:r>
          <m:rPr>
            <m:sty m:val="p"/>
          </m:rPr>
          <m:t>=</m:t>
        </m:r>
        <m:r>
          <m:t>0.9</m:t>
        </m:r>
      </m:oMath>
      <w:r>
        <w:t xml:space="preserve"> </w:t>
      </w:r>
      <w:r>
        <w:t xml:space="preserve">(</w:t>
      </w:r>
      <m:oMath>
        <m:r>
          <m:t>σ</m:t>
        </m:r>
      </m:oMath>
      <w:r>
        <w:t xml:space="preserve"> </w:t>
      </w:r>
      <w:r>
        <w:t xml:space="preserve">= 0.01 mm,</w:t>
      </w:r>
      <w:r>
        <w:t xml:space="preserve"> </w:t>
      </w:r>
      <m:oMath>
        <m:sSub>
          <m:e>
            <m:r>
              <m:t>δ</m:t>
            </m:r>
          </m:e>
          <m:sub>
            <m:r>
              <m:t>0</m:t>
            </m:r>
          </m:sub>
        </m:sSub>
      </m:oMath>
      <w:r>
        <w:t xml:space="preserve"> </w:t>
      </w:r>
      <w:r>
        <w:t xml:space="preserve">= 0.1 mm,</w:t>
      </w:r>
      <w:r>
        <w:t xml:space="preserve"> </w:t>
      </w:r>
      <m:oMath>
        <m:sSub>
          <m:e>
            <m:r>
              <m:t>L</m:t>
            </m:r>
          </m:e>
          <m:sub>
            <m:r>
              <m:rPr>
                <m:sty m:val="p"/>
                <m:nor/>
              </m:rPr>
              <m:t>tot</m:t>
            </m:r>
          </m:sub>
        </m:sSub>
      </m:oMath>
      <w:r>
        <w:t xml:space="preserve"> </w:t>
      </w:r>
      <w:r>
        <w:t xml:space="preserve">= 220 m, that is, the 200 m unit plus a 20 m convoy allowance). Strain and deflection channels need separate zero-sum constraints.</w:t>
      </w:r>
    </w:p>
    <w:p>
      <w:pPr>
        <w:pStyle w:val="BodyText"/>
      </w:pPr>
      <w:r>
        <w:t xml:space="preserve">Which extreme of</w:t>
      </w:r>
      <w:r>
        <w:t xml:space="preserve"> </w:t>
      </w:r>
      <m:oMath>
        <m:r>
          <m:t>C</m:t>
        </m:r>
        <m:d>
          <m:dPr>
            <m:begChr m:val="("/>
            <m:endChr m:val=")"/>
            <m:grow/>
          </m:dPr>
          <m:e>
            <m:r>
              <m:t>x</m:t>
            </m:r>
          </m:e>
        </m:d>
      </m:oMath>
      <w:r>
        <w:t xml:space="preserve"> </w:t>
      </w:r>
      <w:r>
        <w:t xml:space="preserve">to use depends on the offsets. With independent offsets, every sensor should sit as close as possible to the maximum, because the GLS variance then falls with the sum of the squared constants. With correlated offsets, one sensor should sit at the minimum, because a common offset cancels in the difference of two channels and the variance of Eq. (12) falls with the spread of the constants. The placement rule was verified by a brute-force search over 96 cases, which found no design better than the vertex design, and by a Monte Carlo study with 10⁵ random axle configurations per case, which confirmed that the estimators are unbiased and that Eqs. (11) and (12) hold to within 0.6 %. Figure S4 shows the gain over the best single sensor under the assumed noise model, Fig. S5 the extremes of</w:t>
      </w:r>
      <w:r>
        <w:t xml:space="preserve"> </w:t>
      </w:r>
      <m:oMath>
        <m:r>
          <m:t>C</m:t>
        </m:r>
        <m:d>
          <m:dPr>
            <m:begChr m:val="("/>
            <m:endChr m:val=")"/>
            <m:grow/>
          </m:dPr>
          <m:e>
            <m:r>
              <m:t>x</m:t>
            </m:r>
          </m:e>
        </m:d>
      </m:oMath>
      <w:r>
        <w:t xml:space="preserve"> </w:t>
      </w:r>
      <w:r>
        <w:t xml:space="preserve">that the rule selects, and Fig. S6 the Monte Carlo verification. For the Mây Bridge girder, the single-gauge standard deviation of the load at mid main span is 22.5 % for a 200 m record under the noise model above (</w:t>
      </w:r>
      <m:oMath>
        <m:r>
          <m:t>ρ</m:t>
        </m:r>
      </m:oMath>
      <w:r>
        <w:t xml:space="preserve"> </w:t>
      </w:r>
      <w:r>
        <w:t xml:space="preserve">= 0.9, calibration A), against 24.8 % for the 220 m record.</w:t>
      </w:r>
    </w:p>
    <w:p>
      <w:pPr>
        <w:pStyle w:val="Figure"/>
      </w:pPr>
      <w:r>
        <w:drawing>
          <wp:inline>
            <wp:extent cx="5039999" cy="2332290"/>
            <wp:effectExtent b="0" l="0" r="0" t="0"/>
            <wp:docPr descr="" title="" id="33" name="Picture"/>
            <a:graphic>
              <a:graphicData uri="http://schemas.openxmlformats.org/drawingml/2006/picture">
                <pic:pic>
                  <pic:nvPicPr>
                    <pic:cNvPr descr="/home/user/SHM-Paper1-1D/manuscript/ase/figures/supplementary/FigS4_multichannel_gain.png" id="34" name="Picture"/>
                    <pic:cNvPicPr>
                      <a:picLocks noChangeArrowheads="1" noChangeAspect="1"/>
                    </pic:cNvPicPr>
                  </pic:nvPicPr>
                  <pic:blipFill>
                    <a:blip r:embed="rId32"/>
                    <a:stretch>
                      <a:fillRect/>
                    </a:stretch>
                  </pic:blipFill>
                  <pic:spPr bwMode="auto">
                    <a:xfrm>
                      <a:off x="0" y="0"/>
                      <a:ext cx="5039999" cy="2332290"/>
                    </a:xfrm>
                    <a:prstGeom prst="rect">
                      <a:avLst/>
                    </a:prstGeom>
                    <a:noFill/>
                    <a:ln w="9525">
                      <a:noFill/>
                      <a:headEnd/>
                      <a:tailEnd/>
                    </a:ln>
                  </pic:spPr>
                </pic:pic>
              </a:graphicData>
            </a:graphic>
          </wp:inline>
        </w:drawing>
      </w:r>
    </w:p>
    <w:p>
      <w:pPr>
        <w:pStyle w:val="Captionjustified"/>
        <w:keepLines/>
      </w:pPr>
      <w:r>
        <w:rPr>
          <w:bCs/>
          <w:b/>
        </w:rPr>
        <w:t xml:space="preserve">Figure S4.</w:t>
      </w:r>
      <w:r>
        <w:t xml:space="preserve"> </w:t>
      </w:r>
      <w:r>
        <w:t xml:space="preserve">Multi-channel estimation under the assumed noise model: (a) variance with two or three optimally placed sensors relative to the best single sensor, against the common-mode fraction</w:t>
      </w:r>
      <w:r>
        <w:t xml:space="preserve"> </w:t>
      </w:r>
      <m:oMath>
        <m:r>
          <m:t>ρ</m:t>
        </m:r>
      </m:oMath>
      <w:r>
        <w:t xml:space="preserve"> </w:t>
      </w:r>
      <w:r>
        <w:t xml:space="preserve">of the offset; (b) standard deviation of the load against the offset level for single sensors and three-sensor designs; (c) zero-sum pair at</w:t>
      </w:r>
      <w:r>
        <w:t xml:space="preserve"> </w:t>
      </w:r>
      <m:oMath>
        <m:r>
          <m:t>ρ</m:t>
        </m:r>
        <m:r>
          <m:rPr>
            <m:sty m:val="p"/>
          </m:rPr>
          <m:t>=</m:t>
        </m:r>
        <m:r>
          <m:t>1</m:t>
        </m:r>
      </m:oMath>
      <w:r>
        <w:t xml:space="preserve"> </w:t>
      </w:r>
      <w:r>
        <w:t xml:space="preserve">against the white-noise level. Line style: (a) two sensors solid, three sensors dashed; (b)</w:t>
      </w:r>
      <w:r>
        <w:t xml:space="preserve"> </w:t>
      </w:r>
      <m:oMath>
        <m:r>
          <m:t>ρ</m:t>
        </m:r>
      </m:oMath>
      <w:r>
        <w:t xml:space="preserve"> </w:t>
      </w:r>
      <w:r>
        <w:t xml:space="preserve">= 0 dotted, 0.9 solid, 1 dashed; thick light lines: single sensor.</w:t>
      </w:r>
    </w:p>
    <w:p>
      <w:pPr>
        <w:pStyle w:val="Figure"/>
      </w:pPr>
      <w:r>
        <w:drawing>
          <wp:inline>
            <wp:extent cx="5039999" cy="2687396"/>
            <wp:effectExtent b="0" l="0" r="0" t="0"/>
            <wp:docPr descr="" title="" id="36" name="Picture"/>
            <a:graphic>
              <a:graphicData uri="http://schemas.openxmlformats.org/drawingml/2006/picture">
                <pic:pic>
                  <pic:nvPicPr>
                    <pic:cNvPr descr="/home/user/SHM-Paper1-1D/manuscript/ase/figures/supplementary/FigS5_Cx_extremes.png" id="37" name="Picture"/>
                    <pic:cNvPicPr>
                      <a:picLocks noChangeArrowheads="1" noChangeAspect="1"/>
                    </pic:cNvPicPr>
                  </pic:nvPicPr>
                  <pic:blipFill>
                    <a:blip r:embed="rId35"/>
                    <a:stretch>
                      <a:fillRect/>
                    </a:stretch>
                  </pic:blipFill>
                  <pic:spPr bwMode="auto">
                    <a:xfrm>
                      <a:off x="0" y="0"/>
                      <a:ext cx="5039999" cy="2687396"/>
                    </a:xfrm>
                    <a:prstGeom prst="rect">
                      <a:avLst/>
                    </a:prstGeom>
                    <a:noFill/>
                    <a:ln w="9525">
                      <a:noFill/>
                      <a:headEnd/>
                      <a:tailEnd/>
                    </a:ln>
                  </pic:spPr>
                </pic:pic>
              </a:graphicData>
            </a:graphic>
          </wp:inline>
        </w:drawing>
      </w:r>
    </w:p>
    <w:p>
      <w:pPr>
        <w:pStyle w:val="Captionjustified"/>
        <w:keepLines/>
      </w:pPr>
      <w:r>
        <w:rPr>
          <w:bCs/>
          <w:b/>
        </w:rPr>
        <w:t xml:space="preserve">Figure S5.</w:t>
      </w:r>
      <w:r>
        <w:t xml:space="preserve"> </w:t>
      </w:r>
      <w:r>
        <w:t xml:space="preserve">Uniform-load response</w:t>
      </w:r>
      <w:r>
        <w:t xml:space="preserve"> </w:t>
      </w:r>
      <m:oMath>
        <m:r>
          <m:t>C</m:t>
        </m:r>
        <m:d>
          <m:dPr>
            <m:begChr m:val="("/>
            <m:endChr m:val=")"/>
            <m:grow/>
          </m:dPr>
          <m:e>
            <m:r>
              <m:t>x</m:t>
            </m:r>
          </m:e>
        </m:d>
      </m:oMath>
      <w:r>
        <w:t xml:space="preserve"> </w:t>
      </w:r>
      <w:r>
        <w:t xml:space="preserve">along six girders (two-span, three-span and the Mây Bridge girder under calibrations A and B), with the maximum and minimum selected by the placement rule.</w:t>
      </w:r>
    </w:p>
    <w:p>
      <w:pPr>
        <w:pStyle w:val="Figure"/>
      </w:pPr>
      <w:r>
        <w:drawing>
          <wp:inline>
            <wp:extent cx="5039999" cy="1726927"/>
            <wp:effectExtent b="0" l="0" r="0" t="0"/>
            <wp:docPr descr="" title="" id="39" name="Picture"/>
            <a:graphic>
              <a:graphicData uri="http://schemas.openxmlformats.org/drawingml/2006/picture">
                <pic:pic>
                  <pic:nvPicPr>
                    <pic:cNvPr descr="/home/user/SHM-Paper1-1D/manuscript/ase/figures/supplementary/FigS6_multichannel_montecarlo.png" id="40" name="Picture"/>
                    <pic:cNvPicPr>
                      <a:picLocks noChangeArrowheads="1" noChangeAspect="1"/>
                    </pic:cNvPicPr>
                  </pic:nvPicPr>
                  <pic:blipFill>
                    <a:blip r:embed="rId38"/>
                    <a:stretch>
                      <a:fillRect/>
                    </a:stretch>
                  </pic:blipFill>
                  <pic:spPr bwMode="auto">
                    <a:xfrm>
                      <a:off x="0" y="0"/>
                      <a:ext cx="5039999" cy="1726927"/>
                    </a:xfrm>
                    <a:prstGeom prst="rect">
                      <a:avLst/>
                    </a:prstGeom>
                    <a:noFill/>
                    <a:ln w="9525">
                      <a:noFill/>
                      <a:headEnd/>
                      <a:tailEnd/>
                    </a:ln>
                  </pic:spPr>
                </pic:pic>
              </a:graphicData>
            </a:graphic>
          </wp:inline>
        </w:drawing>
      </w:r>
    </w:p>
    <w:p>
      <w:pPr>
        <w:pStyle w:val="Captionjustified"/>
        <w:keepLines/>
      </w:pPr>
      <w:r>
        <w:rPr>
          <w:bCs/>
          <w:b/>
        </w:rPr>
        <w:t xml:space="preserve">Figure S6.</w:t>
      </w:r>
      <w:r>
        <w:t xml:space="preserve"> </w:t>
      </w:r>
      <w:r>
        <w:t xml:space="preserve">Monte Carlo verification: distribution of the load error for a single gauge, GLS and the zero-sum estimator with three gauges, (a) on a 30 + 60 + 30 m beam and (b) on the Mây Bridge girder (calibration A), and (c) Monte Carlo standard deviation relative to theory against the number of axles (circles: beam of (a); squares: girder of (b)).</w:t>
      </w:r>
    </w:p>
    <w:bookmarkEnd w:id="41"/>
    <w:bookmarkStart w:id="45" w:name="X2a05199bd1353927c5806c367a7e13ecd408e3f"/>
    <w:p>
      <w:pPr>
        <w:pStyle w:val="Heading2"/>
      </w:pPr>
      <w:r>
        <w:t xml:space="preserve">S5. Identifiability, sensitivities and Möbius law</w:t>
      </w:r>
    </w:p>
    <w:p>
      <w:pPr>
        <w:pStyle w:val="FirstParagraph"/>
      </w:pPr>
      <w:r>
        <w:t xml:space="preserve">Let</w:t>
      </w:r>
      <w:r>
        <w:t xml:space="preserve"> </w:t>
      </w:r>
      <m:oMath>
        <m:r>
          <m:t>G</m:t>
        </m:r>
        <m:r>
          <m:rPr>
            <m:sty m:val="p"/>
          </m:rPr>
          <m:t>=</m:t>
        </m:r>
        <m:sSup>
          <m:e>
            <m:r>
              <m:t>K</m:t>
            </m:r>
          </m:e>
          <m:sup>
            <m:r>
              <m:rPr>
                <m:sty m:val="p"/>
              </m:rPr>
              <m:t>−</m:t>
            </m:r>
            <m:r>
              <m:t>1</m:t>
            </m:r>
          </m:sup>
        </m:sSup>
      </m:oMath>
      <w:r>
        <w:t xml:space="preserve"> </w:t>
      </w:r>
      <w:r>
        <w:t xml:space="preserve">with</w:t>
      </w:r>
      <w:r>
        <w:t xml:space="preserve"> </w:t>
      </w:r>
      <m:oMath>
        <m:r>
          <m:t>K</m:t>
        </m:r>
        <m:r>
          <m:rPr>
            <m:sty m:val="p"/>
          </m:rPr>
          <m:t>=</m:t>
        </m:r>
        <m:r>
          <m:t>α</m:t>
        </m:r>
        <m:sSub>
          <m:e>
            <m:r>
              <m:t>K</m:t>
            </m:r>
          </m:e>
          <m:sub>
            <m:r>
              <m:t>g</m:t>
            </m:r>
          </m:sub>
        </m:sSub>
        <m:r>
          <m:rPr>
            <m:sty m:val="p"/>
          </m:rPr>
          <m:t>+</m:t>
        </m:r>
        <m:r>
          <m:t>k</m:t>
        </m:r>
        <m:sSub>
          <m:e>
            <m:r>
              <m:t>K</m:t>
            </m:r>
          </m:e>
          <m:sub>
            <m:r>
              <m:t>p</m:t>
            </m:r>
          </m:sub>
        </m:sSub>
      </m:oMath>
      <w:r>
        <w:t xml:space="preserve">, where</w:t>
      </w:r>
      <w:r>
        <w:t xml:space="preserve"> </w:t>
      </w:r>
      <m:oMath>
        <m:sSub>
          <m:e>
            <m:r>
              <m:t>K</m:t>
            </m:r>
          </m:e>
          <m:sub>
            <m:r>
              <m:t>p</m:t>
            </m:r>
          </m:sub>
        </m:sSub>
      </m:oMath>
      <w:r>
        <w:t xml:space="preserve"> </w:t>
      </w:r>
      <w:r>
        <w:t xml:space="preserve">has a unit entry on each inner-pier rotational degree of freedom, and</w:t>
      </w:r>
      <w:r>
        <w:t xml:space="preserve"> </w:t>
      </w:r>
      <m:oMath>
        <m:sSub>
          <m:e>
            <m:r>
              <m:t>C</m:t>
            </m:r>
          </m:e>
          <m:sub>
            <m:r>
              <m:t>m</m:t>
            </m:r>
          </m:sub>
        </m:sSub>
        <m:r>
          <m:rPr>
            <m:sty m:val="p"/>
          </m:rPr>
          <m:t>=</m:t>
        </m:r>
        <m:sSubSup>
          <m:e>
            <m:r>
              <m:t>e</m:t>
            </m:r>
          </m:e>
          <m:sub>
            <m:r>
              <m:t>m</m:t>
            </m:r>
          </m:sub>
          <m:sup>
            <m:r>
              <m:rPr>
                <m:sty m:val="p"/>
              </m:rPr>
              <m:t>⊤</m:t>
            </m:r>
          </m:sup>
        </m:sSubSup>
        <m:r>
          <m:t>G</m:t>
        </m:r>
        <m:r>
          <m:t>q</m:t>
        </m:r>
      </m:oMath>
      <w:r>
        <w:t xml:space="preserve"> </w:t>
      </w:r>
      <w:r>
        <w:t xml:space="preserve">with</w:t>
      </w:r>
      <w:r>
        <w:t xml:space="preserve"> </w:t>
      </w:r>
      <m:oMath>
        <m:r>
          <m:t>q</m:t>
        </m:r>
      </m:oMath>
      <w:r>
        <w:t xml:space="preserve"> </w:t>
      </w:r>
      <w:r>
        <w:t xml:space="preserve">the consistent uniform load. Then</w:t>
      </w:r>
      <w:r>
        <w:t xml:space="preserve"> </w:t>
      </w:r>
      <m:oMath>
        <m:r>
          <m:rPr>
            <m:sty m:val="p"/>
            <m:nor/>
          </m:rPr>
          <m:t>d</m:t>
        </m:r>
        <m:sSub>
          <m:e>
            <m:r>
              <m:t>C</m:t>
            </m:r>
          </m:e>
          <m:sub>
            <m:r>
              <m:t>m</m:t>
            </m:r>
          </m:sub>
        </m:sSub>
        <m:r>
          <m:rPr>
            <m:sty m:val="p"/>
          </m:rPr>
          <m:t>/</m:t>
        </m:r>
        <m:r>
          <m:rPr>
            <m:sty m:val="p"/>
            <m:nor/>
          </m:rPr>
          <m:t>d</m:t>
        </m:r>
        <m:r>
          <m:t>k</m:t>
        </m:r>
        <m:r>
          <m:rPr>
            <m:sty m:val="p"/>
          </m:rPr>
          <m:t>=</m:t>
        </m:r>
        <m:r>
          <m:rPr>
            <m:sty m:val="p"/>
          </m:rPr>
          <m:t>−</m:t>
        </m:r>
        <m:nary>
          <m:naryPr>
            <m:chr m:val="∑"/>
            <m:limLoc m:val="undOvr"/>
            <m:subHide m:val="off"/>
            <m:supHide m:val="on"/>
          </m:naryPr>
          <m:sub>
            <m:r>
              <m:t>i</m:t>
            </m:r>
          </m:sub>
          <m:sup>
            <m:r>
              <m:t>​</m:t>
            </m:r>
          </m:sup>
          <m:e>
            <m:sSub>
              <m:e>
                <m:r>
                  <m:t>θ</m:t>
                </m:r>
              </m:e>
              <m:sub>
                <m:r>
                  <m:t>m</m:t>
                </m:r>
                <m:r>
                  <m:rPr>
                    <m:sty m:val="p"/>
                  </m:rPr>
                  <m:t>,</m:t>
                </m:r>
                <m:r>
                  <m:t>i</m:t>
                </m:r>
              </m:sub>
            </m:sSub>
          </m:e>
        </m:nary>
        <m:sSub>
          <m:e>
            <m:r>
              <m:t>θ</m:t>
            </m:r>
          </m:e>
          <m:sub>
            <m:r>
              <m:t>q</m:t>
            </m:r>
            <m:r>
              <m:rPr>
                <m:sty m:val="p"/>
              </m:rPr>
              <m:t>,</m:t>
            </m:r>
            <m:r>
              <m:t>i</m:t>
            </m:r>
          </m:sub>
        </m:sSub>
      </m:oMath>
      <w:r>
        <w:t xml:space="preserve">, where</w:t>
      </w:r>
      <w:r>
        <w:t xml:space="preserve"> </w:t>
      </w:r>
      <m:oMath>
        <m:sSub>
          <m:e>
            <m:r>
              <m:t>θ</m:t>
            </m:r>
          </m:e>
          <m:sub>
            <m:r>
              <m:t>m</m:t>
            </m:r>
            <m:r>
              <m:rPr>
                <m:sty m:val="p"/>
              </m:rPr>
              <m:t>,</m:t>
            </m:r>
            <m:r>
              <m:t>i</m:t>
            </m:r>
          </m:sub>
        </m:sSub>
      </m:oMath>
      <w:r>
        <w:t xml:space="preserve"> </w:t>
      </w:r>
      <w:r>
        <w:t xml:space="preserve">and</w:t>
      </w:r>
      <w:r>
        <w:t xml:space="preserve"> </w:t>
      </w:r>
      <m:oMath>
        <m:sSub>
          <m:e>
            <m:r>
              <m:t>θ</m:t>
            </m:r>
          </m:e>
          <m:sub>
            <m:r>
              <m:t>q</m:t>
            </m:r>
            <m:r>
              <m:rPr>
                <m:sty m:val="p"/>
              </m:rPr>
              <m:t>,</m:t>
            </m:r>
            <m:r>
              <m:t>i</m:t>
            </m:r>
          </m:sub>
        </m:sSub>
      </m:oMath>
      <w:r>
        <w:t xml:space="preserve"> </w:t>
      </w:r>
      <w:r>
        <w:t xml:space="preserve">are the pier rotations under a unit load at the gauge and under the uniform load. The logarithmic sensitivities</w:t>
      </w:r>
      <w:r>
        <w:t xml:space="preserve"> </w:t>
      </w:r>
      <m:oMath>
        <m:sSub>
          <m:e>
            <m:r>
              <m:t>S</m:t>
            </m:r>
          </m:e>
          <m:sub>
            <m:r>
              <m:t>α</m:t>
            </m:r>
          </m:sub>
        </m:sSub>
        <m:r>
          <m:rPr>
            <m:sty m:val="p"/>
          </m:rPr>
          <m:t>=</m:t>
        </m:r>
        <m:r>
          <m:rPr>
            <m:sty m:val="p"/>
          </m:rPr>
          <m:t>∂</m:t>
        </m:r>
        <m:r>
          <m:rPr>
            <m:sty m:val="p"/>
            <m:nor/>
          </m:rPr>
          <m:t>ln</m:t>
        </m:r>
        <m:sSub>
          <m:e>
            <m:r>
              <m:t>C</m:t>
            </m:r>
          </m:e>
          <m:sub>
            <m:r>
              <m:t>m</m:t>
            </m:r>
          </m:sub>
        </m:sSub>
        <m:r>
          <m:rPr>
            <m:sty m:val="p"/>
          </m:rPr>
          <m:t>/</m:t>
        </m:r>
        <m:r>
          <m:rPr>
            <m:sty m:val="p"/>
          </m:rPr>
          <m:t>∂</m:t>
        </m:r>
        <m:r>
          <m:rPr>
            <m:sty m:val="p"/>
            <m:nor/>
          </m:rPr>
          <m:t>ln</m:t>
        </m:r>
        <m:r>
          <m:t>α</m:t>
        </m:r>
      </m:oMath>
      <w:r>
        <w:t xml:space="preserve"> </w:t>
      </w:r>
      <w:r>
        <w:t xml:space="preserve">and</w:t>
      </w:r>
      <w:r>
        <w:t xml:space="preserve"> </w:t>
      </w:r>
      <m:oMath>
        <m:sSub>
          <m:e>
            <m:r>
              <m:t>S</m:t>
            </m:r>
          </m:e>
          <m:sub>
            <m:r>
              <m:t>k</m:t>
            </m:r>
          </m:sub>
        </m:sSub>
        <m:r>
          <m:rPr>
            <m:sty m:val="p"/>
          </m:rPr>
          <m:t>=</m:t>
        </m:r>
        <m:r>
          <m:rPr>
            <m:sty m:val="p"/>
          </m:rPr>
          <m:t>∂</m:t>
        </m:r>
        <m:r>
          <m:rPr>
            <m:sty m:val="p"/>
            <m:nor/>
          </m:rPr>
          <m:t>ln</m:t>
        </m:r>
        <m:sSub>
          <m:e>
            <m:r>
              <m:t>C</m:t>
            </m:r>
          </m:e>
          <m:sub>
            <m:r>
              <m:t>m</m:t>
            </m:r>
          </m:sub>
        </m:sSub>
        <m:r>
          <m:rPr>
            <m:sty m:val="p"/>
          </m:rPr>
          <m:t>/</m:t>
        </m:r>
        <m:r>
          <m:rPr>
            <m:sty m:val="p"/>
          </m:rPr>
          <m:t>∂</m:t>
        </m:r>
        <m:r>
          <m:rPr>
            <m:sty m:val="p"/>
            <m:nor/>
          </m:rPr>
          <m:t>ln</m:t>
        </m:r>
        <m:r>
          <m:t>k</m:t>
        </m:r>
      </m:oMath>
      <w:r>
        <w:t xml:space="preserve"> </w:t>
      </w:r>
      <w:r>
        <w:t xml:space="preserve">satisfy</w:t>
      </w:r>
      <w:r>
        <w:t xml:space="preserve"> </w:t>
      </w:r>
      <m:oMath>
        <m:sSub>
          <m:e>
            <m:r>
              <m:t>S</m:t>
            </m:r>
          </m:e>
          <m:sub>
            <m:r>
              <m:t>α</m:t>
            </m:r>
          </m:sub>
        </m:sSub>
        <m:r>
          <m:rPr>
            <m:sty m:val="p"/>
          </m:rPr>
          <m:t>+</m:t>
        </m:r>
        <m:sSub>
          <m:e>
            <m:r>
              <m:t>S</m:t>
            </m:r>
          </m:e>
          <m:sub>
            <m:r>
              <m:t>k</m:t>
            </m:r>
          </m:sub>
        </m:sSub>
        <m:r>
          <m:rPr>
            <m:sty m:val="p"/>
          </m:rPr>
          <m:t>=</m:t>
        </m:r>
        <m:r>
          <m:rPr>
            <m:sty m:val="p"/>
          </m:rPr>
          <m:t>−</m:t>
        </m:r>
        <m:r>
          <m:t>1</m:t>
        </m:r>
      </m:oMath>
      <w:r>
        <w:t xml:space="preserve"> </w:t>
      </w:r>
      <w:r>
        <w:t xml:space="preserve">by Euler’s theorem, because</w:t>
      </w:r>
      <w:r>
        <w:t xml:space="preserve"> </w:t>
      </w:r>
      <m:oMath>
        <m:sSub>
          <m:e>
            <m:r>
              <m:t>C</m:t>
            </m:r>
          </m:e>
          <m:sub>
            <m:r>
              <m:t>m</m:t>
            </m:r>
          </m:sub>
        </m:sSub>
      </m:oMath>
      <w:r>
        <w:t xml:space="preserve"> </w:t>
      </w:r>
      <w:r>
        <w:t xml:space="preserve">is homogeneous of degree −1 in</w:t>
      </w:r>
      <w:r>
        <w:t xml:space="preserve"> </w:t>
      </w:r>
      <m:oMath>
        <m:d>
          <m:dPr>
            <m:begChr m:val="("/>
            <m:endChr m:val=")"/>
            <m:grow/>
          </m:dPr>
          <m:e>
            <m:r>
              <m:t>α</m:t>
            </m:r>
            <m:r>
              <m:rPr>
                <m:sty m:val="p"/>
              </m:rPr>
              <m:t>,</m:t>
            </m:r>
            <m:r>
              <m:t>k</m:t>
            </m:r>
          </m:e>
        </m:d>
      </m:oMath>
      <w:r>
        <w:t xml:space="preserve">. Mirror symmetry decouples the two pier-rotation patterns,</w:t>
      </w:r>
      <w:r>
        <w:t xml:space="preserve"> </w:t>
      </w:r>
      <m:oMath>
        <m:sSub>
          <m:e>
            <m:r>
              <m:t>θ</m:t>
            </m:r>
          </m:e>
          <m:sub>
            <m:r>
              <m:t>6</m:t>
            </m:r>
          </m:sub>
        </m:sSub>
        <m:r>
          <m:rPr>
            <m:sty m:val="p"/>
          </m:rPr>
          <m:t>=</m:t>
        </m:r>
        <m:sSub>
          <m:e>
            <m:r>
              <m:t>θ</m:t>
            </m:r>
          </m:e>
          <m:sub>
            <m:r>
              <m:t>7</m:t>
            </m:r>
          </m:sub>
        </m:sSub>
      </m:oMath>
      <w:r>
        <w:t xml:space="preserve"> </w:t>
      </w:r>
      <w:r>
        <w:t xml:space="preserve">and</w:t>
      </w:r>
      <w:r>
        <w:t xml:space="preserve"> </w:t>
      </w:r>
      <m:oMath>
        <m:sSub>
          <m:e>
            <m:r>
              <m:t>θ</m:t>
            </m:r>
          </m:e>
          <m:sub>
            <m:r>
              <m:t>6</m:t>
            </m:r>
          </m:sub>
        </m:sSub>
        <m:r>
          <m:rPr>
            <m:sty m:val="p"/>
          </m:rPr>
          <m:t>=</m:t>
        </m:r>
        <m:r>
          <m:rPr>
            <m:sty m:val="p"/>
          </m:rPr>
          <m:t>−</m:t>
        </m:r>
        <m:sSub>
          <m:e>
            <m:r>
              <m:t>θ</m:t>
            </m:r>
          </m:e>
          <m:sub>
            <m:r>
              <m:t>7</m:t>
            </m:r>
          </m:sub>
        </m:sSub>
      </m:oMath>
      <w:r>
        <w:t xml:space="preserve">; the mirror-symmetric uniform load excites only the pattern</w:t>
      </w:r>
      <w:r>
        <w:t xml:space="preserve"> </w:t>
      </w:r>
      <m:oMath>
        <m:sSub>
          <m:e>
            <m:r>
              <m:t>θ</m:t>
            </m:r>
          </m:e>
          <m:sub>
            <m:r>
              <m:t>6</m:t>
            </m:r>
          </m:sub>
        </m:sSub>
        <m:r>
          <m:rPr>
            <m:sty m:val="p"/>
          </m:rPr>
          <m:t>=</m:t>
        </m:r>
        <m:r>
          <m:rPr>
            <m:sty m:val="p"/>
          </m:rPr>
          <m:t>−</m:t>
        </m:r>
        <m:sSub>
          <m:e>
            <m:r>
              <m:t>θ</m:t>
            </m:r>
          </m:e>
          <m:sub>
            <m:r>
              <m:t>7</m:t>
            </m:r>
          </m:sub>
        </m:sSub>
      </m:oMath>
      <w:r>
        <w:t xml:space="preserve">, and the Sherman–Morrison formula gives the linear-fractional (Möbius) law of Eq. (13) with</w:t>
      </w:r>
      <w:r>
        <w:t xml:space="preserve"> </w:t>
      </w:r>
      <m:oMath>
        <m:r>
          <m:t>1</m:t>
        </m:r>
        <m:r>
          <m:rPr>
            <m:sty m:val="p"/>
          </m:rPr>
          <m:t>/</m:t>
        </m:r>
        <m:sSub>
          <m:e>
            <m:r>
              <m:t>k</m:t>
            </m:r>
          </m:e>
          <m:sub>
            <m:r>
              <m:t>g</m:t>
            </m:r>
          </m:sub>
        </m:sSub>
      </m:oMath>
      <w:r>
        <w:t xml:space="preserve"> </w:t>
      </w:r>
      <w:r>
        <w:t xml:space="preserve">the pier flexibility of the girder in this pattern at</w:t>
      </w:r>
      <w:r>
        <w:t xml:space="preserve"> </w:t>
      </w:r>
      <m:oMath>
        <m:r>
          <m:t>k</m:t>
        </m:r>
        <m:r>
          <m:rPr>
            <m:sty m:val="p"/>
          </m:rPr>
          <m:t>=</m:t>
        </m:r>
        <m:r>
          <m:t>0</m:t>
        </m:r>
      </m:oMath>
      <w:r>
        <w:t xml:space="preserve">. For the Mây Bridge model the law holds to a relative error of 5 × 10⁻⁶ over</w:t>
      </w:r>
      <w:r>
        <w:t xml:space="preserve"> </w:t>
      </w:r>
      <m:oMath>
        <m:r>
          <m:t>k</m:t>
        </m:r>
        <m:r>
          <m:rPr>
            <m:sty m:val="p"/>
          </m:rPr>
          <m:t>=</m:t>
        </m:r>
        <m:sSup>
          <m:e>
            <m:r>
              <m:t>10</m:t>
            </m:r>
          </m:e>
          <m:sup>
            <m:r>
              <m:t>5</m:t>
            </m:r>
          </m:sup>
        </m:sSup>
      </m:oMath>
      <w:r>
        <w:t xml:space="preserve">–</w:t>
      </w:r>
      <m:oMath>
        <m:sSup>
          <m:e>
            <m:r>
              <m:t>10</m:t>
            </m:r>
          </m:e>
          <m:sup>
            <m:r>
              <m:t>12</m:t>
            </m:r>
          </m:sup>
        </m:sSup>
      </m:oMath>
      <w:r>
        <w:t xml:space="preserve"> </w:t>
      </w:r>
      <w:r>
        <w:t xml:space="preserve">kN m/rad, and Eq. (14) agrees with FE to 4.4 × 10⁻⁷ (Fig. S7).</w:t>
      </w:r>
    </w:p>
    <w:p>
      <w:pPr>
        <w:pStyle w:val="Figure"/>
      </w:pPr>
      <w:r>
        <w:drawing>
          <wp:inline>
            <wp:extent cx="5039999" cy="2029999"/>
            <wp:effectExtent b="0" l="0" r="0" t="0"/>
            <wp:docPr descr="" title="" id="43" name="Picture"/>
            <a:graphic>
              <a:graphicData uri="http://schemas.openxmlformats.org/drawingml/2006/picture">
                <pic:pic>
                  <pic:nvPicPr>
                    <pic:cNvPr descr="/home/user/SHM-Paper1-1D/manuscript/ase/figures/supplementary/FigS7_mobius_closedform.png" id="44" name="Picture"/>
                    <pic:cNvPicPr>
                      <a:picLocks noChangeArrowheads="1" noChangeAspect="1"/>
                    </pic:cNvPicPr>
                  </pic:nvPicPr>
                  <pic:blipFill>
                    <a:blip r:embed="rId42"/>
                    <a:stretch>
                      <a:fillRect/>
                    </a:stretch>
                  </pic:blipFill>
                  <pic:spPr bwMode="auto">
                    <a:xfrm>
                      <a:off x="0" y="0"/>
                      <a:ext cx="5039999" cy="2029999"/>
                    </a:xfrm>
                    <a:prstGeom prst="rect">
                      <a:avLst/>
                    </a:prstGeom>
                    <a:noFill/>
                    <a:ln w="9525">
                      <a:noFill/>
                      <a:headEnd/>
                      <a:tailEnd/>
                    </a:ln>
                  </pic:spPr>
                </pic:pic>
              </a:graphicData>
            </a:graphic>
          </wp:inline>
        </w:drawing>
      </w:r>
    </w:p>
    <w:p>
      <w:pPr>
        <w:pStyle w:val="Captionjustified"/>
        <w:keepLines/>
      </w:pPr>
      <w:r>
        <w:rPr>
          <w:bCs/>
          <w:b/>
        </w:rPr>
        <w:t xml:space="preserve">Figure S7.</w:t>
      </w:r>
      <w:r>
        <w:t xml:space="preserve"> </w:t>
      </w:r>
      <w:r>
        <w:t xml:space="preserve">Mây Bridge proportions, prismatic beam: (a) deflection indicators of the side-span and main-span gauges against the relative pier stiffness</w:t>
      </w:r>
      <w:r>
        <w:t xml:space="preserve"> </w:t>
      </w:r>
      <m:oMath>
        <m:acc>
          <m:accPr>
            <m:chr m:val="̂"/>
          </m:accPr>
          <m:e>
            <m:r>
              <m:t>k</m:t>
            </m:r>
          </m:e>
        </m:acc>
      </m:oMath>
      <w:r>
        <w:t xml:space="preserve">, closed form against FE; (b) boundary sensitivity</w:t>
      </w:r>
      <w:r>
        <w:t xml:space="preserve"> </w:t>
      </w:r>
      <m:oMath>
        <m:sSub>
          <m:e>
            <m:r>
              <m:t>B</m:t>
            </m:r>
          </m:e>
          <m:sub>
            <m:r>
              <m:t>m</m:t>
            </m:r>
          </m:sub>
        </m:sSub>
      </m:oMath>
      <w:r>
        <w:t xml:space="preserve">. Dotted line in (b):</w:t>
      </w:r>
      <w:r>
        <w:t xml:space="preserve"> </w:t>
      </w:r>
      <m:oMath>
        <m:acc>
          <m:accPr>
            <m:chr m:val="̂"/>
          </m:accPr>
          <m:e>
            <m:r>
              <m:t>k</m:t>
            </m:r>
          </m:e>
        </m:acc>
        <m:r>
          <m:rPr>
            <m:sty m:val="p"/>
          </m:rPr>
          <m:t>=</m:t>
        </m:r>
        <m:r>
          <m:t>3</m:t>
        </m:r>
        <m:r>
          <m:rPr>
            <m:sty m:val="p"/>
          </m:rPr>
          <m:t>+</m:t>
        </m:r>
        <m:r>
          <m:t>2</m:t>
        </m:r>
        <m:r>
          <m:rPr>
            <m:sty m:val="p"/>
          </m:rPr>
          <m:t>/</m:t>
        </m:r>
        <m:r>
          <m:t>β</m:t>
        </m:r>
        <m:r>
          <m:rPr>
            <m:sty m:val="p"/>
          </m:rPr>
          <m:t>=</m:t>
        </m:r>
        <m:r>
          <m:t>4.22</m:t>
        </m:r>
      </m:oMath>
      <w:r>
        <w:t xml:space="preserve">, the girder’s own pier stiffness in the pattern</w:t>
      </w:r>
      <w:r>
        <w:t xml:space="preserve"> </w:t>
      </w:r>
      <m:oMath>
        <m:sSub>
          <m:e>
            <m:r>
              <m:t>θ</m:t>
            </m:r>
          </m:e>
          <m:sub>
            <m:r>
              <m:t>6</m:t>
            </m:r>
          </m:sub>
        </m:sSub>
        <m:r>
          <m:rPr>
            <m:sty m:val="p"/>
          </m:rPr>
          <m:t>=</m:t>
        </m:r>
        <m:r>
          <m:rPr>
            <m:sty m:val="p"/>
          </m:rPr>
          <m:t>−</m:t>
        </m:r>
        <m:sSub>
          <m:e>
            <m:r>
              <m:t>θ</m:t>
            </m:r>
          </m:e>
          <m:sub>
            <m:r>
              <m:t>7</m:t>
            </m:r>
          </m:sub>
        </m:sSub>
      </m:oMath>
      <w:r>
        <w:t xml:space="preserve">,</w:t>
      </w:r>
      <w:r>
        <w:t xml:space="preserve"> </w:t>
      </w:r>
      <m:oMath>
        <m:sSub>
          <m:e>
            <m:r>
              <m:t>k</m:t>
            </m:r>
          </m:e>
          <m:sub>
            <m:r>
              <m:t>g</m:t>
            </m:r>
          </m:sub>
        </m:sSub>
        <m:sSub>
          <m:e>
            <m:r>
              <m:t>L</m:t>
            </m:r>
          </m:e>
          <m:sub>
            <m:r>
              <m:rPr>
                <m:sty m:val="p"/>
                <m:nor/>
              </m:rPr>
              <m:t>side</m:t>
            </m:r>
          </m:sub>
        </m:sSub>
        <m:r>
          <m:rPr>
            <m:sty m:val="p"/>
          </m:rPr>
          <m:t>/</m:t>
        </m:r>
        <m:r>
          <m:t>E</m:t>
        </m:r>
        <m:sSub>
          <m:e>
            <m:r>
              <m:t>I</m:t>
            </m:r>
          </m:e>
          <m:sub>
            <m:r>
              <m:rPr>
                <m:sty m:val="p"/>
                <m:nor/>
              </m:rPr>
              <m:t>side</m:t>
            </m:r>
          </m:sub>
        </m:sSub>
      </m:oMath>
      <w:r>
        <w:t xml:space="preserve">.</w:t>
      </w:r>
    </w:p>
    <w:p>
      <w:pPr>
        <w:pStyle w:val="BodyText"/>
      </w:pPr>
      <w:r>
        <w:t xml:space="preserve">Because every static response has the form</w:t>
      </w:r>
      <w:r>
        <w:t xml:space="preserve"> </w:t>
      </w:r>
      <m:oMath>
        <m:r>
          <m:t>f</m:t>
        </m:r>
        <m:d>
          <m:dPr>
            <m:begChr m:val="("/>
            <m:endChr m:val=")"/>
            <m:grow/>
          </m:dPr>
          <m:e>
            <m:r>
              <m:t>κ</m:t>
            </m:r>
          </m:e>
        </m:d>
        <m:r>
          <m:rPr>
            <m:sty m:val="p"/>
          </m:rPr>
          <m:t>/</m:t>
        </m:r>
        <m:r>
          <m:t>α</m:t>
        </m:r>
      </m:oMath>
      <w:r>
        <w:t xml:space="preserve">, the ratio of two static readings carries all the information about</w:t>
      </w:r>
      <w:r>
        <w:t xml:space="preserve"> </w:t>
      </w:r>
      <m:oMath>
        <m:r>
          <m:t>κ</m:t>
        </m:r>
      </m:oMath>
      <w:r>
        <w:t xml:space="preserve">; once</w:t>
      </w:r>
      <w:r>
        <w:t xml:space="preserve"> </w:t>
      </w:r>
      <m:oMath>
        <m:r>
          <m:t>κ</m:t>
        </m:r>
      </m:oMath>
      <w:r>
        <w:t xml:space="preserve"> </w:t>
      </w:r>
      <w:r>
        <w:t xml:space="preserve">is chosen, either reading gives</w:t>
      </w:r>
      <w:r>
        <w:t xml:space="preserve"> </w:t>
      </w:r>
      <m:oMath>
        <m:r>
          <m:t>α</m:t>
        </m:r>
      </m:oMath>
      <w:r>
        <w:t xml:space="preserve">. With two static readings the Fisher matrix has a determinant proportional to</w:t>
      </w:r>
      <w:r>
        <w:t xml:space="preserve"> </w:t>
      </w:r>
      <m:oMath>
        <m:sSup>
          <m:e>
            <m:d>
              <m:dPr>
                <m:begChr m:val="("/>
                <m:endChr m:val=")"/>
                <m:grow/>
              </m:dPr>
              <m:e>
                <m:sSub>
                  <m:e>
                    <m:r>
                      <m:t>S</m:t>
                    </m:r>
                  </m:e>
                  <m:sub>
                    <m:r>
                      <m:t>y</m:t>
                    </m:r>
                    <m:r>
                      <m:t>8</m:t>
                    </m:r>
                  </m:sub>
                </m:sSub>
                <m:r>
                  <m:rPr>
                    <m:sty m:val="p"/>
                  </m:rPr>
                  <m:t>−</m:t>
                </m:r>
                <m:sSub>
                  <m:e>
                    <m:r>
                      <m:t>S</m:t>
                    </m:r>
                  </m:e>
                  <m:sub>
                    <m:r>
                      <m:t>y</m:t>
                    </m:r>
                    <m:r>
                      <m:t>7</m:t>
                    </m:r>
                  </m:sub>
                </m:sSub>
              </m:e>
            </m:d>
          </m:e>
          <m:sup>
            <m:r>
              <m:t>2</m:t>
            </m:r>
          </m:sup>
        </m:sSup>
      </m:oMath>
      <w:r>
        <w:t xml:space="preserve">, where</w:t>
      </w:r>
      <w:r>
        <w:t xml:space="preserve"> </w:t>
      </w:r>
      <m:oMath>
        <m:sSub>
          <m:e>
            <m:r>
              <m:t>S</m:t>
            </m:r>
          </m:e>
          <m:sub>
            <m:r>
              <m:t>y</m:t>
            </m:r>
            <m:r>
              <m:t>8</m:t>
            </m:r>
          </m:sub>
        </m:sSub>
      </m:oMath>
      <w:r>
        <w:t xml:space="preserve"> </w:t>
      </w:r>
      <w:r>
        <w:t xml:space="preserve">and</w:t>
      </w:r>
      <w:r>
        <w:t xml:space="preserve"> </w:t>
      </w:r>
      <m:oMath>
        <m:sSub>
          <m:e>
            <m:r>
              <m:t>S</m:t>
            </m:r>
          </m:e>
          <m:sub>
            <m:r>
              <m:t>y</m:t>
            </m:r>
            <m:r>
              <m:t>7</m:t>
            </m:r>
          </m:sub>
        </m:sSub>
      </m:oMath>
      <w:r>
        <w:t xml:space="preserve"> </w:t>
      </w:r>
      <w:r>
        <w:t xml:space="preserve">are the logarithmic sensitivities of the N8 and N7 readings to</w:t>
      </w:r>
      <w:r>
        <w:t xml:space="preserve"> </w:t>
      </w:r>
      <m:oMath>
        <m:r>
          <m:t>κ</m:t>
        </m:r>
      </m:oMath>
      <w:r>
        <w:t xml:space="preserve">; this determinant vanishes at the minimum of the misfit ratio, that is, at calibration B. A frequency adds a row with the mass as nuisance parameter; a pier rotation adds a row without a nuisance parameter. Unequal pier stiffnesses would bring in the pattern</w:t>
      </w:r>
      <w:r>
        <w:t xml:space="preserve"> </w:t>
      </w:r>
      <m:oMath>
        <m:sSub>
          <m:e>
            <m:r>
              <m:t>θ</m:t>
            </m:r>
          </m:e>
          <m:sub>
            <m:r>
              <m:t>6</m:t>
            </m:r>
          </m:sub>
        </m:sSub>
        <m:r>
          <m:rPr>
            <m:sty m:val="p"/>
          </m:rPr>
          <m:t>=</m:t>
        </m:r>
        <m:sSub>
          <m:e>
            <m:r>
              <m:t>θ</m:t>
            </m:r>
          </m:e>
          <m:sub>
            <m:r>
              <m:t>7</m:t>
            </m:r>
          </m:sub>
        </m:sSub>
      </m:oMath>
      <w:r>
        <w:t xml:space="preserve">, which Eq. (13) does not cover.</w:t>
      </w:r>
    </w:p>
    <w:bookmarkEnd w:id="45"/>
    <w:bookmarkStart w:id="49" w:name="s6.-laboratory-test"/>
    <w:p>
      <w:pPr>
        <w:pStyle w:val="Heading2"/>
      </w:pPr>
      <w:r>
        <w:t xml:space="preserve">S6. Laboratory test</w:t>
      </w:r>
    </w:p>
    <w:p>
      <w:pPr>
        <w:pStyle w:val="FirstParagraph"/>
      </w:pPr>
      <w:r>
        <w:t xml:space="preserve">The specimen is a steel hollow square tube on three supports forming two equal spans of 2500 mm. Deflection at mid-span of the first span was measured with a linear variable differential transformer of 0.005 mm resolution. The measured single-load influence line of the beam is shown in Fig. S8. The SLM deviations match the growth of the measured-to-analytical integral ratio, both by the trapezoidal rule (1.010, 1.016 and 1.017 for one, two and three loads), which the data cannot assign to either support seating or the stated masses. Table S4 compares the identified total loads with direct weighing, and Table S5 lists the mid-span deflection for all three load configurations; the order of the three-load group is the best-fitting order discussed in Section 3. On the 250 mm grid the trapezoidal rule underestimates the exact single-load integral by 0.500 %. It is used throughout, because Simpson’s rule loses its advantage when the kinks of trailing loads fall inside its panels.</w:t>
      </w:r>
    </w:p>
    <w:p>
      <w:pPr>
        <w:pStyle w:val="Figure"/>
      </w:pPr>
      <w:r>
        <w:drawing>
          <wp:inline>
            <wp:extent cx="5039999" cy="2519999"/>
            <wp:effectExtent b="0" l="0" r="0" t="0"/>
            <wp:docPr descr="" title="" id="47" name="Picture"/>
            <a:graphic>
              <a:graphicData uri="http://schemas.openxmlformats.org/drawingml/2006/picture">
                <pic:pic>
                  <pic:nvPicPr>
                    <pic:cNvPr descr="/home/user/SHM-Paper1-1D/manuscript/ase/figures/supplementary/FigS8_lab_influence_line.png" id="48" name="Picture"/>
                    <pic:cNvPicPr>
                      <a:picLocks noChangeArrowheads="1" noChangeAspect="1"/>
                    </pic:cNvPicPr>
                  </pic:nvPicPr>
                  <pic:blipFill>
                    <a:blip r:embed="rId46"/>
                    <a:stretch>
                      <a:fillRect/>
                    </a:stretch>
                  </pic:blipFill>
                  <pic:spPr bwMode="auto">
                    <a:xfrm>
                      <a:off x="0" y="0"/>
                      <a:ext cx="5039999" cy="2519999"/>
                    </a:xfrm>
                    <a:prstGeom prst="rect">
                      <a:avLst/>
                    </a:prstGeom>
                    <a:noFill/>
                    <a:ln w="9525">
                      <a:noFill/>
                      <a:headEnd/>
                      <a:tailEnd/>
                    </a:ln>
                  </pic:spPr>
                </pic:pic>
              </a:graphicData>
            </a:graphic>
          </wp:inline>
        </w:drawing>
      </w:r>
    </w:p>
    <w:p>
      <w:pPr>
        <w:pStyle w:val="Captionjustified"/>
        <w:keepLines/>
      </w:pPr>
      <w:r>
        <w:rPr>
          <w:bCs/>
          <w:b/>
        </w:rPr>
        <w:t xml:space="preserve">Figure S8.</w:t>
      </w:r>
      <w:r>
        <w:t xml:space="preserve"> </w:t>
      </w:r>
      <w:r>
        <w:t xml:space="preserve">Laboratory two-span beam: measured and analytical influence line of the mid-span deflection of the first span for the single 40.64 N load (Table S5).</w:t>
      </w:r>
    </w:p>
    <w:p>
      <w:pPr>
        <w:pStyle w:val="BodyText"/>
        <w:keepNext/>
        <w:keepLines/>
      </w:pPr>
      <w:r>
        <w:rPr>
          <w:bCs/>
          <w:b/>
        </w:rPr>
        <w:t xml:space="preserve">Table S4.</w:t>
      </w:r>
      <w:r>
        <w:t xml:space="preserve"> </w:t>
      </w:r>
      <w:r>
        <w:t xml:space="preserve">Identified total loads against direct weighing (trapezoidal rule). BPM:</w:t>
      </w:r>
      <w:r>
        <w:t xml:space="preserve"> </w:t>
      </w:r>
      <m:oMath>
        <m:r>
          <m:t>P</m:t>
        </m:r>
        <m:r>
          <m:rPr>
            <m:sty m:val="p"/>
          </m:rPr>
          <m:t>=</m:t>
        </m:r>
        <m:r>
          <m:t>J</m:t>
        </m:r>
        <m:r>
          <m:rPr>
            <m:sty m:val="p"/>
          </m:rPr>
          <m:t>/</m:t>
        </m:r>
        <m:sSub>
          <m:e>
            <m:r>
              <m:t>C</m:t>
            </m:r>
          </m:e>
          <m:sub>
            <m:r>
              <m:t>m</m:t>
            </m:r>
          </m:sub>
        </m:sSub>
      </m:oMath>
      <w:r>
        <w:t xml:space="preserve"> </w:t>
      </w:r>
      <w:r>
        <w:t xml:space="preserve">with the analytical constant; SLM:</w:t>
      </w:r>
      <w:r>
        <w:t xml:space="preserve"> </w:t>
      </w:r>
      <m:oMath>
        <m:sSub>
          <m:e>
            <m:r>
              <m:t>P</m:t>
            </m:r>
          </m:e>
          <m:sub>
            <m:r>
              <m:t>t</m:t>
            </m:r>
          </m:sub>
        </m:sSub>
        <m:r>
          <m:rPr>
            <m:sty m:val="p"/>
          </m:rPr>
          <m:t>=</m:t>
        </m:r>
        <m:sSub>
          <m:e>
            <m:r>
              <m:t>P</m:t>
            </m:r>
          </m:e>
          <m:sub>
            <m:r>
              <m:t>0</m:t>
            </m:r>
          </m:sub>
        </m:sSub>
        <m:sSub>
          <m:e>
            <m:r>
              <m:t>J</m:t>
            </m:r>
          </m:e>
          <m:sub>
            <m:r>
              <m:t>t</m:t>
            </m:r>
          </m:sub>
        </m:sSub>
        <m:r>
          <m:rPr>
            <m:sty m:val="p"/>
          </m:rPr>
          <m:t>/</m:t>
        </m:r>
        <m:sSub>
          <m:e>
            <m:r>
              <m:t>J</m:t>
            </m:r>
          </m:e>
          <m:sub>
            <m:r>
              <m:t>0</m:t>
            </m:r>
          </m:sub>
        </m:sSub>
      </m:oMath>
      <w:r>
        <w:t xml:space="preserve"> </w:t>
      </w:r>
      <w:r>
        <w:t xml:space="preserve">with the single-load record as reference.</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2229"/>
        <w:gridCol w:w="1306"/>
        <w:gridCol w:w="1152"/>
        <w:gridCol w:w="1614"/>
        <w:gridCol w:w="1152"/>
        <w:gridCol w:w="1614"/>
      </w:tblGrid>
      <w:tr>
        <w:trPr>
          <w:tblHeader w:val="true"/>
          <w:tblHeader w:val="true"/>
          <w:cantSplit/>
        </w:trPr>
        <w:tc>
          <w:tcPr>
            <w:tcW w:type="dxa" w:w="2229"/>
            <w:tcBorders>
              <w:top w:val="nil"/>
              <w:left w:val="nil"/>
              <w:bottom w:val="single" w:sz="6" w:space="0" w:color="000000"/>
              <w:right w:val="nil"/>
            </w:tcBorders>
          </w:tcPr>
          <w:p>
            <w:pPr>
              <w:keepNext/>
              <w:pStyle w:val="Compact"/>
              <w:jc w:val="left"/>
            </w:pPr>
            <w:r>
              <w:t xml:space="preserve">Configuration</w:t>
            </w:r>
          </w:p>
        </w:tc>
        <w:tc>
          <w:tcPr>
            <w:tcW w:type="dxa" w:w="1306"/>
            <w:tcBorders>
              <w:top w:val="nil"/>
              <w:left w:val="nil"/>
              <w:bottom w:val="single" w:sz="6" w:space="0" w:color="000000"/>
              <w:right w:val="nil"/>
            </w:tcBorders>
          </w:tcPr>
          <w:p>
            <w:pPr>
              <w:keepNext/>
              <w:pStyle w:val="Compact"/>
              <w:jc w:val="right"/>
            </w:pPr>
            <w:r>
              <w:t xml:space="preserve">Weighed (N)</w:t>
            </w:r>
          </w:p>
        </w:tc>
        <w:tc>
          <w:tcPr>
            <w:tcW w:type="dxa" w:w="1152"/>
            <w:tcBorders>
              <w:top w:val="nil"/>
              <w:left w:val="nil"/>
              <w:bottom w:val="single" w:sz="6" w:space="0" w:color="000000"/>
              <w:right w:val="nil"/>
            </w:tcBorders>
          </w:tcPr>
          <w:p>
            <w:pPr>
              <w:keepNext/>
              <w:pStyle w:val="Compact"/>
              <w:jc w:val="right"/>
            </w:pPr>
            <w:r>
              <w:t xml:space="preserve">BPM (N)</w:t>
            </w:r>
          </w:p>
        </w:tc>
        <w:tc>
          <w:tcPr>
            <w:tcW w:type="dxa" w:w="1614"/>
            <w:tcBorders>
              <w:top w:val="nil"/>
              <w:left w:val="nil"/>
              <w:bottom w:val="single" w:sz="6" w:space="0" w:color="000000"/>
              <w:right w:val="nil"/>
            </w:tcBorders>
          </w:tcPr>
          <w:p>
            <w:pPr>
              <w:keepNext/>
              <w:pStyle w:val="Compact"/>
              <w:jc w:val="right"/>
            </w:pPr>
            <w:r>
              <w:t xml:space="preserve">BPM deviation</w:t>
            </w:r>
          </w:p>
        </w:tc>
        <w:tc>
          <w:tcPr>
            <w:tcW w:type="dxa" w:w="1152"/>
            <w:tcBorders>
              <w:top w:val="nil"/>
              <w:left w:val="nil"/>
              <w:bottom w:val="single" w:sz="6" w:space="0" w:color="000000"/>
              <w:right w:val="nil"/>
            </w:tcBorders>
          </w:tcPr>
          <w:p>
            <w:pPr>
              <w:keepNext/>
              <w:pStyle w:val="Compact"/>
              <w:jc w:val="right"/>
            </w:pPr>
            <w:r>
              <w:t xml:space="preserve">SLM (N)</w:t>
            </w:r>
          </w:p>
        </w:tc>
        <w:tc>
          <w:tcPr>
            <w:tcW w:type="dxa" w:w="1614"/>
            <w:tcBorders>
              <w:top w:val="nil"/>
              <w:left w:val="nil"/>
              <w:bottom w:val="single" w:sz="6" w:space="0" w:color="000000"/>
              <w:right w:val="nil"/>
            </w:tcBorders>
          </w:tcPr>
          <w:p>
            <w:pPr>
              <w:keepNext/>
              <w:pStyle w:val="Compact"/>
              <w:jc w:val="right"/>
            </w:pPr>
            <w:r>
              <w:t xml:space="preserve">SLM deviation</w:t>
            </w:r>
          </w:p>
        </w:tc>
      </w:tr>
      <w:tr>
        <w:trPr>
          <w:cantSplit/>
        </w:trPr>
        <w:tc>
          <w:tcPr>
            <w:tcW w:type="dxa" w:w="2229"/>
          </w:tcPr>
          <w:p>
            <w:pPr>
              <w:keepNext/>
              <w:pStyle w:val="Compact"/>
              <w:jc w:val="left"/>
            </w:pPr>
            <w:r>
              <w:t xml:space="preserve">Two loads</w:t>
            </w:r>
          </w:p>
        </w:tc>
        <w:tc>
          <w:tcPr>
            <w:tcW w:type="dxa" w:w="1306"/>
          </w:tcPr>
          <w:p>
            <w:pPr>
              <w:keepNext/>
              <w:pStyle w:val="Compact"/>
              <w:jc w:val="right"/>
            </w:pPr>
            <w:r>
              <w:t xml:space="preserve">66.99</w:t>
            </w:r>
          </w:p>
        </w:tc>
        <w:tc>
          <w:tcPr>
            <w:tcW w:type="dxa" w:w="1152"/>
          </w:tcPr>
          <w:p>
            <w:pPr>
              <w:keepNext/>
              <w:pStyle w:val="Compact"/>
              <w:jc w:val="right"/>
            </w:pPr>
            <w:r>
              <w:t xml:space="preserve">67.73</w:t>
            </w:r>
          </w:p>
        </w:tc>
        <w:tc>
          <w:tcPr>
            <w:tcW w:type="dxa" w:w="1614"/>
          </w:tcPr>
          <w:p>
            <w:pPr>
              <w:keepNext/>
              <w:pStyle w:val="Compact"/>
              <w:jc w:val="right"/>
            </w:pPr>
            <w:r>
              <w:t xml:space="preserve">+1.10 %</w:t>
            </w:r>
          </w:p>
        </w:tc>
        <w:tc>
          <w:tcPr>
            <w:tcW w:type="dxa" w:w="1152"/>
          </w:tcPr>
          <w:p>
            <w:pPr>
              <w:keepNext/>
              <w:pStyle w:val="Compact"/>
              <w:jc w:val="right"/>
            </w:pPr>
            <w:r>
              <w:t xml:space="preserve">67.40</w:t>
            </w:r>
          </w:p>
        </w:tc>
        <w:tc>
          <w:tcPr>
            <w:tcW w:type="dxa" w:w="1614"/>
          </w:tcPr>
          <w:p>
            <w:pPr>
              <w:keepNext/>
              <w:pStyle w:val="Compact"/>
              <w:jc w:val="right"/>
            </w:pPr>
            <w:r>
              <w:t xml:space="preserve">+0.61 %</w:t>
            </w:r>
          </w:p>
        </w:tc>
      </w:tr>
      <w:tr>
        <w:trPr>
          <w:cantSplit/>
        </w:trPr>
        <w:tc>
          <w:tcPr>
            <w:tcW w:type="dxa" w:w="2229"/>
          </w:tcPr>
          <w:p>
            <w:pPr>
              <w:pStyle w:val="Compact"/>
              <w:jc w:val="left"/>
            </w:pPr>
            <w:r>
              <w:t xml:space="preserve">Three loads</w:t>
            </w:r>
          </w:p>
        </w:tc>
        <w:tc>
          <w:tcPr>
            <w:tcW w:type="dxa" w:w="1306"/>
          </w:tcPr>
          <w:p>
            <w:pPr>
              <w:pStyle w:val="Compact"/>
              <w:jc w:val="right"/>
            </w:pPr>
            <w:r>
              <w:t xml:space="preserve">125.08</w:t>
            </w:r>
          </w:p>
        </w:tc>
        <w:tc>
          <w:tcPr>
            <w:tcW w:type="dxa" w:w="1152"/>
          </w:tcPr>
          <w:p>
            <w:pPr>
              <w:pStyle w:val="Compact"/>
              <w:jc w:val="right"/>
            </w:pPr>
            <w:r>
              <w:t xml:space="preserve">126.57</w:t>
            </w:r>
          </w:p>
        </w:tc>
        <w:tc>
          <w:tcPr>
            <w:tcW w:type="dxa" w:w="1614"/>
          </w:tcPr>
          <w:p>
            <w:pPr>
              <w:pStyle w:val="Compact"/>
              <w:jc w:val="right"/>
            </w:pPr>
            <w:r>
              <w:t xml:space="preserve">+1.19 %</w:t>
            </w:r>
          </w:p>
        </w:tc>
        <w:tc>
          <w:tcPr>
            <w:tcW w:type="dxa" w:w="1152"/>
          </w:tcPr>
          <w:p>
            <w:pPr>
              <w:pStyle w:val="Compact"/>
              <w:jc w:val="right"/>
            </w:pPr>
            <w:r>
              <w:t xml:space="preserve">125.95</w:t>
            </w:r>
          </w:p>
        </w:tc>
        <w:tc>
          <w:tcPr>
            <w:tcW w:type="dxa" w:w="1614"/>
          </w:tcPr>
          <w:p>
            <w:pPr>
              <w:pStyle w:val="Compact"/>
              <w:jc w:val="right"/>
            </w:pPr>
            <w:r>
              <w:t xml:space="preserve">+0.70 %</w:t>
            </w:r>
          </w:p>
        </w:tc>
      </w:tr>
    </w:tbl>
    <w:p>
      <w:pPr>
        <w:pStyle w:val="BodyText"/>
        <w:keepNext/>
        <w:keepLines/>
      </w:pPr>
      <w:r>
        <w:rPr>
          <w:bCs/>
          <w:b/>
        </w:rPr>
        <w:t xml:space="preserve">Table S5.</w:t>
      </w:r>
      <w:r>
        <w:t xml:space="preserve"> </w:t>
      </w:r>
      <w:r>
        <w:t xml:space="preserve">Mid-span deflection of the first span (mm), mean of three cycles. Single load 40.64 N; analytical values from the closed-form influence line.</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096"/>
        <w:gridCol w:w="2491"/>
        <w:gridCol w:w="2093"/>
        <w:gridCol w:w="1694"/>
        <w:gridCol w:w="1694"/>
      </w:tblGrid>
      <w:tr>
        <w:trPr>
          <w:tblHeader w:val="true"/>
          <w:tblHeader w:val="true"/>
          <w:cantSplit/>
        </w:trPr>
        <w:tc>
          <w:tcPr>
            <w:tcW w:type="dxa" w:w="1096"/>
            <w:tcBorders>
              <w:top w:val="nil"/>
              <w:left w:val="nil"/>
              <w:bottom w:val="single" w:sz="6" w:space="0" w:color="000000"/>
              <w:right w:val="nil"/>
            </w:tcBorders>
          </w:tcPr>
          <w:p>
            <w:pPr>
              <w:pStyle w:val="Compact"/>
              <w:jc w:val="right"/>
            </w:pPr>
            <m:oMath>
              <m:r>
                <m:t>x</m:t>
              </m:r>
            </m:oMath>
            <w:r>
              <w:t xml:space="preserve"> </w:t>
            </w:r>
            <w:r>
              <w:t xml:space="preserve">(mm)</w:t>
            </w:r>
          </w:p>
        </w:tc>
        <w:tc>
          <w:tcPr>
            <w:tcW w:type="dxa" w:w="2491"/>
            <w:tcBorders>
              <w:top w:val="nil"/>
              <w:left w:val="nil"/>
              <w:bottom w:val="single" w:sz="6" w:space="0" w:color="000000"/>
              <w:right w:val="nil"/>
            </w:tcBorders>
          </w:tcPr>
          <w:p>
            <w:pPr>
              <w:pStyle w:val="Compact"/>
              <w:jc w:val="right"/>
            </w:pPr>
            <w:r>
              <w:t xml:space="preserve">Analytical, single</w:t>
            </w:r>
          </w:p>
        </w:tc>
        <w:tc>
          <w:tcPr>
            <w:tcW w:type="dxa" w:w="2093"/>
            <w:tcBorders>
              <w:top w:val="nil"/>
              <w:left w:val="nil"/>
              <w:bottom w:val="single" w:sz="6" w:space="0" w:color="000000"/>
              <w:right w:val="nil"/>
            </w:tcBorders>
          </w:tcPr>
          <w:p>
            <w:pPr>
              <w:pStyle w:val="Compact"/>
              <w:jc w:val="right"/>
            </w:pPr>
            <w:r>
              <w:t xml:space="preserve">Measured, single</w:t>
            </w:r>
          </w:p>
        </w:tc>
        <w:tc>
          <w:tcPr>
            <w:tcW w:type="dxa" w:w="1694"/>
            <w:tcBorders>
              <w:top w:val="nil"/>
              <w:left w:val="nil"/>
              <w:bottom w:val="single" w:sz="6" w:space="0" w:color="000000"/>
              <w:right w:val="nil"/>
            </w:tcBorders>
          </w:tcPr>
          <w:p>
            <w:pPr>
              <w:pStyle w:val="Compact"/>
              <w:jc w:val="right"/>
            </w:pPr>
            <w:r>
              <w:t xml:space="preserve">Two loads</w:t>
            </w:r>
          </w:p>
        </w:tc>
        <w:tc>
          <w:tcPr>
            <w:tcW w:type="dxa" w:w="1694"/>
            <w:tcBorders>
              <w:top w:val="nil"/>
              <w:left w:val="nil"/>
              <w:bottom w:val="single" w:sz="6" w:space="0" w:color="000000"/>
              <w:right w:val="nil"/>
            </w:tcBorders>
          </w:tcPr>
          <w:p>
            <w:pPr>
              <w:pStyle w:val="Compact"/>
              <w:jc w:val="right"/>
            </w:pPr>
            <w:r>
              <w:t xml:space="preserve">Three loads</w:t>
            </w:r>
          </w:p>
        </w:tc>
      </w:tr>
      <w:tr>
        <w:trPr>
          <w:cantSplit/>
        </w:trPr>
        <w:tc>
          <w:tcPr>
            <w:tcW w:type="dxa" w:w="1096"/>
          </w:tcPr>
          <w:p>
            <w:pPr>
              <w:pStyle w:val="Compact"/>
              <w:jc w:val="right"/>
            </w:pPr>
            <w:r>
              <w:t xml:space="preserve">0</w:t>
            </w:r>
          </w:p>
        </w:tc>
        <w:tc>
          <w:tcPr>
            <w:tcW w:type="dxa" w:w="2491"/>
          </w:tcPr>
          <w:p>
            <w:pPr>
              <w:pStyle w:val="Compact"/>
              <w:jc w:val="right"/>
            </w:pPr>
            <w:r>
              <w:t xml:space="preserve">0.0000</w:t>
            </w:r>
          </w:p>
        </w:tc>
        <w:tc>
          <w:tcPr>
            <w:tcW w:type="dxa" w:w="2093"/>
          </w:tcPr>
          <w:p>
            <w:pPr>
              <w:pStyle w:val="Compact"/>
              <w:jc w:val="right"/>
            </w:pPr>
            <w:r>
              <w:t xml:space="preserve">0.0000</w:t>
            </w:r>
          </w:p>
        </w:tc>
        <w:tc>
          <w:tcPr>
            <w:tcW w:type="dxa" w:w="1694"/>
          </w:tcPr>
          <w:p>
            <w:pPr>
              <w:pStyle w:val="Compact"/>
              <w:jc w:val="right"/>
            </w:pPr>
            <w:r>
              <w:t xml:space="preserve">0.0000</w:t>
            </w:r>
          </w:p>
        </w:tc>
        <w:tc>
          <w:tcPr>
            <w:tcW w:type="dxa" w:w="1694"/>
          </w:tcPr>
          <w:p>
            <w:pPr>
              <w:pStyle w:val="Compact"/>
              <w:jc w:val="right"/>
            </w:pPr>
            <w:r>
              <w:t xml:space="preserve">0.0000</w:t>
            </w:r>
          </w:p>
        </w:tc>
      </w:tr>
      <w:tr>
        <w:trPr>
          <w:cantSplit/>
        </w:trPr>
        <w:tc>
          <w:tcPr>
            <w:tcW w:type="dxa" w:w="1096"/>
          </w:tcPr>
          <w:p>
            <w:pPr>
              <w:pStyle w:val="Compact"/>
              <w:jc w:val="right"/>
            </w:pPr>
            <w:r>
              <w:t xml:space="preserve">250</w:t>
            </w:r>
          </w:p>
        </w:tc>
        <w:tc>
          <w:tcPr>
            <w:tcW w:type="dxa" w:w="2491"/>
          </w:tcPr>
          <w:p>
            <w:pPr>
              <w:pStyle w:val="Compact"/>
              <w:jc w:val="right"/>
            </w:pPr>
            <w:r>
              <w:t xml:space="preserve">0.8874</w:t>
            </w:r>
          </w:p>
        </w:tc>
        <w:tc>
          <w:tcPr>
            <w:tcW w:type="dxa" w:w="2093"/>
          </w:tcPr>
          <w:p>
            <w:pPr>
              <w:pStyle w:val="Compact"/>
              <w:jc w:val="right"/>
            </w:pPr>
            <w:r>
              <w:t xml:space="preserve">0.8844</w:t>
            </w:r>
          </w:p>
        </w:tc>
        <w:tc>
          <w:tcPr>
            <w:tcW w:type="dxa" w:w="1694"/>
          </w:tcPr>
          <w:p>
            <w:pPr>
              <w:pStyle w:val="Compact"/>
              <w:jc w:val="right"/>
            </w:pPr>
            <w:r>
              <w:t xml:space="preserve">0.4625</w:t>
            </w:r>
          </w:p>
        </w:tc>
        <w:tc>
          <w:tcPr>
            <w:tcW w:type="dxa" w:w="1694"/>
          </w:tcPr>
          <w:p>
            <w:pPr>
              <w:pStyle w:val="Compact"/>
              <w:jc w:val="right"/>
            </w:pPr>
            <w:r>
              <w:t xml:space="preserve">0.5525</w:t>
            </w:r>
          </w:p>
        </w:tc>
      </w:tr>
      <w:tr>
        <w:trPr>
          <w:cantSplit/>
        </w:trPr>
        <w:tc>
          <w:tcPr>
            <w:tcW w:type="dxa" w:w="1096"/>
          </w:tcPr>
          <w:p>
            <w:pPr>
              <w:pStyle w:val="Compact"/>
              <w:jc w:val="right"/>
            </w:pPr>
            <w:r>
              <w:t xml:space="preserve">500</w:t>
            </w:r>
          </w:p>
        </w:tc>
        <w:tc>
          <w:tcPr>
            <w:tcW w:type="dxa" w:w="2491"/>
          </w:tcPr>
          <w:p>
            <w:pPr>
              <w:pStyle w:val="Compact"/>
              <w:jc w:val="right"/>
            </w:pPr>
            <w:r>
              <w:t xml:space="preserve">1.6968</w:t>
            </w:r>
          </w:p>
        </w:tc>
        <w:tc>
          <w:tcPr>
            <w:tcW w:type="dxa" w:w="2093"/>
          </w:tcPr>
          <w:p>
            <w:pPr>
              <w:pStyle w:val="Compact"/>
              <w:jc w:val="right"/>
            </w:pPr>
            <w:r>
              <w:t xml:space="preserve">1.6975</w:t>
            </w:r>
          </w:p>
        </w:tc>
        <w:tc>
          <w:tcPr>
            <w:tcW w:type="dxa" w:w="1694"/>
          </w:tcPr>
          <w:p>
            <w:pPr>
              <w:pStyle w:val="Compact"/>
              <w:jc w:val="right"/>
            </w:pPr>
            <w:r>
              <w:t xml:space="preserve">1.8813</w:t>
            </w:r>
          </w:p>
        </w:tc>
        <w:tc>
          <w:tcPr>
            <w:tcW w:type="dxa" w:w="1694"/>
          </w:tcPr>
          <w:p>
            <w:pPr>
              <w:pStyle w:val="Compact"/>
              <w:jc w:val="right"/>
            </w:pPr>
            <w:r>
              <w:t xml:space="preserve">1.0450</w:t>
            </w:r>
          </w:p>
        </w:tc>
      </w:tr>
      <w:tr>
        <w:trPr>
          <w:cantSplit/>
        </w:trPr>
        <w:tc>
          <w:tcPr>
            <w:tcW w:type="dxa" w:w="1096"/>
          </w:tcPr>
          <w:p>
            <w:pPr>
              <w:pStyle w:val="Compact"/>
              <w:jc w:val="right"/>
            </w:pPr>
            <w:r>
              <w:t xml:space="preserve">750</w:t>
            </w:r>
          </w:p>
        </w:tc>
        <w:tc>
          <w:tcPr>
            <w:tcW w:type="dxa" w:w="2491"/>
          </w:tcPr>
          <w:p>
            <w:pPr>
              <w:pStyle w:val="Compact"/>
              <w:jc w:val="right"/>
            </w:pPr>
            <w:r>
              <w:t xml:space="preserve">2.3501</w:t>
            </w:r>
          </w:p>
        </w:tc>
        <w:tc>
          <w:tcPr>
            <w:tcW w:type="dxa" w:w="2093"/>
          </w:tcPr>
          <w:p>
            <w:pPr>
              <w:pStyle w:val="Compact"/>
              <w:jc w:val="right"/>
            </w:pPr>
            <w:r>
              <w:t xml:space="preserve">2.3525</w:t>
            </w:r>
          </w:p>
        </w:tc>
        <w:tc>
          <w:tcPr>
            <w:tcW w:type="dxa" w:w="1694"/>
          </w:tcPr>
          <w:p>
            <w:pPr>
              <w:pStyle w:val="Compact"/>
              <w:jc w:val="right"/>
            </w:pPr>
            <w:r>
              <w:t xml:space="preserve">3.1413</w:t>
            </w:r>
          </w:p>
        </w:tc>
        <w:tc>
          <w:tcPr>
            <w:tcW w:type="dxa" w:w="1694"/>
          </w:tcPr>
          <w:p>
            <w:pPr>
              <w:pStyle w:val="Compact"/>
              <w:jc w:val="right"/>
            </w:pPr>
            <w:r>
              <w:t xml:space="preserve">2.5413</w:t>
            </w:r>
          </w:p>
        </w:tc>
      </w:tr>
      <w:tr>
        <w:trPr>
          <w:cantSplit/>
        </w:trPr>
        <w:tc>
          <w:tcPr>
            <w:tcW w:type="dxa" w:w="1096"/>
          </w:tcPr>
          <w:p>
            <w:pPr>
              <w:pStyle w:val="Compact"/>
              <w:jc w:val="right"/>
            </w:pPr>
            <w:r>
              <w:t xml:space="preserve">1000</w:t>
            </w:r>
          </w:p>
        </w:tc>
        <w:tc>
          <w:tcPr>
            <w:tcW w:type="dxa" w:w="2491"/>
          </w:tcPr>
          <w:p>
            <w:pPr>
              <w:pStyle w:val="Compact"/>
              <w:jc w:val="right"/>
            </w:pPr>
            <w:r>
              <w:t xml:space="preserve">2.7693</w:t>
            </w:r>
          </w:p>
        </w:tc>
        <w:tc>
          <w:tcPr>
            <w:tcW w:type="dxa" w:w="2093"/>
          </w:tcPr>
          <w:p>
            <w:pPr>
              <w:pStyle w:val="Compact"/>
              <w:jc w:val="right"/>
            </w:pPr>
            <w:r>
              <w:t xml:space="preserve">2.7738</w:t>
            </w:r>
          </w:p>
        </w:tc>
        <w:tc>
          <w:tcPr>
            <w:tcW w:type="dxa" w:w="1694"/>
          </w:tcPr>
          <w:p>
            <w:pPr>
              <w:pStyle w:val="Compact"/>
              <w:jc w:val="right"/>
            </w:pPr>
            <w:r>
              <w:t xml:space="preserve">4.0988</w:t>
            </w:r>
          </w:p>
        </w:tc>
        <w:tc>
          <w:tcPr>
            <w:tcW w:type="dxa" w:w="1694"/>
          </w:tcPr>
          <w:p>
            <w:pPr>
              <w:pStyle w:val="Compact"/>
              <w:jc w:val="right"/>
            </w:pPr>
            <w:r>
              <w:t xml:space="preserve">4.8700</w:t>
            </w:r>
          </w:p>
        </w:tc>
      </w:tr>
      <w:tr>
        <w:trPr>
          <w:cantSplit/>
        </w:trPr>
        <w:tc>
          <w:tcPr>
            <w:tcW w:type="dxa" w:w="1096"/>
          </w:tcPr>
          <w:p>
            <w:pPr>
              <w:pStyle w:val="Compact"/>
              <w:jc w:val="right"/>
            </w:pPr>
            <w:r>
              <w:t xml:space="preserve">1250</w:t>
            </w:r>
          </w:p>
        </w:tc>
        <w:tc>
          <w:tcPr>
            <w:tcW w:type="dxa" w:w="2491"/>
          </w:tcPr>
          <w:p>
            <w:pPr>
              <w:pStyle w:val="Compact"/>
              <w:jc w:val="right"/>
            </w:pPr>
            <w:r>
              <w:t xml:space="preserve">2.8764</w:t>
            </w:r>
          </w:p>
        </w:tc>
        <w:tc>
          <w:tcPr>
            <w:tcW w:type="dxa" w:w="2093"/>
          </w:tcPr>
          <w:p>
            <w:pPr>
              <w:pStyle w:val="Compact"/>
              <w:jc w:val="right"/>
            </w:pPr>
            <w:r>
              <w:t xml:space="preserve">2.8827</w:t>
            </w:r>
          </w:p>
        </w:tc>
        <w:tc>
          <w:tcPr>
            <w:tcW w:type="dxa" w:w="1694"/>
          </w:tcPr>
          <w:p>
            <w:pPr>
              <w:pStyle w:val="Compact"/>
              <w:jc w:val="right"/>
            </w:pPr>
            <w:r>
              <w:t xml:space="preserve">4.6350</w:t>
            </w:r>
          </w:p>
        </w:tc>
        <w:tc>
          <w:tcPr>
            <w:tcW w:type="dxa" w:w="1694"/>
          </w:tcPr>
          <w:p>
            <w:pPr>
              <w:pStyle w:val="Compact"/>
              <w:jc w:val="right"/>
            </w:pPr>
            <w:r>
              <w:t xml:space="preserve">6.7588</w:t>
            </w:r>
          </w:p>
        </w:tc>
      </w:tr>
      <w:tr>
        <w:trPr>
          <w:cantSplit/>
        </w:trPr>
        <w:tc>
          <w:tcPr>
            <w:tcW w:type="dxa" w:w="1096"/>
          </w:tcPr>
          <w:p>
            <w:pPr>
              <w:pStyle w:val="Compact"/>
              <w:jc w:val="right"/>
            </w:pPr>
            <w:r>
              <w:t xml:space="preserve">1500</w:t>
            </w:r>
          </w:p>
        </w:tc>
        <w:tc>
          <w:tcPr>
            <w:tcW w:type="dxa" w:w="2491"/>
          </w:tcPr>
          <w:p>
            <w:pPr>
              <w:pStyle w:val="Compact"/>
              <w:jc w:val="right"/>
            </w:pPr>
            <w:r>
              <w:t xml:space="preserve">2.6253</w:t>
            </w:r>
          </w:p>
        </w:tc>
        <w:tc>
          <w:tcPr>
            <w:tcW w:type="dxa" w:w="2093"/>
          </w:tcPr>
          <w:p>
            <w:pPr>
              <w:pStyle w:val="Compact"/>
              <w:jc w:val="right"/>
            </w:pPr>
            <w:r>
              <w:t xml:space="preserve">2.6363</w:t>
            </w:r>
          </w:p>
        </w:tc>
        <w:tc>
          <w:tcPr>
            <w:tcW w:type="dxa" w:w="1694"/>
          </w:tcPr>
          <w:p>
            <w:pPr>
              <w:pStyle w:val="Compact"/>
              <w:jc w:val="right"/>
            </w:pPr>
            <w:r>
              <w:t xml:space="preserve">4.6238</w:t>
            </w:r>
          </w:p>
        </w:tc>
        <w:tc>
          <w:tcPr>
            <w:tcW w:type="dxa" w:w="1694"/>
          </w:tcPr>
          <w:p>
            <w:pPr>
              <w:pStyle w:val="Compact"/>
              <w:jc w:val="right"/>
            </w:pPr>
            <w:r>
              <w:t xml:space="preserve">7.9350</w:t>
            </w:r>
          </w:p>
        </w:tc>
      </w:tr>
      <w:tr>
        <w:trPr>
          <w:cantSplit/>
        </w:trPr>
        <w:tc>
          <w:tcPr>
            <w:tcW w:type="dxa" w:w="1096"/>
          </w:tcPr>
          <w:p>
            <w:pPr>
              <w:pStyle w:val="Compact"/>
              <w:jc w:val="right"/>
            </w:pPr>
            <w:r>
              <w:t xml:space="preserve">1750</w:t>
            </w:r>
          </w:p>
        </w:tc>
        <w:tc>
          <w:tcPr>
            <w:tcW w:type="dxa" w:w="2491"/>
          </w:tcPr>
          <w:p>
            <w:pPr>
              <w:pStyle w:val="Compact"/>
              <w:jc w:val="right"/>
            </w:pPr>
            <w:r>
              <w:t xml:space="preserve">2.0980</w:t>
            </w:r>
          </w:p>
        </w:tc>
        <w:tc>
          <w:tcPr>
            <w:tcW w:type="dxa" w:w="2093"/>
          </w:tcPr>
          <w:p>
            <w:pPr>
              <w:pStyle w:val="Compact"/>
              <w:jc w:val="right"/>
            </w:pPr>
            <w:r>
              <w:t xml:space="preserve">2.1100</w:t>
            </w:r>
          </w:p>
        </w:tc>
        <w:tc>
          <w:tcPr>
            <w:tcW w:type="dxa" w:w="1694"/>
          </w:tcPr>
          <w:p>
            <w:pPr>
              <w:pStyle w:val="Compact"/>
              <w:jc w:val="right"/>
            </w:pPr>
            <w:r>
              <w:t xml:space="preserve">4.0688</w:t>
            </w:r>
          </w:p>
        </w:tc>
        <w:tc>
          <w:tcPr>
            <w:tcW w:type="dxa" w:w="1694"/>
          </w:tcPr>
          <w:p>
            <w:pPr>
              <w:pStyle w:val="Compact"/>
              <w:jc w:val="right"/>
            </w:pPr>
            <w:r>
              <w:t xml:space="preserve">8.2775</w:t>
            </w:r>
          </w:p>
        </w:tc>
      </w:tr>
      <w:tr>
        <w:trPr>
          <w:cantSplit/>
        </w:trPr>
        <w:tc>
          <w:tcPr>
            <w:tcW w:type="dxa" w:w="1096"/>
          </w:tcPr>
          <w:p>
            <w:pPr>
              <w:pStyle w:val="Compact"/>
              <w:jc w:val="right"/>
            </w:pPr>
            <w:r>
              <w:t xml:space="preserve">2000</w:t>
            </w:r>
          </w:p>
        </w:tc>
        <w:tc>
          <w:tcPr>
            <w:tcW w:type="dxa" w:w="2491"/>
          </w:tcPr>
          <w:p>
            <w:pPr>
              <w:pStyle w:val="Compact"/>
              <w:jc w:val="right"/>
            </w:pPr>
            <w:r>
              <w:t xml:space="preserve">1.4087</w:t>
            </w:r>
          </w:p>
        </w:tc>
        <w:tc>
          <w:tcPr>
            <w:tcW w:type="dxa" w:w="2093"/>
          </w:tcPr>
          <w:p>
            <w:pPr>
              <w:pStyle w:val="Compact"/>
              <w:jc w:val="right"/>
            </w:pPr>
            <w:r>
              <w:t xml:space="preserve">1.4213</w:t>
            </w:r>
          </w:p>
        </w:tc>
        <w:tc>
          <w:tcPr>
            <w:tcW w:type="dxa" w:w="1694"/>
          </w:tcPr>
          <w:p>
            <w:pPr>
              <w:pStyle w:val="Compact"/>
              <w:jc w:val="right"/>
            </w:pPr>
            <w:r>
              <w:t xml:space="preserve">3.1375</w:t>
            </w:r>
          </w:p>
        </w:tc>
        <w:tc>
          <w:tcPr>
            <w:tcW w:type="dxa" w:w="1694"/>
          </w:tcPr>
          <w:p>
            <w:pPr>
              <w:pStyle w:val="Compact"/>
              <w:jc w:val="right"/>
            </w:pPr>
            <w:r>
              <w:t xml:space="preserve">7.6825</w:t>
            </w:r>
          </w:p>
        </w:tc>
      </w:tr>
      <w:tr>
        <w:trPr>
          <w:cantSplit/>
        </w:trPr>
        <w:tc>
          <w:tcPr>
            <w:tcW w:type="dxa" w:w="1096"/>
          </w:tcPr>
          <w:p>
            <w:pPr>
              <w:pStyle w:val="Compact"/>
              <w:jc w:val="right"/>
            </w:pPr>
            <w:r>
              <w:t xml:space="preserve">2250</w:t>
            </w:r>
          </w:p>
        </w:tc>
        <w:tc>
          <w:tcPr>
            <w:tcW w:type="dxa" w:w="2491"/>
          </w:tcPr>
          <w:p>
            <w:pPr>
              <w:pStyle w:val="Compact"/>
              <w:jc w:val="right"/>
            </w:pPr>
            <w:r>
              <w:t xml:space="preserve">0.6713</w:t>
            </w:r>
          </w:p>
        </w:tc>
        <w:tc>
          <w:tcPr>
            <w:tcW w:type="dxa" w:w="2093"/>
          </w:tcPr>
          <w:p>
            <w:pPr>
              <w:pStyle w:val="Compact"/>
              <w:jc w:val="right"/>
            </w:pPr>
            <w:r>
              <w:t xml:space="preserve">0.6838</w:t>
            </w:r>
          </w:p>
        </w:tc>
        <w:tc>
          <w:tcPr>
            <w:tcW w:type="dxa" w:w="1694"/>
          </w:tcPr>
          <w:p>
            <w:pPr>
              <w:pStyle w:val="Compact"/>
              <w:jc w:val="right"/>
            </w:pPr>
            <w:r>
              <w:t xml:space="preserve">1.9600</w:t>
            </w:r>
          </w:p>
        </w:tc>
        <w:tc>
          <w:tcPr>
            <w:tcW w:type="dxa" w:w="1694"/>
          </w:tcPr>
          <w:p>
            <w:pPr>
              <w:pStyle w:val="Compact"/>
              <w:jc w:val="right"/>
            </w:pPr>
            <w:r>
              <w:t xml:space="preserve">6.2800</w:t>
            </w:r>
          </w:p>
        </w:tc>
      </w:tr>
      <w:tr>
        <w:trPr>
          <w:cantSplit/>
        </w:trPr>
        <w:tc>
          <w:tcPr>
            <w:tcW w:type="dxa" w:w="1096"/>
          </w:tcPr>
          <w:p>
            <w:pPr>
              <w:pStyle w:val="Compact"/>
              <w:jc w:val="right"/>
            </w:pPr>
            <w:r>
              <w:t xml:space="preserve">2500</w:t>
            </w:r>
          </w:p>
        </w:tc>
        <w:tc>
          <w:tcPr>
            <w:tcW w:type="dxa" w:w="2491"/>
          </w:tcPr>
          <w:p>
            <w:pPr>
              <w:pStyle w:val="Compact"/>
              <w:jc w:val="right"/>
            </w:pPr>
            <w:r>
              <w:t xml:space="preserve">0.0000</w:t>
            </w:r>
          </w:p>
        </w:tc>
        <w:tc>
          <w:tcPr>
            <w:tcW w:type="dxa" w:w="2093"/>
          </w:tcPr>
          <w:p>
            <w:pPr>
              <w:pStyle w:val="Compact"/>
              <w:jc w:val="right"/>
            </w:pPr>
            <w:r>
              <w:t xml:space="preserve">0.0000</w:t>
            </w:r>
          </w:p>
        </w:tc>
        <w:tc>
          <w:tcPr>
            <w:tcW w:type="dxa" w:w="1694"/>
          </w:tcPr>
          <w:p>
            <w:pPr>
              <w:pStyle w:val="Compact"/>
              <w:jc w:val="right"/>
            </w:pPr>
            <w:r>
              <w:t xml:space="preserve">0.7715</w:t>
            </w:r>
          </w:p>
        </w:tc>
        <w:tc>
          <w:tcPr>
            <w:tcW w:type="dxa" w:w="1694"/>
          </w:tcPr>
          <w:p>
            <w:pPr>
              <w:pStyle w:val="Compact"/>
              <w:jc w:val="right"/>
            </w:pPr>
            <w:r>
              <w:t xml:space="preserve">4.3725</w:t>
            </w:r>
          </w:p>
        </w:tc>
      </w:tr>
      <w:tr>
        <w:trPr>
          <w:cantSplit/>
        </w:trPr>
        <w:tc>
          <w:tcPr>
            <w:tcW w:type="dxa" w:w="1096"/>
          </w:tcPr>
          <w:p>
            <w:pPr>
              <w:pStyle w:val="Compact"/>
              <w:jc w:val="right"/>
            </w:pPr>
            <w:r>
              <w:t xml:space="preserve">2750</w:t>
            </w:r>
          </w:p>
        </w:tc>
        <w:tc>
          <w:tcPr>
            <w:tcW w:type="dxa" w:w="2491"/>
          </w:tcPr>
          <w:p>
            <w:pPr>
              <w:pStyle w:val="Compact"/>
              <w:jc w:val="right"/>
            </w:pPr>
            <w:r>
              <w:t xml:space="preserve">−0.5132</w:t>
            </w:r>
          </w:p>
        </w:tc>
        <w:tc>
          <w:tcPr>
            <w:tcW w:type="dxa" w:w="2093"/>
          </w:tcPr>
          <w:p>
            <w:pPr>
              <w:pStyle w:val="Compact"/>
              <w:jc w:val="right"/>
            </w:pPr>
            <w:r>
              <w:t xml:space="preserve">−0.5069</w:t>
            </w:r>
          </w:p>
        </w:tc>
        <w:tc>
          <w:tcPr>
            <w:tcW w:type="dxa" w:w="1694"/>
          </w:tcPr>
          <w:p>
            <w:pPr>
              <w:pStyle w:val="Compact"/>
              <w:jc w:val="right"/>
            </w:pPr>
            <w:r>
              <w:t xml:space="preserve">−0.2689</w:t>
            </w:r>
          </w:p>
        </w:tc>
        <w:tc>
          <w:tcPr>
            <w:tcW w:type="dxa" w:w="1694"/>
          </w:tcPr>
          <w:p>
            <w:pPr>
              <w:pStyle w:val="Compact"/>
              <w:jc w:val="right"/>
            </w:pPr>
            <w:r>
              <w:t xml:space="preserve">2.2975</w:t>
            </w:r>
          </w:p>
        </w:tc>
      </w:tr>
      <w:tr>
        <w:trPr>
          <w:cantSplit/>
        </w:trPr>
        <w:tc>
          <w:tcPr>
            <w:tcW w:type="dxa" w:w="1096"/>
          </w:tcPr>
          <w:p>
            <w:pPr>
              <w:pStyle w:val="Compact"/>
              <w:jc w:val="right"/>
            </w:pPr>
            <w:r>
              <w:t xml:space="preserve">3000</w:t>
            </w:r>
          </w:p>
        </w:tc>
        <w:tc>
          <w:tcPr>
            <w:tcW w:type="dxa" w:w="2491"/>
          </w:tcPr>
          <w:p>
            <w:pPr>
              <w:pStyle w:val="Compact"/>
              <w:jc w:val="right"/>
            </w:pPr>
            <w:r>
              <w:t xml:space="preserve">−0.8644</w:t>
            </w:r>
          </w:p>
        </w:tc>
        <w:tc>
          <w:tcPr>
            <w:tcW w:type="dxa" w:w="2093"/>
          </w:tcPr>
          <w:p>
            <w:pPr>
              <w:pStyle w:val="Compact"/>
              <w:jc w:val="right"/>
            </w:pPr>
            <w:r>
              <w:t xml:space="preserve">−0.8556</w:t>
            </w:r>
          </w:p>
        </w:tc>
        <w:tc>
          <w:tcPr>
            <w:tcW w:type="dxa" w:w="1694"/>
          </w:tcPr>
          <w:p>
            <w:pPr>
              <w:pStyle w:val="Compact"/>
              <w:jc w:val="right"/>
            </w:pPr>
            <w:r>
              <w:t xml:space="preserve">−1.0063</w:t>
            </w:r>
          </w:p>
        </w:tc>
        <w:tc>
          <w:tcPr>
            <w:tcW w:type="dxa" w:w="1694"/>
          </w:tcPr>
          <w:p>
            <w:pPr>
              <w:pStyle w:val="Compact"/>
              <w:jc w:val="right"/>
            </w:pPr>
            <w:r>
              <w:t xml:space="preserve">0.3021</w:t>
            </w:r>
          </w:p>
        </w:tc>
      </w:tr>
      <w:tr>
        <w:trPr>
          <w:cantSplit/>
        </w:trPr>
        <w:tc>
          <w:tcPr>
            <w:tcW w:type="dxa" w:w="1096"/>
          </w:tcPr>
          <w:p>
            <w:pPr>
              <w:pStyle w:val="Compact"/>
              <w:jc w:val="right"/>
            </w:pPr>
            <w:r>
              <w:t xml:space="preserve">3250</w:t>
            </w:r>
          </w:p>
        </w:tc>
        <w:tc>
          <w:tcPr>
            <w:tcW w:type="dxa" w:w="2491"/>
          </w:tcPr>
          <w:p>
            <w:pPr>
              <w:pStyle w:val="Compact"/>
              <w:jc w:val="right"/>
            </w:pPr>
            <w:r>
              <w:t xml:space="preserve">−1.0715</w:t>
            </w:r>
          </w:p>
        </w:tc>
        <w:tc>
          <w:tcPr>
            <w:tcW w:type="dxa" w:w="2093"/>
          </w:tcPr>
          <w:p>
            <w:pPr>
              <w:pStyle w:val="Compact"/>
              <w:jc w:val="right"/>
            </w:pPr>
            <w:r>
              <w:t xml:space="preserve">−1.0600</w:t>
            </w:r>
          </w:p>
        </w:tc>
        <w:tc>
          <w:tcPr>
            <w:tcW w:type="dxa" w:w="1694"/>
          </w:tcPr>
          <w:p>
            <w:pPr>
              <w:pStyle w:val="Compact"/>
              <w:jc w:val="right"/>
            </w:pPr>
            <w:r>
              <w:t xml:space="preserve">−1.4988</w:t>
            </w:r>
          </w:p>
        </w:tc>
        <w:tc>
          <w:tcPr>
            <w:tcW w:type="dxa" w:w="1694"/>
          </w:tcPr>
          <w:p>
            <w:pPr>
              <w:pStyle w:val="Compact"/>
              <w:jc w:val="right"/>
            </w:pPr>
            <w:r>
              <w:t xml:space="preserve">−1.2588</w:t>
            </w:r>
          </w:p>
        </w:tc>
      </w:tr>
      <w:tr>
        <w:trPr>
          <w:cantSplit/>
        </w:trPr>
        <w:tc>
          <w:tcPr>
            <w:tcW w:type="dxa" w:w="1096"/>
          </w:tcPr>
          <w:p>
            <w:pPr>
              <w:pStyle w:val="Compact"/>
              <w:jc w:val="right"/>
            </w:pPr>
            <w:r>
              <w:t xml:space="preserve">3500</w:t>
            </w:r>
          </w:p>
        </w:tc>
        <w:tc>
          <w:tcPr>
            <w:tcW w:type="dxa" w:w="2491"/>
          </w:tcPr>
          <w:p>
            <w:pPr>
              <w:pStyle w:val="Compact"/>
              <w:jc w:val="right"/>
            </w:pPr>
            <w:r>
              <w:t xml:space="preserve">−1.1526</w:t>
            </w:r>
          </w:p>
        </w:tc>
        <w:tc>
          <w:tcPr>
            <w:tcW w:type="dxa" w:w="2093"/>
          </w:tcPr>
          <w:p>
            <w:pPr>
              <w:pStyle w:val="Compact"/>
              <w:jc w:val="right"/>
            </w:pPr>
            <w:r>
              <w:t xml:space="preserve">−1.1438</w:t>
            </w:r>
          </w:p>
        </w:tc>
        <w:tc>
          <w:tcPr>
            <w:tcW w:type="dxa" w:w="1694"/>
          </w:tcPr>
          <w:p>
            <w:pPr>
              <w:pStyle w:val="Compact"/>
              <w:jc w:val="right"/>
            </w:pPr>
            <w:r>
              <w:t xml:space="preserve">−1.7813</w:t>
            </w:r>
          </w:p>
        </w:tc>
        <w:tc>
          <w:tcPr>
            <w:tcW w:type="dxa" w:w="1694"/>
          </w:tcPr>
          <w:p>
            <w:pPr>
              <w:pStyle w:val="Compact"/>
              <w:jc w:val="right"/>
            </w:pPr>
            <w:r>
              <w:t xml:space="preserve">−2.3650</w:t>
            </w:r>
          </w:p>
        </w:tc>
      </w:tr>
      <w:tr>
        <w:trPr>
          <w:cantSplit/>
        </w:trPr>
        <w:tc>
          <w:tcPr>
            <w:tcW w:type="dxa" w:w="1096"/>
          </w:tcPr>
          <w:p>
            <w:pPr>
              <w:pStyle w:val="Compact"/>
              <w:jc w:val="right"/>
            </w:pPr>
            <w:r>
              <w:t xml:space="preserve">3750</w:t>
            </w:r>
          </w:p>
        </w:tc>
        <w:tc>
          <w:tcPr>
            <w:tcW w:type="dxa" w:w="2491"/>
          </w:tcPr>
          <w:p>
            <w:pPr>
              <w:pStyle w:val="Compact"/>
              <w:jc w:val="right"/>
            </w:pPr>
            <w:r>
              <w:t xml:space="preserve">−1.1255</w:t>
            </w:r>
          </w:p>
        </w:tc>
        <w:tc>
          <w:tcPr>
            <w:tcW w:type="dxa" w:w="2093"/>
          </w:tcPr>
          <w:p>
            <w:pPr>
              <w:pStyle w:val="Compact"/>
              <w:jc w:val="right"/>
            </w:pPr>
            <w:r>
              <w:t xml:space="preserve">−1.1200</w:t>
            </w:r>
          </w:p>
        </w:tc>
        <w:tc>
          <w:tcPr>
            <w:tcW w:type="dxa" w:w="1694"/>
          </w:tcPr>
          <w:p>
            <w:pPr>
              <w:pStyle w:val="Compact"/>
              <w:jc w:val="right"/>
            </w:pPr>
            <w:r>
              <w:t xml:space="preserve">−1.8600</w:t>
            </w:r>
          </w:p>
        </w:tc>
        <w:tc>
          <w:tcPr>
            <w:tcW w:type="dxa" w:w="1694"/>
          </w:tcPr>
          <w:p>
            <w:pPr>
              <w:pStyle w:val="Compact"/>
              <w:jc w:val="right"/>
            </w:pPr>
            <w:r>
              <w:t xml:space="preserve">−3.0363</w:t>
            </w:r>
          </w:p>
        </w:tc>
      </w:tr>
      <w:tr>
        <w:trPr>
          <w:cantSplit/>
        </w:trPr>
        <w:tc>
          <w:tcPr>
            <w:tcW w:type="dxa" w:w="1096"/>
          </w:tcPr>
          <w:p>
            <w:pPr>
              <w:pStyle w:val="Compact"/>
              <w:jc w:val="right"/>
            </w:pPr>
            <w:r>
              <w:t xml:space="preserve">4000</w:t>
            </w:r>
          </w:p>
        </w:tc>
        <w:tc>
          <w:tcPr>
            <w:tcW w:type="dxa" w:w="2491"/>
          </w:tcPr>
          <w:p>
            <w:pPr>
              <w:pStyle w:val="Compact"/>
              <w:jc w:val="right"/>
            </w:pPr>
            <w:r>
              <w:t xml:space="preserve">−1.0085</w:t>
            </w:r>
          </w:p>
        </w:tc>
        <w:tc>
          <w:tcPr>
            <w:tcW w:type="dxa" w:w="2093"/>
          </w:tcPr>
          <w:p>
            <w:pPr>
              <w:pStyle w:val="Compact"/>
              <w:jc w:val="right"/>
            </w:pPr>
            <w:r>
              <w:t xml:space="preserve">−1.0013</w:t>
            </w:r>
          </w:p>
        </w:tc>
        <w:tc>
          <w:tcPr>
            <w:tcW w:type="dxa" w:w="1694"/>
          </w:tcPr>
          <w:p>
            <w:pPr>
              <w:pStyle w:val="Compact"/>
              <w:jc w:val="right"/>
            </w:pPr>
            <w:r>
              <w:t xml:space="preserve">−1.7738</w:t>
            </w:r>
          </w:p>
        </w:tc>
        <w:tc>
          <w:tcPr>
            <w:tcW w:type="dxa" w:w="1694"/>
          </w:tcPr>
          <w:p>
            <w:pPr>
              <w:pStyle w:val="Compact"/>
              <w:jc w:val="right"/>
            </w:pPr>
            <w:r>
              <w:t xml:space="preserve">−3.3300</w:t>
            </w:r>
          </w:p>
        </w:tc>
      </w:tr>
      <w:tr>
        <w:trPr>
          <w:cantSplit/>
        </w:trPr>
        <w:tc>
          <w:tcPr>
            <w:tcW w:type="dxa" w:w="1096"/>
          </w:tcPr>
          <w:p>
            <w:pPr>
              <w:pStyle w:val="Compact"/>
              <w:jc w:val="right"/>
            </w:pPr>
            <w:r>
              <w:t xml:space="preserve">4250</w:t>
            </w:r>
          </w:p>
        </w:tc>
        <w:tc>
          <w:tcPr>
            <w:tcW w:type="dxa" w:w="2491"/>
          </w:tcPr>
          <w:p>
            <w:pPr>
              <w:pStyle w:val="Compact"/>
              <w:jc w:val="right"/>
            </w:pPr>
            <w:r>
              <w:t xml:space="preserve">−0.8194</w:t>
            </w:r>
          </w:p>
        </w:tc>
        <w:tc>
          <w:tcPr>
            <w:tcW w:type="dxa" w:w="2093"/>
          </w:tcPr>
          <w:p>
            <w:pPr>
              <w:pStyle w:val="Compact"/>
              <w:jc w:val="right"/>
            </w:pPr>
            <w:r>
              <w:t xml:space="preserve">−0.8175</w:t>
            </w:r>
          </w:p>
        </w:tc>
        <w:tc>
          <w:tcPr>
            <w:tcW w:type="dxa" w:w="1694"/>
          </w:tcPr>
          <w:p>
            <w:pPr>
              <w:pStyle w:val="Compact"/>
              <w:jc w:val="right"/>
            </w:pPr>
            <w:r>
              <w:t xml:space="preserve">−1.5525</w:t>
            </w:r>
          </w:p>
        </w:tc>
        <w:tc>
          <w:tcPr>
            <w:tcW w:type="dxa" w:w="1694"/>
          </w:tcPr>
          <w:p>
            <w:pPr>
              <w:pStyle w:val="Compact"/>
              <w:jc w:val="right"/>
            </w:pPr>
            <w:r>
              <w:t xml:space="preserve">−3.2663</w:t>
            </w:r>
          </w:p>
        </w:tc>
      </w:tr>
      <w:tr>
        <w:trPr>
          <w:cantSplit/>
        </w:trPr>
        <w:tc>
          <w:tcPr>
            <w:tcW w:type="dxa" w:w="1096"/>
          </w:tcPr>
          <w:p>
            <w:pPr>
              <w:pStyle w:val="Compact"/>
              <w:jc w:val="right"/>
            </w:pPr>
            <w:r>
              <w:t xml:space="preserve">4500</w:t>
            </w:r>
          </w:p>
        </w:tc>
        <w:tc>
          <w:tcPr>
            <w:tcW w:type="dxa" w:w="2491"/>
          </w:tcPr>
          <w:p>
            <w:pPr>
              <w:pStyle w:val="Compact"/>
              <w:jc w:val="right"/>
            </w:pPr>
            <w:r>
              <w:t xml:space="preserve">−0.5763</w:t>
            </w:r>
          </w:p>
        </w:tc>
        <w:tc>
          <w:tcPr>
            <w:tcW w:type="dxa" w:w="2093"/>
          </w:tcPr>
          <w:p>
            <w:pPr>
              <w:pStyle w:val="Compact"/>
              <w:jc w:val="right"/>
            </w:pPr>
            <w:r>
              <w:t xml:space="preserve">−0.5816</w:t>
            </w:r>
          </w:p>
        </w:tc>
        <w:tc>
          <w:tcPr>
            <w:tcW w:type="dxa" w:w="1694"/>
          </w:tcPr>
          <w:p>
            <w:pPr>
              <w:pStyle w:val="Compact"/>
              <w:jc w:val="right"/>
            </w:pPr>
            <w:r>
              <w:t xml:space="preserve">−1.2213</w:t>
            </w:r>
          </w:p>
        </w:tc>
        <w:tc>
          <w:tcPr>
            <w:tcW w:type="dxa" w:w="1694"/>
          </w:tcPr>
          <w:p>
            <w:pPr>
              <w:pStyle w:val="Compact"/>
              <w:jc w:val="right"/>
            </w:pPr>
            <w:r>
              <w:t xml:space="preserve">−2.9450</w:t>
            </w:r>
          </w:p>
        </w:tc>
      </w:tr>
      <w:tr>
        <w:trPr>
          <w:cantSplit/>
        </w:trPr>
        <w:tc>
          <w:tcPr>
            <w:tcW w:type="dxa" w:w="1096"/>
          </w:tcPr>
          <w:p>
            <w:pPr>
              <w:pStyle w:val="Compact"/>
              <w:jc w:val="right"/>
            </w:pPr>
            <w:r>
              <w:t xml:space="preserve">4750</w:t>
            </w:r>
          </w:p>
        </w:tc>
        <w:tc>
          <w:tcPr>
            <w:tcW w:type="dxa" w:w="2491"/>
          </w:tcPr>
          <w:p>
            <w:pPr>
              <w:pStyle w:val="Compact"/>
              <w:jc w:val="right"/>
            </w:pPr>
            <w:r>
              <w:t xml:space="preserve">−0.2971</w:t>
            </w:r>
          </w:p>
        </w:tc>
        <w:tc>
          <w:tcPr>
            <w:tcW w:type="dxa" w:w="2093"/>
          </w:tcPr>
          <w:p>
            <w:pPr>
              <w:pStyle w:val="Compact"/>
              <w:jc w:val="right"/>
            </w:pPr>
            <w:r>
              <w:t xml:space="preserve">−0.3019</w:t>
            </w:r>
          </w:p>
        </w:tc>
        <w:tc>
          <w:tcPr>
            <w:tcW w:type="dxa" w:w="1694"/>
          </w:tcPr>
          <w:p>
            <w:pPr>
              <w:pStyle w:val="Compact"/>
              <w:jc w:val="right"/>
            </w:pPr>
            <w:r>
              <w:t xml:space="preserve">−0.8125</w:t>
            </w:r>
          </w:p>
        </w:tc>
        <w:tc>
          <w:tcPr>
            <w:tcW w:type="dxa" w:w="1694"/>
          </w:tcPr>
          <w:p>
            <w:pPr>
              <w:pStyle w:val="Compact"/>
              <w:jc w:val="right"/>
            </w:pPr>
            <w:r>
              <w:t xml:space="preserve">−2.4125</w:t>
            </w:r>
          </w:p>
        </w:tc>
      </w:tr>
      <w:tr>
        <w:trPr>
          <w:cantSplit/>
        </w:trPr>
        <w:tc>
          <w:tcPr>
            <w:tcW w:type="dxa" w:w="1096"/>
          </w:tcPr>
          <w:p>
            <w:pPr>
              <w:pStyle w:val="Compact"/>
              <w:jc w:val="right"/>
            </w:pPr>
            <w:r>
              <w:t xml:space="preserve">5000</w:t>
            </w:r>
          </w:p>
        </w:tc>
        <w:tc>
          <w:tcPr>
            <w:tcW w:type="dxa" w:w="2491"/>
          </w:tcPr>
          <w:p>
            <w:pPr>
              <w:pStyle w:val="Compact"/>
              <w:jc w:val="right"/>
            </w:pPr>
            <w:r>
              <w:t xml:space="preserve">0.0000</w:t>
            </w:r>
          </w:p>
        </w:tc>
        <w:tc>
          <w:tcPr>
            <w:tcW w:type="dxa" w:w="2093"/>
          </w:tcPr>
          <w:p>
            <w:pPr>
              <w:pStyle w:val="Compact"/>
              <w:jc w:val="right"/>
            </w:pPr>
            <w:r>
              <w:t xml:space="preserve">0.0000</w:t>
            </w:r>
          </w:p>
        </w:tc>
        <w:tc>
          <w:tcPr>
            <w:tcW w:type="dxa" w:w="1694"/>
          </w:tcPr>
          <w:p>
            <w:pPr>
              <w:pStyle w:val="Compact"/>
              <w:jc w:val="right"/>
            </w:pPr>
            <w:r>
              <w:t xml:space="preserve">−0.3325</w:t>
            </w:r>
          </w:p>
        </w:tc>
        <w:tc>
          <w:tcPr>
            <w:tcW w:type="dxa" w:w="1694"/>
          </w:tcPr>
          <w:p>
            <w:pPr>
              <w:pStyle w:val="Compact"/>
              <w:jc w:val="right"/>
            </w:pPr>
            <w:r>
              <w:t xml:space="preserve">−1.7088</w:t>
            </w:r>
          </w:p>
        </w:tc>
      </w:tr>
      <w:tr>
        <w:trPr>
          <w:cantSplit/>
        </w:trPr>
        <w:tc>
          <w:tcPr>
            <w:tcW w:type="dxa" w:w="1096"/>
          </w:tcPr>
          <w:p>
            <w:pPr>
              <w:pStyle w:val="Compact"/>
              <w:jc w:val="right"/>
            </w:pPr>
            <w:r>
              <w:t xml:space="preserve">5250</w:t>
            </w:r>
          </w:p>
        </w:tc>
        <w:tc>
          <w:tcPr>
            <w:tcW w:type="dxa" w:w="2491"/>
          </w:tcPr>
          <w:p>
            <w:pPr>
              <w:pStyle w:val="Compact"/>
              <w:jc w:val="right"/>
            </w:pPr>
          </w:p>
        </w:tc>
        <w:tc>
          <w:tcPr>
            <w:tcW w:type="dxa" w:w="2093"/>
          </w:tcPr>
          <w:p>
            <w:pPr>
              <w:pStyle w:val="Compact"/>
              <w:jc w:val="right"/>
            </w:pPr>
          </w:p>
        </w:tc>
        <w:tc>
          <w:tcPr>
            <w:tcW w:type="dxa" w:w="1694"/>
          </w:tcPr>
          <w:p>
            <w:pPr>
              <w:pStyle w:val="Compact"/>
              <w:jc w:val="right"/>
            </w:pPr>
            <w:r>
              <w:t xml:space="preserve">0.0000</w:t>
            </w:r>
          </w:p>
        </w:tc>
        <w:tc>
          <w:tcPr>
            <w:tcW w:type="dxa" w:w="1694"/>
          </w:tcPr>
          <w:p>
            <w:pPr>
              <w:pStyle w:val="Compact"/>
              <w:jc w:val="right"/>
            </w:pPr>
            <w:r>
              <w:t xml:space="preserve">−1.0713</w:t>
            </w:r>
          </w:p>
        </w:tc>
      </w:tr>
      <w:tr>
        <w:trPr>
          <w:cantSplit/>
        </w:trPr>
        <w:tc>
          <w:tcPr>
            <w:tcW w:type="dxa" w:w="1096"/>
          </w:tcPr>
          <w:p>
            <w:pPr>
              <w:pStyle w:val="Compact"/>
              <w:jc w:val="right"/>
            </w:pPr>
            <w:r>
              <w:t xml:space="preserve">5500</w:t>
            </w:r>
          </w:p>
        </w:tc>
        <w:tc>
          <w:tcPr>
            <w:tcW w:type="dxa" w:w="2491"/>
          </w:tcPr>
          <w:p>
            <w:pPr>
              <w:pStyle w:val="Compact"/>
              <w:jc w:val="right"/>
            </w:pPr>
          </w:p>
        </w:tc>
        <w:tc>
          <w:tcPr>
            <w:tcW w:type="dxa" w:w="2093"/>
          </w:tcPr>
          <w:p>
            <w:pPr>
              <w:pStyle w:val="Compact"/>
              <w:jc w:val="right"/>
            </w:pPr>
          </w:p>
        </w:tc>
        <w:tc>
          <w:tcPr>
            <w:tcW w:type="dxa" w:w="1694"/>
          </w:tcPr>
          <w:p>
            <w:pPr>
              <w:pStyle w:val="Compact"/>
              <w:jc w:val="right"/>
            </w:pPr>
          </w:p>
        </w:tc>
        <w:tc>
          <w:tcPr>
            <w:tcW w:type="dxa" w:w="1694"/>
          </w:tcPr>
          <w:p>
            <w:pPr>
              <w:pStyle w:val="Compact"/>
              <w:jc w:val="right"/>
            </w:pPr>
            <w:r>
              <w:t xml:space="preserve">−0.3650</w:t>
            </w:r>
          </w:p>
        </w:tc>
      </w:tr>
      <w:tr>
        <w:trPr>
          <w:cantSplit/>
        </w:trPr>
        <w:tc>
          <w:tcPr>
            <w:tcW w:type="dxa" w:w="1096"/>
          </w:tcPr>
          <w:p>
            <w:pPr>
              <w:pStyle w:val="Compact"/>
              <w:jc w:val="right"/>
            </w:pPr>
            <w:r>
              <w:t xml:space="preserve">5750</w:t>
            </w:r>
          </w:p>
        </w:tc>
        <w:tc>
          <w:tcPr>
            <w:tcW w:type="dxa" w:w="2491"/>
          </w:tcPr>
          <w:p>
            <w:pPr>
              <w:pStyle w:val="Compact"/>
              <w:jc w:val="right"/>
            </w:pPr>
          </w:p>
        </w:tc>
        <w:tc>
          <w:tcPr>
            <w:tcW w:type="dxa" w:w="2093"/>
          </w:tcPr>
          <w:p>
            <w:pPr>
              <w:pStyle w:val="Compact"/>
              <w:jc w:val="right"/>
            </w:pPr>
          </w:p>
        </w:tc>
        <w:tc>
          <w:tcPr>
            <w:tcW w:type="dxa" w:w="1694"/>
          </w:tcPr>
          <w:p>
            <w:pPr>
              <w:pStyle w:val="Compact"/>
              <w:jc w:val="right"/>
            </w:pPr>
          </w:p>
        </w:tc>
        <w:tc>
          <w:tcPr>
            <w:tcW w:type="dxa" w:w="1694"/>
          </w:tcPr>
          <w:p>
            <w:pPr>
              <w:pStyle w:val="Compact"/>
              <w:jc w:val="right"/>
            </w:pPr>
            <w:r>
              <w:t xml:space="preserve">0.0000</w:t>
            </w:r>
          </w:p>
        </w:tc>
      </w:tr>
    </w:tbl>
    <w:bookmarkEnd w:id="49"/>
    <w:bookmarkStart w:id="65" w:name="s7.-public-field-records"/>
    <w:p>
      <w:pPr>
        <w:pStyle w:val="Heading2"/>
      </w:pPr>
      <w:r>
        <w:t xml:space="preserve">S7. Public field records</w:t>
      </w:r>
    </w:p>
    <w:p>
      <w:pPr>
        <w:pStyle w:val="FirstParagraph"/>
      </w:pPr>
      <w:r>
        <w:t xml:space="preserve">Data. The strain transducers of the Virginia Smart Road Bridge lie 158.5 m from the first abutment, at longitudinal stations about 2 m apart under the wheel path. Day 1 has 12 channels in three groups: four wheel-path gauges with clear axle spikes (ch4, ch5, ch11, ch12), a partner gauge at each of these four stations, and four further gauges without axle spikes (ch1, ch2, ch8, ch9). The bridge depth is about 3.8 m at mid-span and 9.5 m at the piers. Sampling was 100 Hz on day 1 and 200 Hz on day 2. The day-1 driver-reported gross weights were 21.2–22.8 t for the runs used. Errors are given as a percentage of the gross vehicle weight (GVW). Because the weights vary by only a few percent within each day, a predictor that always returns the mean calibration weight already has a mean absolute error (MAE) of 2.0 % on day 2 and 2.2 % on day 1, and the field data test the scatter and invariance of the integral constant rather than the ability to discriminate weights.</w:t>
      </w:r>
    </w:p>
    <w:p>
      <w:pPr>
        <w:pStyle w:val="BodyText"/>
      </w:pPr>
      <w:r>
        <w:t xml:space="preserve">Processing. Speeds were obtained from the axle spikes and the measured wheelbase and agree with the dataset authors’ processing script within 1.4 % on average (at most 4.6 % for a single run). A low-pass fit of the records gives lane-A speeds 1.139 times the spike speeds (median; standard deviation (SD) 0.124; 22 runs). Lane-B speeds were taken from the lag between gauges. Records were integrated over the whole time the truck was on the bridge plus 5 s at each end. Three day-1 runs with two trucks on the bridge and four passes without documented weights were excluded. Vehicle-free noise windows were at least 70 s from any detected vehicle.</w:t>
      </w:r>
    </w:p>
    <w:p>
      <w:pPr>
        <w:pStyle w:val="BodyText"/>
      </w:pPr>
      <w:r>
        <w:t xml:space="preserve">Invariance and speed. On day 1, eight of the 12 gauges have a coefficient of variation (CV) of 5.8–13.5 %, consistent with the noise (</w:t>
      </w:r>
      <m:oMath>
        <m:sSup>
          <m:e>
            <m:r>
              <m:t>χ</m:t>
            </m:r>
          </m:e>
          <m:sup>
            <m:r>
              <m:t>2</m:t>
            </m:r>
          </m:sup>
        </m:sSup>
      </m:oMath>
      <w:r>
        <w:t xml:space="preserve"> </w:t>
      </w:r>
      <m:oMath>
        <m:r>
          <m:t>p</m:t>
        </m:r>
      </m:oMath>
      <w:r>
        <w:t xml:space="preserve"> </w:t>
      </w:r>
      <w:r>
        <w:t xml:space="preserve">= 0.13–0.71; Table S6), but only ch11 shows equal constants for both trucks within ±10 % (main-text Fig. 5a); each equivalence test wrongly declares equivalence with probability at most 5 %, so chance alone would produce at most about 0.6 passes in 12 tests, and one pass is weak evidence. The first truck ran at 10.4–12.8 m/s and the second at 19.1–19.8 m/s, so speed and truck are almost perfectly confounded (correlation 0.98). Day-2 speeds were 13–28 m/s; no speed effect was resolved (+6 % per 10 m/s, 95 % CI −23 to +35 %), but the confidence interval of the slope is too wide to call the constant speed-independent (Fig. S9). Equivalence was tested by two one-sided tests (TOST; Table S7); for the day-2 gauge average, the 90 % CI used for the equivalence test is 0.76–1.27, so differences of up to about 27 % cannot be excluded. Day-2 noise amplitudes at the median speed were 13.7–32.8 µε m.</w:t>
      </w:r>
    </w:p>
    <w:p>
      <w:pPr>
        <w:pStyle w:val="Figure"/>
      </w:pPr>
      <w:r>
        <w:drawing>
          <wp:inline>
            <wp:extent cx="5039999" cy="1819999"/>
            <wp:effectExtent b="0" l="0" r="0" t="0"/>
            <wp:docPr descr="" title="" id="51" name="Picture"/>
            <a:graphic>
              <a:graphicData uri="http://schemas.openxmlformats.org/drawingml/2006/picture">
                <pic:pic>
                  <pic:nvPicPr>
                    <pic:cNvPr descr="/home/user/SHM-Paper1-1D/manuscript/ase/figures/supplementary/FigS9_norbwim_speed.png" id="52" name="Picture"/>
                    <pic:cNvPicPr>
                      <a:picLocks noChangeArrowheads="1" noChangeAspect="1"/>
                    </pic:cNvPicPr>
                  </pic:nvPicPr>
                  <pic:blipFill>
                    <a:blip r:embed="rId50"/>
                    <a:stretch>
                      <a:fillRect/>
                    </a:stretch>
                  </pic:blipFill>
                  <pic:spPr bwMode="auto">
                    <a:xfrm>
                      <a:off x="0" y="0"/>
                      <a:ext cx="5039999" cy="1819999"/>
                    </a:xfrm>
                    <a:prstGeom prst="rect">
                      <a:avLst/>
                    </a:prstGeom>
                    <a:noFill/>
                    <a:ln w="9525">
                      <a:noFill/>
                      <a:headEnd/>
                      <a:tailEnd/>
                    </a:ln>
                  </pic:spPr>
                </pic:pic>
              </a:graphicData>
            </a:graphic>
          </wp:inline>
        </w:drawing>
      </w:r>
    </w:p>
    <w:p>
      <w:pPr>
        <w:pStyle w:val="Captionjustified"/>
        <w:keepLines/>
      </w:pPr>
      <w:r>
        <w:rPr>
          <w:bCs/>
          <w:b/>
        </w:rPr>
        <w:t xml:space="preserve">Figure S9.</w:t>
      </w:r>
      <w:r>
        <w:t xml:space="preserve"> </w:t>
      </w:r>
      <w:r>
        <w:t xml:space="preserve">NOR-BWIM: integral constant against speed for the day-1 gauge average, gauge ch1 and the day-2 gauge average, by truck; the panel titles give the fitted slope per 10 m/s with its 95 % CI.</w:t>
      </w:r>
    </w:p>
    <w:p>
      <w:pPr>
        <w:pStyle w:val="BodyText"/>
      </w:pPr>
      <w:r>
        <w:t xml:space="preserve">Lanes, superposition and gauges. In lane B, all channels have CV 31–40 %, and st36, st31 and the gauge average fail the</w:t>
      </w:r>
      <w:r>
        <w:t xml:space="preserve"> </w:t>
      </w:r>
      <m:oMath>
        <m:sSup>
          <m:e>
            <m:r>
              <m:t>χ</m:t>
            </m:r>
          </m:e>
          <m:sup>
            <m:r>
              <m:t>2</m:t>
            </m:r>
          </m:sup>
        </m:sSup>
      </m:oMath>
      <w:r>
        <w:t xml:space="preserve"> </w:t>
      </w:r>
      <w:r>
        <w:t xml:space="preserve">test (</w:t>
      </w:r>
      <m:oMath>
        <m:sSup>
          <m:e>
            <m:r>
              <m:t>χ</m:t>
            </m:r>
          </m:e>
          <m:sup>
            <m:r>
              <m:t>2</m:t>
            </m:r>
          </m:sup>
        </m:sSup>
      </m:oMath>
      <w:r>
        <w:t xml:space="preserve"> </w:t>
      </w:r>
      <m:oMath>
        <m:r>
          <m:t>p</m:t>
        </m:r>
      </m:oMath>
      <w:r>
        <w:t xml:space="preserve"> </w:t>
      </w:r>
      <w:r>
        <w:t xml:space="preserve">= 0.016–0.027). The st36 constant in lane B is 0.64 of that in lane A (95 % CI 0.47–0.81). The two-truck runs gave 0.92 and 0.92 of the summed single-truck predictions (pooled 95 % CI 0.77–1.06); the GLS combination gave 0.82 (95 % CI 0.73–0.91). A one-dimensional beam model predicts ch11/ch8 ratios of 0.978–1.003. The ratio of st36 to st40 constants is 3.24 ± 0.56 in lane A against 1.82 ± 0.10 in lane B (± one standard error), about 2.5 standard errors apart. For the gauge average the lane-B constant is 0.79 of that in lane A (95 % CI 0.59–1.00), so the lane effect is resolved only for st36. Lane-B speeds came from the lag between gauges, so the lane ratios also contain any difference between the two speed estimates.</w:t>
      </w:r>
    </w:p>
    <w:p>
      <w:pPr>
        <w:pStyle w:val="BodyText"/>
      </w:pPr>
      <w:r>
        <w:t xml:space="preserve">Estimators. Table S8 gives all out-of-sample errors, including leave-one-truck-out (LOTO) and the four wheel-path gauges of day 1; Fig. S10 also shows in-sample results. On day 2, GLS with the measured covariance was significantly worse than the gauge average (paired difference +8.5 percentage points, 95 % CI +2.3 to +15.1); on day 1 the estimators cannot be told apart, and on both days every estimator is worse than the mean-weight predictor. Table S9 and Fig. S11 give the correlations behind this result, and Table S10 shows that the covariance of the crossing residuals, unlike the vehicle-free covariance, predicts the observed order of GLS and gauge average. The day-2 per-crossing SD predicted by the vehicle-free covariance (% of GVW) is 16.2 for the best single gauge, 32.5 for the worst single gauge, 19.8 for the gauge average, 19.4 for GLS with diagonal Σ, 12.7 for GLS with measured Σ, 13.3 for the zero-sum estimator with measured Σ and 16.1 for the zero-sum estimator with Σ = identity. The GLS weights with the measured Σ are st40 +0.16 and st36 −0.35. GLS with Σ estimated from the crossing residuals has an MAE of 8.5 % of GVW in sample and 23.4 % out of sample (root-mean-square errors 10.4 % and 28.4 %), that is, it over-fits with eight runs.</w:t>
      </w:r>
    </w:p>
    <w:p>
      <w:pPr>
        <w:pStyle w:val="Figure"/>
      </w:pPr>
      <w:r>
        <w:drawing>
          <wp:inline>
            <wp:extent cx="5039999" cy="2239999"/>
            <wp:effectExtent b="0" l="0" r="0" t="0"/>
            <wp:docPr descr="" title="" id="54" name="Picture"/>
            <a:graphic>
              <a:graphicData uri="http://schemas.openxmlformats.org/drawingml/2006/picture">
                <pic:pic>
                  <pic:nvPicPr>
                    <pic:cNvPr descr="/home/user/SHM-Paper1-1D/manuscript/ase/figures/supplementary/FigS10_norbwim_estimators.png" id="55" name="Picture"/>
                    <pic:cNvPicPr>
                      <a:picLocks noChangeArrowheads="1" noChangeAspect="1"/>
                    </pic:cNvPicPr>
                  </pic:nvPicPr>
                  <pic:blipFill>
                    <a:blip r:embed="rId53"/>
                    <a:stretch>
                      <a:fillRect/>
                    </a:stretch>
                  </pic:blipFill>
                  <pic:spPr bwMode="auto">
                    <a:xfrm>
                      <a:off x="0" y="0"/>
                      <a:ext cx="5039999" cy="2239999"/>
                    </a:xfrm>
                    <a:prstGeom prst="rect">
                      <a:avLst/>
                    </a:prstGeom>
                    <a:noFill/>
                    <a:ln w="9525">
                      <a:noFill/>
                      <a:headEnd/>
                      <a:tailEnd/>
                    </a:ln>
                  </pic:spPr>
                </pic:pic>
              </a:graphicData>
            </a:graphic>
          </wp:inline>
        </w:drawing>
      </w:r>
    </w:p>
    <w:p>
      <w:pPr>
        <w:pStyle w:val="Captionjustified"/>
        <w:keepLines/>
      </w:pPr>
      <w:r>
        <w:rPr>
          <w:bCs/>
          <w:b/>
        </w:rPr>
        <w:t xml:space="preserve">Figure S10.</w:t>
      </w:r>
      <w:r>
        <w:t xml:space="preserve"> </w:t>
      </w:r>
      <w:r>
        <w:t xml:space="preserve">NOR-BWIM: mean absolute error of the gross weight for single-gauge, gauge-average, GLS, zero-sum and mean-weight predictors, with 95 % bootstrap confidence intervals: in sample (IN), leave-one-run-out (LOO) and leave-one-truck-out (LOTO). (a) Day 2, 4 gauges; (b) day 1, 4 wheel-path gauges; (c) day 1, 12 gauges (multi-gauge estimators use all 12; only the single gauges ch5 and ch11 are shown). GLS-diag: diagonal covariance; zero-sum-eq: zero-sum estimator with equal noise (</w:t>
      </w:r>
      <m:oMath>
        <m:r>
          <m:t>Σ</m:t>
        </m:r>
      </m:oMath>
      <w:r>
        <w:t xml:space="preserve"> </w:t>
      </w:r>
      <w:r>
        <w:t xml:space="preserve">= identity matrix); GLS-resid: covariance from crossing residuals.</w:t>
      </w:r>
    </w:p>
    <w:p>
      <w:pPr>
        <w:pStyle w:val="Figure"/>
      </w:pPr>
      <w:r>
        <w:drawing>
          <wp:inline>
            <wp:extent cx="5039999" cy="2309999"/>
            <wp:effectExtent b="0" l="0" r="0" t="0"/>
            <wp:docPr descr="" title="" id="57" name="Picture"/>
            <a:graphic>
              <a:graphicData uri="http://schemas.openxmlformats.org/drawingml/2006/picture">
                <pic:pic>
                  <pic:nvPicPr>
                    <pic:cNvPr descr="/home/user/SHM-Paper1-1D/manuscript/ase/figures/supplementary/FigS11_norbwim_noise_correlation.png" id="58" name="Picture"/>
                    <pic:cNvPicPr>
                      <a:picLocks noChangeArrowheads="1" noChangeAspect="1"/>
                    </pic:cNvPicPr>
                  </pic:nvPicPr>
                  <pic:blipFill>
                    <a:blip r:embed="rId56"/>
                    <a:stretch>
                      <a:fillRect/>
                    </a:stretch>
                  </pic:blipFill>
                  <pic:spPr bwMode="auto">
                    <a:xfrm>
                      <a:off x="0" y="0"/>
                      <a:ext cx="5039999" cy="2309999"/>
                    </a:xfrm>
                    <a:prstGeom prst="rect">
                      <a:avLst/>
                    </a:prstGeom>
                    <a:noFill/>
                    <a:ln w="9525">
                      <a:noFill/>
                      <a:headEnd/>
                      <a:tailEnd/>
                    </a:ln>
                  </pic:spPr>
                </pic:pic>
              </a:graphicData>
            </a:graphic>
          </wp:inline>
        </w:drawing>
      </w:r>
    </w:p>
    <w:p>
      <w:pPr>
        <w:pStyle w:val="Captionjustified"/>
        <w:keepLines/>
      </w:pPr>
      <w:r>
        <w:rPr>
          <w:bCs/>
          <w:b/>
        </w:rPr>
        <w:t xml:space="preserve">Figure S11.</w:t>
      </w:r>
      <w:r>
        <w:t xml:space="preserve"> </w:t>
      </w:r>
      <w:r>
        <w:t xml:space="preserve">NOR-BWIM: correlation matrices of the integrated vehicle-free noise between gauges, for windows of crossing length: (a) day 1 (12 gauges) and (b) day 2 (4 gauges);</w:t>
      </w:r>
      <w:r>
        <w:t xml:space="preserve"> </w:t>
      </w:r>
      <m:oMath>
        <m:r>
          <m:t>T</m:t>
        </m:r>
      </m:oMath>
      <w:r>
        <w:t xml:space="preserve">: window length.</w:t>
      </w:r>
    </w:p>
    <w:p>
      <w:pPr>
        <w:pStyle w:val="BodyText"/>
      </w:pPr>
      <w:r>
        <w:t xml:space="preserve">Beam model and limits. The beam model of the five-span girder (Euler–Bernoulli, parabolic haunch, second moment proportional to</w:t>
      </w:r>
      <w:r>
        <w:t xml:space="preserve"> </w:t>
      </w:r>
      <m:oMath>
        <m:sSup>
          <m:e>
            <m:r>
              <m:t>h</m:t>
            </m:r>
          </m:e>
          <m:sup>
            <m:r>
              <m:t>2</m:t>
            </m:r>
          </m:sup>
        </m:sSup>
      </m:oMath>
      <w:r>
        <w:t xml:space="preserve">) gives</w:t>
      </w:r>
      <w:r>
        <w:t xml:space="preserve"> </w:t>
      </w:r>
      <m:oMath>
        <m:sSup>
          <m:e>
            <m:r>
              <m:t>r</m:t>
            </m:r>
          </m:e>
          <m:sup>
            <m:r>
              <m:t>2</m:t>
            </m:r>
          </m:sup>
        </m:sSup>
      </m:oMath>
      <w:r>
        <w:t xml:space="preserve"> </w:t>
      </w:r>
      <w:r>
        <w:t xml:space="preserve">= 0.79–0.94 against the strain histories; zeros of the uniform-load moment in span 2 at 121.6 m and 190.8 m; a strain constant of the gauges 0.69 of the largest on the girder (0.56–0.93 across rigidity laws); a cancellation ratio</w:t>
      </w:r>
      <w:r>
        <w:t xml:space="preserve"> </w:t>
      </w:r>
      <m:oMath>
        <m:r>
          <m:t>R</m:t>
        </m:r>
      </m:oMath>
      <w:r>
        <w:t xml:space="preserve"> </w:t>
      </w:r>
      <w:r>
        <w:t xml:space="preserve">= 0.51; and contributions of span 2 of about 170 % of the net integral and of the adjacent spans −26 % and −66 % (Fig. S12). Figure S13 shows the synthetic records of the dataset authors processed with the same integration. The tests rest on four trucks, two axle counts and seven or eight runs per day. The gauge calibration factors and exact positions are not published, so absolute constants cannot be checked. The dataset authors reported a mean absolute GVW error of 4.6 % for their influence-line system on this bridge (Moghadam et al., 2023a); it was obtained on different runs and is not compared directly with the results of the main text.</w:t>
      </w:r>
    </w:p>
    <w:p>
      <w:pPr>
        <w:pStyle w:val="Figure"/>
      </w:pPr>
      <w:r>
        <w:drawing>
          <wp:inline>
            <wp:extent cx="5039999" cy="5319999"/>
            <wp:effectExtent b="0" l="0" r="0" t="0"/>
            <wp:docPr descr="" title="" id="60" name="Picture"/>
            <a:graphic>
              <a:graphicData uri="http://schemas.openxmlformats.org/drawingml/2006/picture">
                <pic:pic>
                  <pic:nvPicPr>
                    <pic:cNvPr descr="/home/user/SHM-Paper1-1D/manuscript/ase/figures/supplementary/FigS12_norbwim_beam_observability.png" id="61" name="Picture"/>
                    <pic:cNvPicPr>
                      <a:picLocks noChangeArrowheads="1" noChangeAspect="1"/>
                    </pic:cNvPicPr>
                  </pic:nvPicPr>
                  <pic:blipFill>
                    <a:blip r:embed="rId59"/>
                    <a:stretch>
                      <a:fillRect/>
                    </a:stretch>
                  </pic:blipFill>
                  <pic:spPr bwMode="auto">
                    <a:xfrm>
                      <a:off x="0" y="0"/>
                      <a:ext cx="5039999" cy="5319999"/>
                    </a:xfrm>
                    <a:prstGeom prst="rect">
                      <a:avLst/>
                    </a:prstGeom>
                    <a:noFill/>
                    <a:ln w="9525">
                      <a:noFill/>
                      <a:headEnd/>
                      <a:tailEnd/>
                    </a:ln>
                  </pic:spPr>
                </pic:pic>
              </a:graphicData>
            </a:graphic>
          </wp:inline>
        </w:drawing>
      </w:r>
    </w:p>
    <w:p>
      <w:pPr>
        <w:pStyle w:val="Captionjustified"/>
        <w:keepLines/>
      </w:pPr>
      <w:r>
        <w:rPr>
          <w:bCs/>
          <w:b/>
        </w:rPr>
        <w:t xml:space="preserve">Figure S12.</w:t>
      </w:r>
      <w:r>
        <w:t xml:space="preserve"> </w:t>
      </w:r>
      <w:r>
        <w:t xml:space="preserve">Five-span girder, beam model with uniform rigidity and two haunch laws: (a) uniform-load moment and (b) strain constant along the girder, normalized at the gauges, and (c) the single-gauge error expected from the measured noise for a 25 t truck. Red line: gauge position; dotted lines: zero-moment points.</w:t>
      </w:r>
    </w:p>
    <w:p>
      <w:pPr>
        <w:pStyle w:val="Figure"/>
      </w:pPr>
      <w:r>
        <w:drawing>
          <wp:inline>
            <wp:extent cx="5039999" cy="1959999"/>
            <wp:effectExtent b="0" l="0" r="0" t="0"/>
            <wp:docPr descr="" title="" id="63" name="Picture"/>
            <a:graphic>
              <a:graphicData uri="http://schemas.openxmlformats.org/drawingml/2006/picture">
                <pic:pic>
                  <pic:nvPicPr>
                    <pic:cNvPr descr="/home/user/SHM-Paper1-1D/manuscript/ase/figures/supplementary/FigS13_veb_synthetic.png" id="64" name="Picture"/>
                    <pic:cNvPicPr>
                      <a:picLocks noChangeArrowheads="1" noChangeAspect="1"/>
                    </pic:cNvPicPr>
                  </pic:nvPicPr>
                  <pic:blipFill>
                    <a:blip r:embed="rId62"/>
                    <a:stretch>
                      <a:fillRect/>
                    </a:stretch>
                  </pic:blipFill>
                  <pic:spPr bwMode="auto">
                    <a:xfrm>
                      <a:off x="0" y="0"/>
                      <a:ext cx="5039999" cy="1959999"/>
                    </a:xfrm>
                    <a:prstGeom prst="rect">
                      <a:avLst/>
                    </a:prstGeom>
                    <a:noFill/>
                    <a:ln w="9525">
                      <a:noFill/>
                      <a:headEnd/>
                      <a:tailEnd/>
                    </a:ln>
                  </pic:spPr>
                </pic:pic>
              </a:graphicData>
            </a:graphic>
          </wp:inline>
        </w:drawing>
      </w:r>
    </w:p>
    <w:p>
      <w:pPr>
        <w:pStyle w:val="Captionjustified"/>
        <w:keepLines/>
      </w:pPr>
      <w:r>
        <w:rPr>
          <w:bCs/>
          <w:b/>
        </w:rPr>
        <w:t xml:space="preserve">Figure S13.</w:t>
      </w:r>
      <w:r>
        <w:t xml:space="preserve"> </w:t>
      </w:r>
      <w:r>
        <w:t xml:space="preserve">Synthetic strain records of the dataset authors: integral per unit gross weight (a) by truck and lane, and (b) for a 3-axle truck against speed.</w:t>
      </w:r>
    </w:p>
    <w:p>
      <w:pPr>
        <w:pStyle w:val="BodyText"/>
        <w:keepNext/>
        <w:keepLines/>
      </w:pPr>
      <w:r>
        <w:rPr>
          <w:bCs/>
          <w:b/>
        </w:rPr>
        <w:t xml:space="preserve">Table S6.</w:t>
      </w:r>
      <w:r>
        <w:t xml:space="preserve"> </w:t>
      </w:r>
      <w:r>
        <w:t xml:space="preserve">Integral constant</w:t>
      </w:r>
      <w:r>
        <w:t xml:space="preserve"> </w:t>
      </w:r>
      <m:oMath>
        <m:r>
          <m:t>C</m:t>
        </m:r>
      </m:oMath>
      <w:r>
        <w:t xml:space="preserve"> </w:t>
      </w:r>
      <w:r>
        <w:t xml:space="preserve">and its scatter over the runs, lane A unless stated. CV expected: coefficient of variation predicted from the measured vehicle-free noise. For ch1, ch2, ch8 and ch9 the residual variance is 2.9–5.1 times the vehicle-free noise variance.</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2633"/>
        <w:gridCol w:w="804"/>
        <w:gridCol w:w="1755"/>
        <w:gridCol w:w="1536"/>
        <w:gridCol w:w="1389"/>
        <w:gridCol w:w="950"/>
      </w:tblGrid>
      <w:tr>
        <w:trPr>
          <w:tblHeader w:val="true"/>
          <w:tblHeader w:val="true"/>
          <w:cantSplit/>
        </w:trPr>
        <w:tc>
          <w:tcPr>
            <w:tcW w:type="dxa" w:w="2633"/>
            <w:tcBorders>
              <w:top w:val="nil"/>
              <w:left w:val="nil"/>
              <w:bottom w:val="single" w:sz="6" w:space="0" w:color="000000"/>
              <w:right w:val="nil"/>
            </w:tcBorders>
          </w:tcPr>
          <w:p>
            <w:pPr>
              <w:keepNext/>
              <w:pStyle w:val="Compact"/>
              <w:jc w:val="left"/>
            </w:pPr>
            <w:r>
              <w:t xml:space="preserve">Day, channel</w:t>
            </w:r>
          </w:p>
        </w:tc>
        <w:tc>
          <w:tcPr>
            <w:tcW w:type="dxa" w:w="804"/>
            <w:tcBorders>
              <w:top w:val="nil"/>
              <w:left w:val="nil"/>
              <w:bottom w:val="single" w:sz="6" w:space="0" w:color="000000"/>
              <w:right w:val="nil"/>
            </w:tcBorders>
          </w:tcPr>
          <w:p>
            <w:pPr>
              <w:keepNext/>
              <w:pStyle w:val="Compact"/>
              <w:jc w:val="right"/>
            </w:pPr>
            <w:r>
              <w:t xml:space="preserve">Runs</w:t>
            </w:r>
          </w:p>
        </w:tc>
        <w:tc>
          <w:tcPr>
            <w:tcW w:type="dxa" w:w="1755"/>
            <w:tcBorders>
              <w:top w:val="nil"/>
              <w:left w:val="nil"/>
              <w:bottom w:val="single" w:sz="6" w:space="0" w:color="000000"/>
              <w:right w:val="nil"/>
            </w:tcBorders>
          </w:tcPr>
          <w:p>
            <w:pPr>
              <w:keepNext/>
              <w:pStyle w:val="Compact"/>
              <w:jc w:val="right"/>
            </w:pPr>
            <m:oMath>
              <m:r>
                <m:t>C</m:t>
              </m:r>
            </m:oMath>
            <w:r>
              <w:t xml:space="preserve"> </w:t>
            </w:r>
            <w:r>
              <w:t xml:space="preserve">(µε m/t), 95 % CI</w:t>
            </w:r>
          </w:p>
        </w:tc>
        <w:tc>
          <w:tcPr>
            <w:tcW w:type="dxa" w:w="1536"/>
            <w:tcBorders>
              <w:top w:val="nil"/>
              <w:left w:val="nil"/>
              <w:bottom w:val="single" w:sz="6" w:space="0" w:color="000000"/>
              <w:right w:val="nil"/>
            </w:tcBorders>
          </w:tcPr>
          <w:p>
            <w:pPr>
              <w:keepNext/>
              <w:pStyle w:val="Compact"/>
              <w:jc w:val="right"/>
            </w:pPr>
            <w:r>
              <w:t xml:space="preserve">CV observed (%)</w:t>
            </w:r>
          </w:p>
        </w:tc>
        <w:tc>
          <w:tcPr>
            <w:tcW w:type="dxa" w:w="1389"/>
            <w:tcBorders>
              <w:top w:val="nil"/>
              <w:left w:val="nil"/>
              <w:bottom w:val="single" w:sz="6" w:space="0" w:color="000000"/>
              <w:right w:val="nil"/>
            </w:tcBorders>
          </w:tcPr>
          <w:p>
            <w:pPr>
              <w:keepNext/>
              <w:pStyle w:val="Compact"/>
              <w:jc w:val="right"/>
            </w:pPr>
            <w:r>
              <w:t xml:space="preserve">CV expected (%)</w:t>
            </w:r>
          </w:p>
        </w:tc>
        <w:tc>
          <w:tcPr>
            <w:tcW w:type="dxa" w:w="950"/>
            <w:tcBorders>
              <w:top w:val="nil"/>
              <w:left w:val="nil"/>
              <w:bottom w:val="single" w:sz="6" w:space="0" w:color="000000"/>
              <w:right w:val="nil"/>
            </w:tcBorders>
          </w:tcPr>
          <w:p>
            <w:pPr>
              <w:keepNext/>
              <w:pStyle w:val="Compact"/>
              <w:jc w:val="right"/>
            </w:pPr>
            <m:oMath>
              <m:sSup>
                <m:e>
                  <m:r>
                    <m:t>χ</m:t>
                  </m:r>
                </m:e>
                <m:sup>
                  <m:r>
                    <m:t>2</m:t>
                  </m:r>
                </m:sup>
              </m:sSup>
            </m:oMath>
            <w:r>
              <w:t xml:space="preserve"> </w:t>
            </w:r>
            <m:oMath>
              <m:r>
                <m:t>p</m:t>
              </m:r>
            </m:oMath>
          </w:p>
        </w:tc>
      </w:tr>
      <w:tr>
        <w:trPr>
          <w:cantSplit/>
        </w:trPr>
        <w:tc>
          <w:tcPr>
            <w:tcW w:type="dxa" w:w="2633"/>
          </w:tcPr>
          <w:p>
            <w:pPr>
              <w:keepNext/>
              <w:pStyle w:val="Compact"/>
              <w:jc w:val="left"/>
            </w:pPr>
            <w:r>
              <w:t xml:space="preserve">1, ch11 (best)</w:t>
            </w:r>
          </w:p>
        </w:tc>
        <w:tc>
          <w:tcPr>
            <w:tcW w:type="dxa" w:w="804"/>
          </w:tcPr>
          <w:p>
            <w:pPr>
              <w:keepNext/>
              <w:pStyle w:val="Compact"/>
              <w:jc w:val="right"/>
            </w:pPr>
            <w:r>
              <w:t xml:space="preserve">7</w:t>
            </w:r>
          </w:p>
        </w:tc>
        <w:tc>
          <w:tcPr>
            <w:tcW w:type="dxa" w:w="1755"/>
          </w:tcPr>
          <w:p>
            <w:pPr>
              <w:keepNext/>
              <w:pStyle w:val="Compact"/>
              <w:jc w:val="right"/>
            </w:pPr>
            <w:r>
              <w:t xml:space="preserve">−5.85 (−6.17, −5.53)</w:t>
            </w:r>
          </w:p>
        </w:tc>
        <w:tc>
          <w:tcPr>
            <w:tcW w:type="dxa" w:w="1536"/>
          </w:tcPr>
          <w:p>
            <w:pPr>
              <w:keepNext/>
              <w:pStyle w:val="Compact"/>
              <w:jc w:val="right"/>
            </w:pPr>
            <w:r>
              <w:t xml:space="preserve">5.8</w:t>
            </w:r>
          </w:p>
        </w:tc>
        <w:tc>
          <w:tcPr>
            <w:tcW w:type="dxa" w:w="1389"/>
          </w:tcPr>
          <w:p>
            <w:pPr>
              <w:keepNext/>
              <w:pStyle w:val="Compact"/>
              <w:jc w:val="right"/>
            </w:pPr>
            <w:r>
              <w:t xml:space="preserve">6.8</w:t>
            </w:r>
          </w:p>
        </w:tc>
        <w:tc>
          <w:tcPr>
            <w:tcW w:type="dxa" w:w="950"/>
          </w:tcPr>
          <w:p>
            <w:pPr>
              <w:keepNext/>
              <w:pStyle w:val="Compact"/>
              <w:jc w:val="right"/>
            </w:pPr>
            <w:r>
              <w:t xml:space="preserve">0.60</w:t>
            </w:r>
          </w:p>
        </w:tc>
      </w:tr>
      <w:tr>
        <w:trPr>
          <w:cantSplit/>
        </w:trPr>
        <w:tc>
          <w:tcPr>
            <w:tcW w:type="dxa" w:w="2633"/>
          </w:tcPr>
          <w:p>
            <w:pPr>
              <w:keepNext/>
              <w:pStyle w:val="Compact"/>
              <w:jc w:val="left"/>
            </w:pPr>
            <w:r>
              <w:t xml:space="preserve">1, gauge average (4 wheel-path gauges)</w:t>
            </w:r>
          </w:p>
        </w:tc>
        <w:tc>
          <w:tcPr>
            <w:tcW w:type="dxa" w:w="804"/>
          </w:tcPr>
          <w:p>
            <w:pPr>
              <w:keepNext/>
              <w:pStyle w:val="Compact"/>
              <w:jc w:val="right"/>
            </w:pPr>
            <w:r>
              <w:t xml:space="preserve">7</w:t>
            </w:r>
          </w:p>
        </w:tc>
        <w:tc>
          <w:tcPr>
            <w:tcW w:type="dxa" w:w="1755"/>
          </w:tcPr>
          <w:p>
            <w:pPr>
              <w:keepNext/>
              <w:pStyle w:val="Compact"/>
              <w:jc w:val="right"/>
            </w:pPr>
            <w:r>
              <w:t xml:space="preserve">−4.03 (−4.24, −3.82)</w:t>
            </w:r>
          </w:p>
        </w:tc>
        <w:tc>
          <w:tcPr>
            <w:tcW w:type="dxa" w:w="1536"/>
          </w:tcPr>
          <w:p>
            <w:pPr>
              <w:keepNext/>
              <w:pStyle w:val="Compact"/>
              <w:jc w:val="right"/>
            </w:pPr>
            <w:r>
              <w:t xml:space="preserve">5.6</w:t>
            </w:r>
          </w:p>
        </w:tc>
        <w:tc>
          <w:tcPr>
            <w:tcW w:type="dxa" w:w="1389"/>
          </w:tcPr>
          <w:p>
            <w:pPr>
              <w:keepNext/>
              <w:pStyle w:val="Compact"/>
              <w:jc w:val="right"/>
            </w:pPr>
            <w:r>
              <w:t xml:space="preserve">6.1</w:t>
            </w:r>
          </w:p>
        </w:tc>
        <w:tc>
          <w:tcPr>
            <w:tcW w:type="dxa" w:w="950"/>
          </w:tcPr>
          <w:p>
            <w:pPr>
              <w:keepNext/>
              <w:pStyle w:val="Compact"/>
              <w:jc w:val="right"/>
            </w:pPr>
            <w:r>
              <w:t xml:space="preserve">0.53</w:t>
            </w:r>
          </w:p>
        </w:tc>
      </w:tr>
      <w:tr>
        <w:trPr>
          <w:cantSplit/>
        </w:trPr>
        <w:tc>
          <w:tcPr>
            <w:tcW w:type="dxa" w:w="2633"/>
          </w:tcPr>
          <w:p>
            <w:pPr>
              <w:keepNext/>
              <w:pStyle w:val="Compact"/>
              <w:jc w:val="left"/>
            </w:pPr>
            <w:r>
              <w:t xml:space="preserve">1, ch1, ch2, ch8, ch9</w:t>
            </w:r>
          </w:p>
        </w:tc>
        <w:tc>
          <w:tcPr>
            <w:tcW w:type="dxa" w:w="804"/>
          </w:tcPr>
          <w:p>
            <w:pPr>
              <w:keepNext/>
              <w:pStyle w:val="Compact"/>
              <w:jc w:val="right"/>
            </w:pPr>
            <w:r>
              <w:t xml:space="preserve">7</w:t>
            </w:r>
          </w:p>
        </w:tc>
        <w:tc>
          <w:tcPr>
            <w:tcW w:type="dxa" w:w="1755"/>
          </w:tcPr>
          <w:p>
            <w:pPr>
              <w:keepNext/>
              <w:pStyle w:val="Compact"/>
              <w:jc w:val="right"/>
            </w:pPr>
            <w:r>
              <w:t xml:space="preserve">−1.49 to −2.38</w:t>
            </w:r>
          </w:p>
        </w:tc>
        <w:tc>
          <w:tcPr>
            <w:tcW w:type="dxa" w:w="1536"/>
          </w:tcPr>
          <w:p>
            <w:pPr>
              <w:keepNext/>
              <w:pStyle w:val="Compact"/>
              <w:jc w:val="right"/>
            </w:pPr>
            <w:r>
              <w:t xml:space="preserve">17.2–19.1</w:t>
            </w:r>
          </w:p>
        </w:tc>
        <w:tc>
          <w:tcPr>
            <w:tcW w:type="dxa" w:w="1389"/>
          </w:tcPr>
          <w:p>
            <w:pPr>
              <w:keepNext/>
              <w:pStyle w:val="Compact"/>
              <w:jc w:val="right"/>
            </w:pPr>
            <w:r>
              <w:t xml:space="preserve">7.8–11.0</w:t>
            </w:r>
          </w:p>
        </w:tc>
        <w:tc>
          <w:tcPr>
            <w:tcW w:type="dxa" w:w="950"/>
          </w:tcPr>
          <w:p>
            <w:pPr>
              <w:keepNext/>
              <w:pStyle w:val="Compact"/>
              <w:jc w:val="right"/>
            </w:pPr>
            <w:r>
              <w:t xml:space="preserve">≤ 0.012</w:t>
            </w:r>
          </w:p>
        </w:tc>
      </w:tr>
      <w:tr>
        <w:trPr>
          <w:cantSplit/>
        </w:trPr>
        <w:tc>
          <w:tcPr>
            <w:tcW w:type="dxa" w:w="2633"/>
          </w:tcPr>
          <w:p>
            <w:pPr>
              <w:keepNext/>
              <w:pStyle w:val="Compact"/>
              <w:jc w:val="left"/>
            </w:pPr>
            <w:r>
              <w:t xml:space="preserve">2, st36</w:t>
            </w:r>
          </w:p>
        </w:tc>
        <w:tc>
          <w:tcPr>
            <w:tcW w:type="dxa" w:w="804"/>
          </w:tcPr>
          <w:p>
            <w:pPr>
              <w:keepNext/>
              <w:pStyle w:val="Compact"/>
              <w:jc w:val="right"/>
            </w:pPr>
            <w:r>
              <w:t xml:space="preserve">8</w:t>
            </w:r>
          </w:p>
        </w:tc>
        <w:tc>
          <w:tcPr>
            <w:tcW w:type="dxa" w:w="1755"/>
          </w:tcPr>
          <w:p>
            <w:pPr>
              <w:keepNext/>
              <w:pStyle w:val="Compact"/>
              <w:jc w:val="right"/>
            </w:pPr>
            <w:r>
              <w:t xml:space="preserve">−5.97 (−6.57, −5.38)</w:t>
            </w:r>
          </w:p>
        </w:tc>
        <w:tc>
          <w:tcPr>
            <w:tcW w:type="dxa" w:w="1536"/>
          </w:tcPr>
          <w:p>
            <w:pPr>
              <w:keepNext/>
              <w:pStyle w:val="Compact"/>
              <w:jc w:val="right"/>
            </w:pPr>
            <w:r>
              <w:t xml:space="preserve">12.0</w:t>
            </w:r>
          </w:p>
        </w:tc>
        <w:tc>
          <w:tcPr>
            <w:tcW w:type="dxa" w:w="1389"/>
          </w:tcPr>
          <w:p>
            <w:pPr>
              <w:keepNext/>
              <w:pStyle w:val="Compact"/>
              <w:jc w:val="right"/>
            </w:pPr>
            <w:r>
              <w:t xml:space="preserve">16.5</w:t>
            </w:r>
          </w:p>
        </w:tc>
        <w:tc>
          <w:tcPr>
            <w:tcW w:type="dxa" w:w="950"/>
          </w:tcPr>
          <w:p>
            <w:pPr>
              <w:keepNext/>
              <w:pStyle w:val="Compact"/>
              <w:jc w:val="right"/>
            </w:pPr>
            <w:r>
              <w:t xml:space="preserve">0.73</w:t>
            </w:r>
          </w:p>
        </w:tc>
      </w:tr>
      <w:tr>
        <w:trPr>
          <w:cantSplit/>
        </w:trPr>
        <w:tc>
          <w:tcPr>
            <w:tcW w:type="dxa" w:w="2633"/>
          </w:tcPr>
          <w:p>
            <w:pPr>
              <w:keepNext/>
              <w:pStyle w:val="Compact"/>
              <w:jc w:val="left"/>
            </w:pPr>
            <w:r>
              <w:t xml:space="preserve">2, gauge average (4 gauges)</w:t>
            </w:r>
          </w:p>
        </w:tc>
        <w:tc>
          <w:tcPr>
            <w:tcW w:type="dxa" w:w="804"/>
          </w:tcPr>
          <w:p>
            <w:pPr>
              <w:keepNext/>
              <w:pStyle w:val="Compact"/>
              <w:jc w:val="right"/>
            </w:pPr>
            <w:r>
              <w:t xml:space="preserve">8</w:t>
            </w:r>
          </w:p>
        </w:tc>
        <w:tc>
          <w:tcPr>
            <w:tcW w:type="dxa" w:w="1755"/>
          </w:tcPr>
          <w:p>
            <w:pPr>
              <w:keepNext/>
              <w:pStyle w:val="Compact"/>
              <w:jc w:val="right"/>
            </w:pPr>
            <w:r>
              <w:t xml:space="preserve">−4.12 (−4.62, −3.63)</w:t>
            </w:r>
          </w:p>
        </w:tc>
        <w:tc>
          <w:tcPr>
            <w:tcW w:type="dxa" w:w="1536"/>
          </w:tcPr>
          <w:p>
            <w:pPr>
              <w:keepNext/>
              <w:pStyle w:val="Compact"/>
              <w:jc w:val="right"/>
            </w:pPr>
            <w:r>
              <w:t xml:space="preserve">14.4</w:t>
            </w:r>
          </w:p>
        </w:tc>
        <w:tc>
          <w:tcPr>
            <w:tcW w:type="dxa" w:w="1389"/>
          </w:tcPr>
          <w:p>
            <w:pPr>
              <w:keepNext/>
              <w:pStyle w:val="Compact"/>
              <w:jc w:val="right"/>
            </w:pPr>
            <w:r>
              <w:t xml:space="preserve">20.2</w:t>
            </w:r>
          </w:p>
        </w:tc>
        <w:tc>
          <w:tcPr>
            <w:tcW w:type="dxa" w:w="950"/>
          </w:tcPr>
          <w:p>
            <w:pPr>
              <w:keepNext/>
              <w:pStyle w:val="Compact"/>
              <w:jc w:val="right"/>
            </w:pPr>
            <w:r>
              <w:t xml:space="preserve">0.79</w:t>
            </w:r>
          </w:p>
        </w:tc>
      </w:tr>
      <w:tr>
        <w:trPr>
          <w:cantSplit/>
        </w:trPr>
        <w:tc>
          <w:tcPr>
            <w:tcW w:type="dxa" w:w="2633"/>
          </w:tcPr>
          <w:p>
            <w:pPr>
              <w:pStyle w:val="Compact"/>
              <w:jc w:val="left"/>
            </w:pPr>
            <w:r>
              <w:t xml:space="preserve">2, lane B, average</w:t>
            </w:r>
          </w:p>
        </w:tc>
        <w:tc>
          <w:tcPr>
            <w:tcW w:type="dxa" w:w="804"/>
          </w:tcPr>
          <w:p>
            <w:pPr>
              <w:pStyle w:val="Compact"/>
              <w:jc w:val="right"/>
            </w:pPr>
            <w:r>
              <w:t xml:space="preserve">8</w:t>
            </w:r>
          </w:p>
        </w:tc>
        <w:tc>
          <w:tcPr>
            <w:tcW w:type="dxa" w:w="1755"/>
          </w:tcPr>
          <w:p>
            <w:pPr>
              <w:pStyle w:val="Compact"/>
              <w:jc w:val="right"/>
            </w:pPr>
            <w:r>
              <w:t xml:space="preserve">−3.27 (−4.19, −2.35)</w:t>
            </w:r>
          </w:p>
        </w:tc>
        <w:tc>
          <w:tcPr>
            <w:tcW w:type="dxa" w:w="1536"/>
          </w:tcPr>
          <w:p>
            <w:pPr>
              <w:pStyle w:val="Compact"/>
              <w:jc w:val="right"/>
            </w:pPr>
            <w:r>
              <w:t xml:space="preserve">33.7</w:t>
            </w:r>
          </w:p>
        </w:tc>
        <w:tc>
          <w:tcPr>
            <w:tcW w:type="dxa" w:w="1389"/>
          </w:tcPr>
          <w:p>
            <w:pPr>
              <w:pStyle w:val="Compact"/>
              <w:jc w:val="right"/>
            </w:pPr>
            <w:r>
              <w:t xml:space="preserve">23.2</w:t>
            </w:r>
          </w:p>
        </w:tc>
        <w:tc>
          <w:tcPr>
            <w:tcW w:type="dxa" w:w="950"/>
          </w:tcPr>
          <w:p>
            <w:pPr>
              <w:pStyle w:val="Compact"/>
              <w:jc w:val="right"/>
            </w:pPr>
            <w:r>
              <w:t xml:space="preserve">0.027</w:t>
            </w:r>
          </w:p>
        </w:tc>
      </w:tr>
    </w:tbl>
    <w:p>
      <w:pPr>
        <w:pStyle w:val="BodyText"/>
        <w:keepNext/>
        <w:keepLines/>
      </w:pPr>
      <w:r>
        <w:rPr>
          <w:bCs/>
          <w:b/>
        </w:rPr>
        <w:t xml:space="preserve">Table S7.</w:t>
      </w:r>
      <w:r>
        <w:t xml:space="preserve"> </w:t>
      </w:r>
      <w:r>
        <w:t xml:space="preserve">Ratio of the integral constants of two trucks, lane A unless stated. Day 1: second to first truck, both 3-axle; day 2: 5-axle to 3-axle truck. Equivalence by two one-sided tests (TOST) at the 5 % level: the 90 % CI of the ratio lies inside the stated margin (for ch11, 0.904–1.098), so a 95 % CI can extend beyond a margin that is shown.</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3232"/>
        <w:gridCol w:w="2604"/>
        <w:gridCol w:w="3232"/>
      </w:tblGrid>
      <w:tr>
        <w:trPr>
          <w:tblHeader w:val="true"/>
          <w:tblHeader w:val="true"/>
          <w:cantSplit/>
        </w:trPr>
        <w:tc>
          <w:tcPr>
            <w:tcW w:type="dxa" w:w="3232"/>
            <w:tcBorders>
              <w:top w:val="nil"/>
              <w:left w:val="nil"/>
              <w:bottom w:val="single" w:sz="6" w:space="0" w:color="000000"/>
              <w:right w:val="nil"/>
            </w:tcBorders>
          </w:tcPr>
          <w:p>
            <w:pPr>
              <w:keepNext/>
              <w:pStyle w:val="Compact"/>
              <w:jc w:val="left"/>
            </w:pPr>
            <w:r>
              <w:t xml:space="preserve">Day, channel</w:t>
            </w:r>
          </w:p>
        </w:tc>
        <w:tc>
          <w:tcPr>
            <w:tcW w:type="dxa" w:w="2604"/>
            <w:tcBorders>
              <w:top w:val="nil"/>
              <w:left w:val="nil"/>
              <w:bottom w:val="single" w:sz="6" w:space="0" w:color="000000"/>
              <w:right w:val="nil"/>
            </w:tcBorders>
          </w:tcPr>
          <w:p>
            <w:pPr>
              <w:keepNext/>
              <w:pStyle w:val="Compact"/>
              <w:jc w:val="right"/>
            </w:pPr>
            <w:r>
              <w:t xml:space="preserve">Ratio (95 % CI)</w:t>
            </w:r>
          </w:p>
        </w:tc>
        <w:tc>
          <w:tcPr>
            <w:tcW w:type="dxa" w:w="3232"/>
            <w:tcBorders>
              <w:top w:val="nil"/>
              <w:left w:val="nil"/>
              <w:bottom w:val="single" w:sz="6" w:space="0" w:color="000000"/>
              <w:right w:val="nil"/>
            </w:tcBorders>
          </w:tcPr>
          <w:p>
            <w:pPr>
              <w:keepNext/>
              <w:pStyle w:val="Compact"/>
              <w:jc w:val="left"/>
            </w:pPr>
            <w:r>
              <w:t xml:space="preserve">Equivalence</w:t>
            </w:r>
          </w:p>
        </w:tc>
      </w:tr>
      <w:tr>
        <w:trPr>
          <w:cantSplit/>
        </w:trPr>
        <w:tc>
          <w:tcPr>
            <w:tcW w:type="dxa" w:w="3232"/>
          </w:tcPr>
          <w:p>
            <w:pPr>
              <w:keepNext/>
              <w:pStyle w:val="Compact"/>
              <w:jc w:val="left"/>
            </w:pPr>
            <w:r>
              <w:t xml:space="preserve">1, ch11 (best)</w:t>
            </w:r>
          </w:p>
        </w:tc>
        <w:tc>
          <w:tcPr>
            <w:tcW w:type="dxa" w:w="2604"/>
          </w:tcPr>
          <w:p>
            <w:pPr>
              <w:keepNext/>
              <w:pStyle w:val="Compact"/>
              <w:jc w:val="right"/>
            </w:pPr>
            <w:r>
              <w:t xml:space="preserve">0.996 (0.874–1.136)</w:t>
            </w:r>
          </w:p>
        </w:tc>
        <w:tc>
          <w:tcPr>
            <w:tcW w:type="dxa" w:w="3232"/>
          </w:tcPr>
          <w:p>
            <w:pPr>
              <w:keepNext/>
              <w:pStyle w:val="Compact"/>
              <w:jc w:val="left"/>
            </w:pPr>
            <w:r>
              <w:t xml:space="preserve">shown within ±10 %</w:t>
            </w:r>
          </w:p>
        </w:tc>
      </w:tr>
      <w:tr>
        <w:trPr>
          <w:cantSplit/>
        </w:trPr>
        <w:tc>
          <w:tcPr>
            <w:tcW w:type="dxa" w:w="3232"/>
          </w:tcPr>
          <w:p>
            <w:pPr>
              <w:keepNext/>
              <w:pStyle w:val="Compact"/>
              <w:jc w:val="left"/>
            </w:pPr>
            <w:r>
              <w:t xml:space="preserve">1, gauge average (4 wheel-path gauges)</w:t>
            </w:r>
          </w:p>
        </w:tc>
        <w:tc>
          <w:tcPr>
            <w:tcW w:type="dxa" w:w="2604"/>
          </w:tcPr>
          <w:p>
            <w:pPr>
              <w:keepNext/>
              <w:pStyle w:val="Compact"/>
              <w:jc w:val="right"/>
            </w:pPr>
            <w:r>
              <w:t xml:space="preserve">0.955 (0.863–1.057)</w:t>
            </w:r>
          </w:p>
        </w:tc>
        <w:tc>
          <w:tcPr>
            <w:tcW w:type="dxa" w:w="3232"/>
          </w:tcPr>
          <w:p>
            <w:pPr>
              <w:keepNext/>
              <w:pStyle w:val="Compact"/>
              <w:jc w:val="left"/>
            </w:pPr>
            <w:r>
              <w:t xml:space="preserve">shown only within ±11.8 %</w:t>
            </w:r>
          </w:p>
        </w:tc>
      </w:tr>
      <w:tr>
        <w:trPr>
          <w:cantSplit/>
        </w:trPr>
        <w:tc>
          <w:tcPr>
            <w:tcW w:type="dxa" w:w="3232"/>
          </w:tcPr>
          <w:p>
            <w:pPr>
              <w:keepNext/>
              <w:pStyle w:val="Compact"/>
              <w:jc w:val="left"/>
            </w:pPr>
            <w:r>
              <w:t xml:space="preserve">1, ch1, ch2, ch8, ch9</w:t>
            </w:r>
          </w:p>
        </w:tc>
        <w:tc>
          <w:tcPr>
            <w:tcW w:type="dxa" w:w="2604"/>
          </w:tcPr>
          <w:p>
            <w:pPr>
              <w:keepNext/>
              <w:pStyle w:val="Compact"/>
              <w:jc w:val="right"/>
            </w:pPr>
            <w:r>
              <w:t xml:space="preserve">0.740–0.783</w:t>
            </w:r>
          </w:p>
        </w:tc>
        <w:tc>
          <w:tcPr>
            <w:tcW w:type="dxa" w:w="3232"/>
          </w:tcPr>
          <w:p>
            <w:pPr>
              <w:keepNext/>
              <w:pStyle w:val="Compact"/>
              <w:jc w:val="left"/>
            </w:pPr>
            <w:r>
              <w:t xml:space="preserve">invariance rejected (CIs exclude 1)</w:t>
            </w:r>
          </w:p>
        </w:tc>
      </w:tr>
      <w:tr>
        <w:trPr>
          <w:cantSplit/>
        </w:trPr>
        <w:tc>
          <w:tcPr>
            <w:tcW w:type="dxa" w:w="3232"/>
          </w:tcPr>
          <w:p>
            <w:pPr>
              <w:keepNext/>
              <w:pStyle w:val="Compact"/>
              <w:jc w:val="left"/>
            </w:pPr>
            <w:r>
              <w:t xml:space="preserve">2, st36</w:t>
            </w:r>
          </w:p>
        </w:tc>
        <w:tc>
          <w:tcPr>
            <w:tcW w:type="dxa" w:w="2604"/>
          </w:tcPr>
          <w:p>
            <w:pPr>
              <w:keepNext/>
              <w:pStyle w:val="Compact"/>
              <w:jc w:val="right"/>
            </w:pPr>
            <w:r>
              <w:t xml:space="preserve">1.005 (0.735–1.375)</w:t>
            </w:r>
          </w:p>
        </w:tc>
        <w:tc>
          <w:tcPr>
            <w:tcW w:type="dxa" w:w="3232"/>
          </w:tcPr>
          <w:p>
            <w:pPr>
              <w:keepNext/>
              <w:pStyle w:val="Compact"/>
              <w:jc w:val="left"/>
            </w:pPr>
            <w:r>
              <w:t xml:space="preserve">not shown</w:t>
            </w:r>
          </w:p>
        </w:tc>
      </w:tr>
      <w:tr>
        <w:trPr>
          <w:cantSplit/>
        </w:trPr>
        <w:tc>
          <w:tcPr>
            <w:tcW w:type="dxa" w:w="3232"/>
          </w:tcPr>
          <w:p>
            <w:pPr>
              <w:keepNext/>
              <w:pStyle w:val="Compact"/>
              <w:jc w:val="left"/>
            </w:pPr>
            <w:r>
              <w:t xml:space="preserve">2, gauge average (4 gauges)</w:t>
            </w:r>
          </w:p>
        </w:tc>
        <w:tc>
          <w:tcPr>
            <w:tcW w:type="dxa" w:w="2604"/>
          </w:tcPr>
          <w:p>
            <w:pPr>
              <w:keepNext/>
              <w:pStyle w:val="Compact"/>
              <w:jc w:val="right"/>
            </w:pPr>
            <w:r>
              <w:t xml:space="preserve">0.978 (0.697–1.374)</w:t>
            </w:r>
          </w:p>
        </w:tc>
        <w:tc>
          <w:tcPr>
            <w:tcW w:type="dxa" w:w="3232"/>
          </w:tcPr>
          <w:p>
            <w:pPr>
              <w:keepNext/>
              <w:pStyle w:val="Compact"/>
              <w:jc w:val="left"/>
            </w:pPr>
            <w:r>
              <w:t xml:space="preserve">shown only within ±26.7 %</w:t>
            </w:r>
          </w:p>
        </w:tc>
      </w:tr>
      <w:tr>
        <w:trPr>
          <w:cantSplit/>
        </w:trPr>
        <w:tc>
          <w:tcPr>
            <w:tcW w:type="dxa" w:w="3232"/>
          </w:tcPr>
          <w:p>
            <w:pPr>
              <w:pStyle w:val="Compact"/>
              <w:jc w:val="left"/>
            </w:pPr>
            <w:r>
              <w:t xml:space="preserve">2, lane B, average</w:t>
            </w:r>
          </w:p>
        </w:tc>
        <w:tc>
          <w:tcPr>
            <w:tcW w:type="dxa" w:w="2604"/>
          </w:tcPr>
          <w:p>
            <w:pPr>
              <w:pStyle w:val="Compact"/>
              <w:jc w:val="right"/>
            </w:pPr>
            <w:r>
              <w:t xml:space="preserve">0.749 (0.440–1.276)</w:t>
            </w:r>
          </w:p>
        </w:tc>
        <w:tc>
          <w:tcPr>
            <w:tcW w:type="dxa" w:w="3232"/>
          </w:tcPr>
          <w:p>
            <w:pPr>
              <w:pStyle w:val="Compact"/>
              <w:jc w:val="left"/>
            </w:pPr>
            <w:r>
              <w:t xml:space="preserve">– (constants fail the</w:t>
            </w:r>
            <w:r>
              <w:t xml:space="preserve"> </w:t>
            </w:r>
            <m:oMath>
              <m:sSup>
                <m:e>
                  <m:r>
                    <m:t>χ</m:t>
                  </m:r>
                </m:e>
                <m:sup>
                  <m:r>
                    <m:t>2</m:t>
                  </m:r>
                </m:sup>
              </m:sSup>
            </m:oMath>
            <w:r>
              <w:t xml:space="preserve"> </w:t>
            </w:r>
            <w:r>
              <w:t xml:space="preserve">test, Table S6)</w:t>
            </w:r>
          </w:p>
        </w:tc>
      </w:tr>
    </w:tbl>
    <w:p>
      <w:pPr>
        <w:pStyle w:val="BodyText"/>
        <w:keepNext/>
        <w:keepLines/>
      </w:pPr>
      <w:r>
        <w:rPr>
          <w:bCs/>
          <w:b/>
        </w:rPr>
        <w:t xml:space="preserve">Table S8.</w:t>
      </w:r>
      <w:r>
        <w:t xml:space="preserve"> </w:t>
      </w:r>
      <w:r>
        <w:t xml:space="preserve">Mean absolute error of the gross weight (% of GVW), out of sample, with 95 % bootstrap CIs over the test runs (8 on day 2, 7 on day 1). LOTO: calibrated on one truck, tested on the other. The leave-one-run-out columns contain every row of the estimator table of the main text (Table 2).</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2292"/>
        <w:gridCol w:w="2356"/>
        <w:gridCol w:w="840"/>
        <w:gridCol w:w="1592"/>
        <w:gridCol w:w="1987"/>
      </w:tblGrid>
      <w:tr>
        <w:trPr>
          <w:tblHeader w:val="true"/>
          <w:tblHeader w:val="true"/>
          <w:cantSplit/>
        </w:trPr>
        <w:tc>
          <w:tcPr>
            <w:tcW w:type="dxa" w:w="2292"/>
            <w:tcBorders>
              <w:top w:val="nil"/>
              <w:left w:val="nil"/>
              <w:bottom w:val="single" w:sz="6" w:space="0" w:color="000000"/>
              <w:right w:val="nil"/>
            </w:tcBorders>
          </w:tcPr>
          <w:p>
            <w:pPr>
              <w:keepNext/>
              <w:pStyle w:val="Compact"/>
              <w:jc w:val="left"/>
            </w:pPr>
            <w:r>
              <w:t xml:space="preserve">Estimator</w:t>
            </w:r>
          </w:p>
        </w:tc>
        <w:tc>
          <w:tcPr>
            <w:tcW w:type="dxa" w:w="2356"/>
            <w:tcBorders>
              <w:top w:val="nil"/>
              <w:left w:val="nil"/>
              <w:bottom w:val="single" w:sz="6" w:space="0" w:color="000000"/>
              <w:right w:val="nil"/>
            </w:tcBorders>
          </w:tcPr>
          <w:p>
            <w:pPr>
              <w:keepNext/>
              <w:pStyle w:val="Compact"/>
              <w:jc w:val="right"/>
            </w:pPr>
            <w:r>
              <w:t xml:space="preserve">Day 2, leave-one-run-out</w:t>
            </w:r>
          </w:p>
        </w:tc>
        <w:tc>
          <w:tcPr>
            <w:tcW w:type="dxa" w:w="840"/>
            <w:tcBorders>
              <w:top w:val="nil"/>
              <w:left w:val="nil"/>
              <w:bottom w:val="single" w:sz="6" w:space="0" w:color="000000"/>
              <w:right w:val="nil"/>
            </w:tcBorders>
          </w:tcPr>
          <w:p>
            <w:pPr>
              <w:keepNext/>
              <w:pStyle w:val="Compact"/>
              <w:jc w:val="right"/>
            </w:pPr>
            <w:r>
              <w:t xml:space="preserve">Day 2, LOTO</w:t>
            </w:r>
          </w:p>
        </w:tc>
        <w:tc>
          <w:tcPr>
            <w:tcW w:type="dxa" w:w="1592"/>
            <w:tcBorders>
              <w:top w:val="nil"/>
              <w:left w:val="nil"/>
              <w:bottom w:val="single" w:sz="6" w:space="0" w:color="000000"/>
              <w:right w:val="nil"/>
            </w:tcBorders>
          </w:tcPr>
          <w:p>
            <w:pPr>
              <w:keepNext/>
              <w:pStyle w:val="Compact"/>
              <w:jc w:val="right"/>
            </w:pPr>
            <w:r>
              <w:t xml:space="preserve">Day 1, 12 gauges</w:t>
            </w:r>
          </w:p>
        </w:tc>
        <w:tc>
          <w:tcPr>
            <w:tcW w:type="dxa" w:w="1987"/>
            <w:tcBorders>
              <w:top w:val="nil"/>
              <w:left w:val="nil"/>
              <w:bottom w:val="single" w:sz="6" w:space="0" w:color="000000"/>
              <w:right w:val="nil"/>
            </w:tcBorders>
          </w:tcPr>
          <w:p>
            <w:pPr>
              <w:keepNext/>
              <w:pStyle w:val="Compact"/>
              <w:jc w:val="right"/>
            </w:pPr>
            <w:r>
              <w:t xml:space="preserve">Day 1, 4 wheel-path gauges</w:t>
            </w:r>
          </w:p>
        </w:tc>
      </w:tr>
      <w:tr>
        <w:trPr>
          <w:cantSplit/>
        </w:trPr>
        <w:tc>
          <w:tcPr>
            <w:tcW w:type="dxa" w:w="2292"/>
          </w:tcPr>
          <w:p>
            <w:pPr>
              <w:keepNext/>
              <w:pStyle w:val="Compact"/>
              <w:jc w:val="left"/>
            </w:pPr>
            <w:r>
              <w:t xml:space="preserve">Best single gauge (chosen after the fact)</w:t>
            </w:r>
          </w:p>
        </w:tc>
        <w:tc>
          <w:tcPr>
            <w:tcW w:type="dxa" w:w="2356"/>
          </w:tcPr>
          <w:p>
            <w:pPr>
              <w:keepNext/>
              <w:pStyle w:val="Compact"/>
              <w:jc w:val="right"/>
            </w:pPr>
            <w:r>
              <w:t xml:space="preserve">8.4 (2.9–15.3)</w:t>
            </w:r>
          </w:p>
        </w:tc>
        <w:tc>
          <w:tcPr>
            <w:tcW w:type="dxa" w:w="840"/>
          </w:tcPr>
          <w:p>
            <w:pPr>
              <w:keepNext/>
              <w:pStyle w:val="Compact"/>
              <w:jc w:val="right"/>
            </w:pPr>
            <w:r>
              <w:t xml:space="preserve">7.6</w:t>
            </w:r>
          </w:p>
        </w:tc>
        <w:tc>
          <w:tcPr>
            <w:tcW w:type="dxa" w:w="1592"/>
          </w:tcPr>
          <w:p>
            <w:pPr>
              <w:keepNext/>
              <w:pStyle w:val="Compact"/>
              <w:jc w:val="right"/>
            </w:pPr>
            <w:r>
              <w:t xml:space="preserve">4.8 (1.8–7.9)</w:t>
            </w:r>
          </w:p>
        </w:tc>
        <w:tc>
          <w:tcPr>
            <w:tcW w:type="dxa" w:w="1987"/>
          </w:tcPr>
          <w:p>
            <w:pPr>
              <w:keepNext/>
              <w:pStyle w:val="Compact"/>
              <w:jc w:val="right"/>
            </w:pPr>
            <w:r>
              <w:t xml:space="preserve">4.8 (1.8–7.9)</w:t>
            </w:r>
          </w:p>
        </w:tc>
      </w:tr>
      <w:tr>
        <w:trPr>
          <w:cantSplit/>
        </w:trPr>
        <w:tc>
          <w:tcPr>
            <w:tcW w:type="dxa" w:w="2292"/>
          </w:tcPr>
          <w:p>
            <w:pPr>
              <w:keepNext/>
              <w:pStyle w:val="Compact"/>
              <w:jc w:val="left"/>
            </w:pPr>
            <w:r>
              <w:t xml:space="preserve">Worst single gauge</w:t>
            </w:r>
          </w:p>
        </w:tc>
        <w:tc>
          <w:tcPr>
            <w:tcW w:type="dxa" w:w="2356"/>
          </w:tcPr>
          <w:p>
            <w:pPr>
              <w:keepNext/>
              <w:pStyle w:val="Compact"/>
              <w:jc w:val="right"/>
            </w:pPr>
            <w:r>
              <w:t xml:space="preserve">27.9 (12.9–44.5)</w:t>
            </w:r>
          </w:p>
        </w:tc>
        <w:tc>
          <w:tcPr>
            <w:tcW w:type="dxa" w:w="840"/>
          </w:tcPr>
          <w:p>
            <w:pPr>
              <w:keepNext/>
              <w:pStyle w:val="Compact"/>
              <w:jc w:val="right"/>
            </w:pPr>
            <w:r>
              <w:t xml:space="preserve">24.3</w:t>
            </w:r>
          </w:p>
        </w:tc>
        <w:tc>
          <w:tcPr>
            <w:tcW w:type="dxa" w:w="1592"/>
          </w:tcPr>
          <w:p>
            <w:pPr>
              <w:keepNext/>
              <w:pStyle w:val="Compact"/>
              <w:jc w:val="right"/>
            </w:pPr>
            <w:r>
              <w:t xml:space="preserve">17.6 (11.0–23.4)</w:t>
            </w:r>
          </w:p>
        </w:tc>
        <w:tc>
          <w:tcPr>
            <w:tcW w:type="dxa" w:w="1987"/>
          </w:tcPr>
          <w:p>
            <w:pPr>
              <w:keepNext/>
              <w:pStyle w:val="Compact"/>
              <w:jc w:val="right"/>
            </w:pPr>
            <w:r>
              <w:t xml:space="preserve">12.1</w:t>
            </w:r>
          </w:p>
        </w:tc>
      </w:tr>
      <w:tr>
        <w:trPr>
          <w:cantSplit/>
        </w:trPr>
        <w:tc>
          <w:tcPr>
            <w:tcW w:type="dxa" w:w="2292"/>
          </w:tcPr>
          <w:p>
            <w:pPr>
              <w:keepNext/>
              <w:pStyle w:val="Compact"/>
              <w:jc w:val="left"/>
            </w:pPr>
            <w:r>
              <w:t xml:space="preserve">Gauge average</w:t>
            </w:r>
          </w:p>
        </w:tc>
        <w:tc>
          <w:tcPr>
            <w:tcW w:type="dxa" w:w="2356"/>
          </w:tcPr>
          <w:p>
            <w:pPr>
              <w:keepNext/>
              <w:pStyle w:val="Compact"/>
              <w:jc w:val="right"/>
            </w:pPr>
            <w:r>
              <w:t xml:space="preserve">11.9 (6.0–18.6)</w:t>
            </w:r>
          </w:p>
        </w:tc>
        <w:tc>
          <w:tcPr>
            <w:tcW w:type="dxa" w:w="840"/>
          </w:tcPr>
          <w:p>
            <w:pPr>
              <w:keepNext/>
              <w:pStyle w:val="Compact"/>
              <w:jc w:val="right"/>
            </w:pPr>
            <w:r>
              <w:t xml:space="preserve">11.1</w:t>
            </w:r>
          </w:p>
        </w:tc>
        <w:tc>
          <w:tcPr>
            <w:tcW w:type="dxa" w:w="1592"/>
          </w:tcPr>
          <w:p>
            <w:pPr>
              <w:keepNext/>
              <w:pStyle w:val="Compact"/>
              <w:jc w:val="right"/>
            </w:pPr>
            <w:r>
              <w:t xml:space="preserve">5.3 (2.5–7.8)</w:t>
            </w:r>
          </w:p>
        </w:tc>
        <w:tc>
          <w:tcPr>
            <w:tcW w:type="dxa" w:w="1987"/>
          </w:tcPr>
          <w:p>
            <w:pPr>
              <w:keepNext/>
              <w:pStyle w:val="Compact"/>
              <w:jc w:val="right"/>
            </w:pPr>
            <w:r>
              <w:t xml:space="preserve">5.4 (3.3–7.4)</w:t>
            </w:r>
          </w:p>
        </w:tc>
      </w:tr>
      <w:tr>
        <w:trPr>
          <w:cantSplit/>
        </w:trPr>
        <w:tc>
          <w:tcPr>
            <w:tcW w:type="dxa" w:w="2292"/>
          </w:tcPr>
          <w:p>
            <w:pPr>
              <w:keepNext/>
              <w:pStyle w:val="Compact"/>
              <w:jc w:val="left"/>
            </w:pPr>
            <w:r>
              <w:t xml:space="preserve">GLS, diagonal</w:t>
            </w:r>
            <w:r>
              <w:t xml:space="preserve"> </w:t>
            </w:r>
            <m:oMath>
              <m:r>
                <m:t>Σ</m:t>
              </m:r>
            </m:oMath>
          </w:p>
        </w:tc>
        <w:tc>
          <w:tcPr>
            <w:tcW w:type="dxa" w:w="2356"/>
          </w:tcPr>
          <w:p>
            <w:pPr>
              <w:keepNext/>
              <w:pStyle w:val="Compact"/>
              <w:jc w:val="right"/>
            </w:pPr>
            <w:r>
              <w:t xml:space="preserve">11.4 (6.0–18.0)</w:t>
            </w:r>
          </w:p>
        </w:tc>
        <w:tc>
          <w:tcPr>
            <w:tcW w:type="dxa" w:w="840"/>
          </w:tcPr>
          <w:p>
            <w:pPr>
              <w:keepNext/>
              <w:pStyle w:val="Compact"/>
              <w:jc w:val="right"/>
            </w:pPr>
            <w:r>
              <w:t xml:space="preserve">10.8</w:t>
            </w:r>
          </w:p>
        </w:tc>
        <w:tc>
          <w:tcPr>
            <w:tcW w:type="dxa" w:w="1592"/>
          </w:tcPr>
          <w:p>
            <w:pPr>
              <w:keepNext/>
              <w:pStyle w:val="Compact"/>
              <w:jc w:val="right"/>
            </w:pPr>
            <w:r>
              <w:t xml:space="preserve">5.3 (2.5–8.0)</w:t>
            </w:r>
          </w:p>
        </w:tc>
        <w:tc>
          <w:tcPr>
            <w:tcW w:type="dxa" w:w="1987"/>
          </w:tcPr>
          <w:p>
            <w:pPr>
              <w:keepNext/>
              <w:pStyle w:val="Compact"/>
              <w:jc w:val="right"/>
            </w:pPr>
            <w:r>
              <w:t xml:space="preserve">5.2 (3.3–7.1)</w:t>
            </w:r>
          </w:p>
        </w:tc>
      </w:tr>
      <w:tr>
        <w:trPr>
          <w:cantSplit/>
        </w:trPr>
        <w:tc>
          <w:tcPr>
            <w:tcW w:type="dxa" w:w="2292"/>
          </w:tcPr>
          <w:p>
            <w:pPr>
              <w:keepNext/>
              <w:pStyle w:val="Compact"/>
              <w:jc w:val="left"/>
            </w:pPr>
            <w:r>
              <w:t xml:space="preserve">GLS, measured</w:t>
            </w:r>
            <w:r>
              <w:t xml:space="preserve"> </w:t>
            </w:r>
            <m:oMath>
              <m:r>
                <m:t>Σ</m:t>
              </m:r>
            </m:oMath>
          </w:p>
        </w:tc>
        <w:tc>
          <w:tcPr>
            <w:tcW w:type="dxa" w:w="2356"/>
          </w:tcPr>
          <w:p>
            <w:pPr>
              <w:keepNext/>
              <w:pStyle w:val="Compact"/>
              <w:jc w:val="right"/>
            </w:pPr>
            <w:r>
              <w:t xml:space="preserve">20.4 (12.3–28.8)</w:t>
            </w:r>
          </w:p>
        </w:tc>
        <w:tc>
          <w:tcPr>
            <w:tcW w:type="dxa" w:w="840"/>
          </w:tcPr>
          <w:p>
            <w:pPr>
              <w:keepNext/>
              <w:pStyle w:val="Compact"/>
              <w:jc w:val="right"/>
            </w:pPr>
            <w:r>
              <w:t xml:space="preserve">17.7</w:t>
            </w:r>
          </w:p>
        </w:tc>
        <w:tc>
          <w:tcPr>
            <w:tcW w:type="dxa" w:w="1592"/>
          </w:tcPr>
          <w:p>
            <w:pPr>
              <w:keepNext/>
              <w:pStyle w:val="Compact"/>
              <w:jc w:val="right"/>
            </w:pPr>
            <w:r>
              <w:t xml:space="preserve">5.8 (3.5–8.1)</w:t>
            </w:r>
          </w:p>
        </w:tc>
        <w:tc>
          <w:tcPr>
            <w:tcW w:type="dxa" w:w="1987"/>
          </w:tcPr>
          <w:p>
            <w:pPr>
              <w:keepNext/>
              <w:pStyle w:val="Compact"/>
              <w:jc w:val="right"/>
            </w:pPr>
            <w:r>
              <w:t xml:space="preserve">4.9 (3.0–6.9)</w:t>
            </w:r>
          </w:p>
        </w:tc>
      </w:tr>
      <w:tr>
        <w:trPr>
          <w:cantSplit/>
        </w:trPr>
        <w:tc>
          <w:tcPr>
            <w:tcW w:type="dxa" w:w="2292"/>
          </w:tcPr>
          <w:p>
            <w:pPr>
              <w:keepNext/>
              <w:pStyle w:val="Compact"/>
              <w:jc w:val="left"/>
            </w:pPr>
            <w:r>
              <w:t xml:space="preserve">Zero-sum, measured</w:t>
            </w:r>
            <w:r>
              <w:t xml:space="preserve"> </w:t>
            </w:r>
            <m:oMath>
              <m:r>
                <m:t>Σ</m:t>
              </m:r>
            </m:oMath>
          </w:p>
        </w:tc>
        <w:tc>
          <w:tcPr>
            <w:tcW w:type="dxa" w:w="2356"/>
          </w:tcPr>
          <w:p>
            <w:pPr>
              <w:keepNext/>
              <w:pStyle w:val="Compact"/>
              <w:jc w:val="right"/>
            </w:pPr>
            <w:r>
              <w:t xml:space="preserve">20.3 (12.4–28.6)</w:t>
            </w:r>
          </w:p>
        </w:tc>
        <w:tc>
          <w:tcPr>
            <w:tcW w:type="dxa" w:w="840"/>
          </w:tcPr>
          <w:p>
            <w:pPr>
              <w:keepNext/>
              <w:pStyle w:val="Compact"/>
              <w:jc w:val="right"/>
            </w:pPr>
            <w:r>
              <w:t xml:space="preserve">18.0</w:t>
            </w:r>
          </w:p>
        </w:tc>
        <w:tc>
          <w:tcPr>
            <w:tcW w:type="dxa" w:w="1592"/>
          </w:tcPr>
          <w:p>
            <w:pPr>
              <w:keepNext/>
              <w:pStyle w:val="Compact"/>
              <w:jc w:val="right"/>
            </w:pPr>
            <w:r>
              <w:t xml:space="preserve">6.0 (2.9–9.3)</w:t>
            </w:r>
          </w:p>
        </w:tc>
        <w:tc>
          <w:tcPr>
            <w:tcW w:type="dxa" w:w="1987"/>
          </w:tcPr>
          <w:p>
            <w:pPr>
              <w:keepNext/>
              <w:pStyle w:val="Compact"/>
              <w:jc w:val="right"/>
            </w:pPr>
            <w:r>
              <w:t xml:space="preserve">8.3 (3.9–13.4)</w:t>
            </w:r>
          </w:p>
        </w:tc>
      </w:tr>
      <w:tr>
        <w:trPr>
          <w:cantSplit/>
        </w:trPr>
        <w:tc>
          <w:tcPr>
            <w:tcW w:type="dxa" w:w="2292"/>
          </w:tcPr>
          <w:p>
            <w:pPr>
              <w:keepNext/>
              <w:pStyle w:val="Compact"/>
              <w:jc w:val="left"/>
            </w:pPr>
            <w:r>
              <w:t xml:space="preserve">Zero-sum,</w:t>
            </w:r>
            <w:r>
              <w:t xml:space="preserve"> </w:t>
            </w:r>
            <m:oMath>
              <m:r>
                <m:t>Σ</m:t>
              </m:r>
            </m:oMath>
            <w:r>
              <w:t xml:space="preserve"> </w:t>
            </w:r>
            <w:r>
              <w:t xml:space="preserve">= identity matrix</w:t>
            </w:r>
          </w:p>
        </w:tc>
        <w:tc>
          <w:tcPr>
            <w:tcW w:type="dxa" w:w="2356"/>
          </w:tcPr>
          <w:p>
            <w:pPr>
              <w:keepNext/>
              <w:pStyle w:val="Compact"/>
              <w:jc w:val="right"/>
            </w:pPr>
            <w:r>
              <w:t xml:space="preserve">12.3 (6.1–20.2)</w:t>
            </w:r>
          </w:p>
        </w:tc>
        <w:tc>
          <w:tcPr>
            <w:tcW w:type="dxa" w:w="840"/>
          </w:tcPr>
          <w:p>
            <w:pPr>
              <w:keepNext/>
              <w:pStyle w:val="Compact"/>
              <w:jc w:val="right"/>
            </w:pPr>
            <w:r>
              <w:t xml:space="preserve">10.8</w:t>
            </w:r>
          </w:p>
        </w:tc>
        <w:tc>
          <w:tcPr>
            <w:tcW w:type="dxa" w:w="1592"/>
          </w:tcPr>
          <w:p>
            <w:pPr>
              <w:keepNext/>
              <w:pStyle w:val="Compact"/>
              <w:jc w:val="right"/>
            </w:pPr>
            <w:r>
              <w:t xml:space="preserve">13.0 (7.1–19.0)</w:t>
            </w:r>
          </w:p>
        </w:tc>
        <w:tc>
          <w:tcPr>
            <w:tcW w:type="dxa" w:w="1987"/>
          </w:tcPr>
          <w:p>
            <w:pPr>
              <w:keepNext/>
              <w:pStyle w:val="Compact"/>
              <w:jc w:val="right"/>
            </w:pPr>
            <w:r>
              <w:t xml:space="preserve">8.4 (4.6–12.9)</w:t>
            </w:r>
          </w:p>
        </w:tc>
      </w:tr>
      <w:tr>
        <w:trPr>
          <w:cantSplit/>
        </w:trPr>
        <w:tc>
          <w:tcPr>
            <w:tcW w:type="dxa" w:w="2292"/>
          </w:tcPr>
          <w:p>
            <w:pPr>
              <w:pStyle w:val="Compact"/>
              <w:jc w:val="left"/>
            </w:pPr>
            <w:r>
              <w:t xml:space="preserve">Mean-weight predictor (mean of the calibration runs)</w:t>
            </w:r>
          </w:p>
        </w:tc>
        <w:tc>
          <w:tcPr>
            <w:tcW w:type="dxa" w:w="2356"/>
          </w:tcPr>
          <w:p>
            <w:pPr>
              <w:pStyle w:val="Compact"/>
              <w:jc w:val="right"/>
            </w:pPr>
            <w:r>
              <w:t xml:space="preserve">2.0 (1.9–2.0)</w:t>
            </w:r>
          </w:p>
        </w:tc>
        <w:tc>
          <w:tcPr>
            <w:tcW w:type="dxa" w:w="840"/>
          </w:tcPr>
          <w:p>
            <w:pPr>
              <w:pStyle w:val="Compact"/>
              <w:jc w:val="right"/>
            </w:pPr>
            <w:r>
              <w:t xml:space="preserve">3.4</w:t>
            </w:r>
          </w:p>
        </w:tc>
        <w:tc>
          <w:tcPr>
            <w:tcW w:type="dxa" w:w="1592"/>
          </w:tcPr>
          <w:p>
            <w:pPr>
              <w:pStyle w:val="Compact"/>
              <w:jc w:val="right"/>
            </w:pPr>
            <w:r>
              <w:t xml:space="preserve">2.2 (1.1–3.5)</w:t>
            </w:r>
          </w:p>
        </w:tc>
        <w:tc>
          <w:tcPr>
            <w:tcW w:type="dxa" w:w="1987"/>
          </w:tcPr>
          <w:p>
            <w:pPr>
              <w:pStyle w:val="Compact"/>
              <w:jc w:val="right"/>
            </w:pPr>
            <w:r>
              <w:t xml:space="preserve">2.2 (1.1–3.5)</w:t>
            </w:r>
          </w:p>
        </w:tc>
      </w:tr>
    </w:tbl>
    <w:p>
      <w:pPr>
        <w:pStyle w:val="BodyText"/>
        <w:keepNext/>
        <w:keepLines/>
      </w:pPr>
      <w:r>
        <w:rPr>
          <w:bCs/>
          <w:b/>
        </w:rPr>
        <w:t xml:space="preserve">Table S9.</w:t>
      </w:r>
      <w:r>
        <w:t xml:space="preserve"> </w:t>
      </w:r>
      <w:r>
        <w:t xml:space="preserve">Correlation between gauges of the integrated strain: means over gauge pairs, with 95 % bootstrap CIs in parentheses. Vehicle-free windows: 1227 on day 2 and 3405 on day 1. Crossing residual: deviation of a crossing’s integral from its calibrated value. –: not computed.</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3796"/>
        <w:gridCol w:w="2636"/>
        <w:gridCol w:w="2636"/>
      </w:tblGrid>
      <w:tr>
        <w:trPr>
          <w:tblHeader w:val="true"/>
          <w:tblHeader w:val="true"/>
          <w:cantSplit/>
        </w:trPr>
        <w:tc>
          <w:tcPr>
            <w:tcW w:type="dxa" w:w="3796"/>
            <w:tcBorders>
              <w:top w:val="nil"/>
              <w:left w:val="nil"/>
              <w:bottom w:val="single" w:sz="6" w:space="0" w:color="000000"/>
              <w:right w:val="nil"/>
            </w:tcBorders>
          </w:tcPr>
          <w:p>
            <w:pPr>
              <w:keepNext/>
              <w:pStyle w:val="Compact"/>
              <w:jc w:val="left"/>
            </w:pPr>
            <w:r>
              <w:t xml:space="preserve">Correlation of</w:t>
            </w:r>
          </w:p>
        </w:tc>
        <w:tc>
          <w:tcPr>
            <w:tcW w:type="dxa" w:w="2636"/>
            <w:tcBorders>
              <w:top w:val="nil"/>
              <w:left w:val="nil"/>
              <w:bottom w:val="single" w:sz="6" w:space="0" w:color="000000"/>
              <w:right w:val="nil"/>
            </w:tcBorders>
          </w:tcPr>
          <w:p>
            <w:pPr>
              <w:keepNext/>
              <w:pStyle w:val="Compact"/>
              <w:jc w:val="right"/>
            </w:pPr>
            <w:r>
              <w:t xml:space="preserve">Day 2, 4 gauges</w:t>
            </w:r>
          </w:p>
        </w:tc>
        <w:tc>
          <w:tcPr>
            <w:tcW w:type="dxa" w:w="2636"/>
            <w:tcBorders>
              <w:top w:val="nil"/>
              <w:left w:val="nil"/>
              <w:bottom w:val="single" w:sz="6" w:space="0" w:color="000000"/>
              <w:right w:val="nil"/>
            </w:tcBorders>
          </w:tcPr>
          <w:p>
            <w:pPr>
              <w:keepNext/>
              <w:pStyle w:val="Compact"/>
              <w:jc w:val="right"/>
            </w:pPr>
            <w:r>
              <w:t xml:space="preserve">Day 1, 12 gauges</w:t>
            </w:r>
          </w:p>
        </w:tc>
      </w:tr>
      <w:tr>
        <w:trPr>
          <w:cantSplit/>
        </w:trPr>
        <w:tc>
          <w:tcPr>
            <w:tcW w:type="dxa" w:w="3796"/>
          </w:tcPr>
          <w:p>
            <w:pPr>
              <w:keepNext/>
              <w:pStyle w:val="Compact"/>
              <w:jc w:val="left"/>
            </w:pPr>
            <w:r>
              <w:t xml:space="preserve">vehicle-free noise, non-overlapping windows</w:t>
            </w:r>
          </w:p>
        </w:tc>
        <w:tc>
          <w:tcPr>
            <w:tcW w:type="dxa" w:w="2636"/>
          </w:tcPr>
          <w:p>
            <w:pPr>
              <w:keepNext/>
              <w:pStyle w:val="Compact"/>
              <w:jc w:val="right"/>
            </w:pPr>
            <w:r>
              <w:t xml:space="preserve">0.92 (0.83–0.96)</w:t>
            </w:r>
          </w:p>
        </w:tc>
        <w:tc>
          <w:tcPr>
            <w:tcW w:type="dxa" w:w="2636"/>
          </w:tcPr>
          <w:p>
            <w:pPr>
              <w:keepNext/>
              <w:pStyle w:val="Compact"/>
              <w:jc w:val="right"/>
            </w:pPr>
            <w:r>
              <w:t xml:space="preserve">0.42 (0.26–0.54)</w:t>
            </w:r>
          </w:p>
        </w:tc>
      </w:tr>
      <w:tr>
        <w:trPr>
          <w:cantSplit/>
        </w:trPr>
        <w:tc>
          <w:tcPr>
            <w:tcW w:type="dxa" w:w="3796"/>
          </w:tcPr>
          <w:p>
            <w:pPr>
              <w:keepNext/>
              <w:pStyle w:val="Compact"/>
              <w:jc w:val="left"/>
            </w:pPr>
            <w:r>
              <w:t xml:space="preserve">vehicle-free noise, window length of each crossing</w:t>
            </w:r>
          </w:p>
        </w:tc>
        <w:tc>
          <w:tcPr>
            <w:tcW w:type="dxa" w:w="2636"/>
          </w:tcPr>
          <w:p>
            <w:pPr>
              <w:keepNext/>
              <w:pStyle w:val="Compact"/>
              <w:jc w:val="right"/>
            </w:pPr>
            <w:r>
              <w:t xml:space="preserve">0.90</w:t>
            </w:r>
          </w:p>
        </w:tc>
        <w:tc>
          <w:tcPr>
            <w:tcW w:type="dxa" w:w="2636"/>
          </w:tcPr>
          <w:p>
            <w:pPr>
              <w:keepNext/>
              <w:pStyle w:val="Compact"/>
              <w:jc w:val="right"/>
            </w:pPr>
            <w:r>
              <w:t xml:space="preserve">0.42</w:t>
            </w:r>
          </w:p>
        </w:tc>
      </w:tr>
      <w:tr>
        <w:trPr>
          <w:cantSplit/>
        </w:trPr>
        <w:tc>
          <w:tcPr>
            <w:tcW w:type="dxa" w:w="3796"/>
          </w:tcPr>
          <w:p>
            <w:pPr>
              <w:keepNext/>
              <w:pStyle w:val="Compact"/>
              <w:jc w:val="left"/>
            </w:pPr>
            <w:r>
              <w:t xml:space="preserve">crossing residuals</w:t>
            </w:r>
          </w:p>
        </w:tc>
        <w:tc>
          <w:tcPr>
            <w:tcW w:type="dxa" w:w="2636"/>
          </w:tcPr>
          <w:p>
            <w:pPr>
              <w:keepNext/>
              <w:pStyle w:val="Compact"/>
              <w:jc w:val="right"/>
            </w:pPr>
            <w:r>
              <w:t xml:space="preserve">0.63</w:t>
            </w:r>
          </w:p>
        </w:tc>
        <w:tc>
          <w:tcPr>
            <w:tcW w:type="dxa" w:w="2636"/>
          </w:tcPr>
          <w:p>
            <w:pPr>
              <w:keepNext/>
              <w:pStyle w:val="Compact"/>
              <w:jc w:val="right"/>
            </w:pPr>
            <w:r>
              <w:t xml:space="preserve">0.30</w:t>
            </w:r>
          </w:p>
        </w:tc>
      </w:tr>
      <w:tr>
        <w:trPr>
          <w:cantSplit/>
        </w:trPr>
        <w:tc>
          <w:tcPr>
            <w:tcW w:type="dxa" w:w="3796"/>
          </w:tcPr>
          <w:p>
            <w:pPr>
              <w:pStyle w:val="Compact"/>
              <w:jc w:val="left"/>
            </w:pPr>
            <w:r>
              <w:t xml:space="preserve">crossing residuals, st40 with its neighbors</w:t>
            </w:r>
          </w:p>
        </w:tc>
        <w:tc>
          <w:tcPr>
            <w:tcW w:type="dxa" w:w="2636"/>
          </w:tcPr>
          <w:p>
            <w:pPr>
              <w:pStyle w:val="Compact"/>
              <w:jc w:val="right"/>
            </w:pPr>
            <w:r>
              <w:t xml:space="preserve">0.30–0.37</w:t>
            </w:r>
          </w:p>
        </w:tc>
        <w:tc>
          <w:tcPr>
            <w:tcW w:type="dxa" w:w="2636"/>
          </w:tcPr>
          <w:p>
            <w:pPr>
              <w:pStyle w:val="Compact"/>
              <w:jc w:val="right"/>
            </w:pPr>
            <w:r>
              <w:t xml:space="preserve">–</w:t>
            </w:r>
          </w:p>
        </w:tc>
      </w:tr>
    </w:tbl>
    <w:p>
      <w:pPr>
        <w:pStyle w:val="BodyText"/>
        <w:keepNext/>
        <w:keepLines/>
      </w:pPr>
      <w:r>
        <w:rPr>
          <w:bCs/>
          <w:b/>
        </w:rPr>
        <w:t xml:space="preserve">Table S10.</w:t>
      </w:r>
      <w:r>
        <w:t xml:space="preserve"> </w:t>
      </w:r>
      <w:r>
        <w:t xml:space="preserve">Day 2: per-crossing standard deviation (SD) of the gross weight predicted by two covariance models, and the observed error (% of GVW). SD and MAE are different measures; the table compares the order of the two estimators, not magnitudes. Row 1 is the mean of the leave-one-run-out predictions; on the all-run basis of row 2, the vehicle-free value for GLS is 12.8.</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4597"/>
        <w:gridCol w:w="2360"/>
        <w:gridCol w:w="2112"/>
      </w:tblGrid>
      <w:tr>
        <w:trPr>
          <w:tblHeader w:val="true"/>
          <w:tblHeader w:val="true"/>
          <w:cantSplit/>
        </w:trPr>
        <w:tc>
          <w:tcPr>
            <w:tcW w:type="dxa" w:w="4597"/>
            <w:tcBorders>
              <w:top w:val="nil"/>
              <w:left w:val="nil"/>
              <w:bottom w:val="single" w:sz="6" w:space="0" w:color="000000"/>
              <w:right w:val="nil"/>
            </w:tcBorders>
          </w:tcPr>
          <w:p>
            <w:pPr>
              <w:keepNext/>
              <w:pStyle w:val="Compact"/>
              <w:jc w:val="left"/>
            </w:pPr>
            <w:r>
              <w:t xml:space="preserve">Quantity</w:t>
            </w:r>
          </w:p>
        </w:tc>
        <w:tc>
          <w:tcPr>
            <w:tcW w:type="dxa" w:w="2360"/>
            <w:tcBorders>
              <w:top w:val="nil"/>
              <w:left w:val="nil"/>
              <w:bottom w:val="single" w:sz="6" w:space="0" w:color="000000"/>
              <w:right w:val="nil"/>
            </w:tcBorders>
          </w:tcPr>
          <w:p>
            <w:pPr>
              <w:keepNext/>
              <w:pStyle w:val="Compact"/>
              <w:jc w:val="right"/>
            </w:pPr>
            <w:r>
              <w:t xml:space="preserve">GLS, measured</w:t>
            </w:r>
            <w:r>
              <w:t xml:space="preserve"> </w:t>
            </w:r>
            <m:oMath>
              <m:r>
                <m:t>Σ</m:t>
              </m:r>
            </m:oMath>
          </w:p>
        </w:tc>
        <w:tc>
          <w:tcPr>
            <w:tcW w:type="dxa" w:w="2112"/>
            <w:tcBorders>
              <w:top w:val="nil"/>
              <w:left w:val="nil"/>
              <w:bottom w:val="single" w:sz="6" w:space="0" w:color="000000"/>
              <w:right w:val="nil"/>
            </w:tcBorders>
          </w:tcPr>
          <w:p>
            <w:pPr>
              <w:keepNext/>
              <w:pStyle w:val="Compact"/>
              <w:jc w:val="right"/>
            </w:pPr>
            <w:r>
              <w:t xml:space="preserve">Gauge average</w:t>
            </w:r>
          </w:p>
        </w:tc>
      </w:tr>
      <w:tr>
        <w:trPr>
          <w:cantSplit/>
        </w:trPr>
        <w:tc>
          <w:tcPr>
            <w:tcW w:type="dxa" w:w="4597"/>
          </w:tcPr>
          <w:p>
            <w:pPr>
              <w:keepNext/>
              <w:pStyle w:val="Compact"/>
              <w:jc w:val="left"/>
            </w:pPr>
            <w:r>
              <w:t xml:space="preserve">SD predicted from the vehicle-free covariance</w:t>
            </w:r>
          </w:p>
        </w:tc>
        <w:tc>
          <w:tcPr>
            <w:tcW w:type="dxa" w:w="2360"/>
          </w:tcPr>
          <w:p>
            <w:pPr>
              <w:keepNext/>
              <w:pStyle w:val="Compact"/>
              <w:jc w:val="right"/>
            </w:pPr>
            <w:r>
              <w:t xml:space="preserve">12.7</w:t>
            </w:r>
          </w:p>
        </w:tc>
        <w:tc>
          <w:tcPr>
            <w:tcW w:type="dxa" w:w="2112"/>
          </w:tcPr>
          <w:p>
            <w:pPr>
              <w:keepNext/>
              <w:pStyle w:val="Compact"/>
              <w:jc w:val="right"/>
            </w:pPr>
            <w:r>
              <w:t xml:space="preserve">19.8</w:t>
            </w:r>
          </w:p>
        </w:tc>
      </w:tr>
      <w:tr>
        <w:trPr>
          <w:cantSplit/>
        </w:trPr>
        <w:tc>
          <w:tcPr>
            <w:tcW w:type="dxa" w:w="4597"/>
          </w:tcPr>
          <w:p>
            <w:pPr>
              <w:keepNext/>
              <w:pStyle w:val="Compact"/>
              <w:jc w:val="left"/>
            </w:pPr>
            <w:r>
              <w:t xml:space="preserve">SD predicted from the covariance of the crossing residuals</w:t>
            </w:r>
          </w:p>
        </w:tc>
        <w:tc>
          <w:tcPr>
            <w:tcW w:type="dxa" w:w="2360"/>
          </w:tcPr>
          <w:p>
            <w:pPr>
              <w:keepNext/>
              <w:pStyle w:val="Compact"/>
              <w:jc w:val="right"/>
            </w:pPr>
            <w:r>
              <w:t xml:space="preserve">21.0</w:t>
            </w:r>
          </w:p>
        </w:tc>
        <w:tc>
          <w:tcPr>
            <w:tcW w:type="dxa" w:w="2112"/>
          </w:tcPr>
          <w:p>
            <w:pPr>
              <w:keepNext/>
              <w:pStyle w:val="Compact"/>
              <w:jc w:val="right"/>
            </w:pPr>
            <w:r>
              <w:t xml:space="preserve">14.6</w:t>
            </w:r>
          </w:p>
        </w:tc>
      </w:tr>
      <w:tr>
        <w:trPr>
          <w:cantSplit/>
        </w:trPr>
        <w:tc>
          <w:tcPr>
            <w:tcW w:type="dxa" w:w="4597"/>
          </w:tcPr>
          <w:p>
            <w:pPr>
              <w:pStyle w:val="Compact"/>
              <w:jc w:val="left"/>
            </w:pPr>
            <w:r>
              <w:t xml:space="preserve">Observed MAE, leave-one-run-out (main-text Table 2)</w:t>
            </w:r>
          </w:p>
        </w:tc>
        <w:tc>
          <w:tcPr>
            <w:tcW w:type="dxa" w:w="2360"/>
          </w:tcPr>
          <w:p>
            <w:pPr>
              <w:pStyle w:val="Compact"/>
              <w:jc w:val="right"/>
            </w:pPr>
            <w:r>
              <w:t xml:space="preserve">20.4</w:t>
            </w:r>
          </w:p>
        </w:tc>
        <w:tc>
          <w:tcPr>
            <w:tcW w:type="dxa" w:w="2112"/>
          </w:tcPr>
          <w:p>
            <w:pPr>
              <w:pStyle w:val="Compact"/>
              <w:jc w:val="right"/>
            </w:pPr>
            <w:r>
              <w:t xml:space="preserve">11.9</w:t>
            </w:r>
          </w:p>
        </w:tc>
      </w:tr>
    </w:tbl>
    <w:bookmarkEnd w:id="65"/>
    <w:bookmarkStart w:id="72" w:name="s8.-mây-bridge"/>
    <w:p>
      <w:pPr>
        <w:pStyle w:val="Heading2"/>
      </w:pPr>
      <w:r>
        <w:t xml:space="preserve">S8. Mây Bridge</w:t>
      </w:r>
    </w:p>
    <w:p>
      <w:pPr>
        <w:pStyle w:val="FirstParagraph"/>
      </w:pPr>
      <w:r>
        <w:t xml:space="preserve">Bridge and test. The bridge carries provincial road ĐT389. In the June 2020 acceptance test, four trucks stood in the side span (gauge N8) and six in the main span (gauge N7). The trucks were 3-axle, nominally 5 + 10 + 10 t, with a mean weighed gross weight of 25.06 t (Table S11). Mitutoyo dial gauges, mounted on independent frames fixed to the ground, read the peak deflection under central and eccentric transverse positions at three measuring points across each section (Table S12). The readings across one section differ by up to 2.05 mm in the eccentric N7 case, about 13 % of the mean reading.</w:t>
      </w:r>
    </w:p>
    <w:p>
      <w:pPr>
        <w:pStyle w:val="BodyText"/>
      </w:pPr>
      <w:r>
        <w:t xml:space="preserve">Model. Design sections: depth 2.40 m (mid-span) to 5.40 m (piers), second moments 5.482 m⁴ and 59.61 m⁴,</w:t>
      </w:r>
      <w:r>
        <w:t xml:space="preserve"> </w:t>
      </w:r>
      <m:oMath>
        <m:sSub>
          <m:e>
            <m:r>
              <m:t>E</m:t>
            </m:r>
          </m:e>
          <m:sub>
            <m:r>
              <m:rPr>
                <m:sty m:val="p"/>
                <m:nor/>
              </m:rPr>
              <m:t>c</m:t>
            </m:r>
          </m:sub>
        </m:sSub>
      </m:oMath>
      <w:r>
        <w:t xml:space="preserve"> </w:t>
      </w:r>
      <w:r>
        <w:t xml:space="preserve">= 36 057 MPa. Model-form variants:</w:t>
      </w:r>
      <w:r>
        <w:t xml:space="preserve"> </w:t>
      </w:r>
      <m:oMath>
        <m:sSub>
          <m:e>
            <m:r>
              <m:t>L</m:t>
            </m:r>
          </m:e>
          <m:sub>
            <m:r>
              <m:rPr>
                <m:sty m:val="p"/>
                <m:nor/>
              </m:rPr>
              <m:t>v</m:t>
            </m:r>
          </m:sub>
        </m:sSub>
      </m:oMath>
      <w:r>
        <w:t xml:space="preserve"> </w:t>
      </w:r>
      <w:r>
        <w:t xml:space="preserve">= 40 and 45 m (base 44 m), exponents 2.5 and 3.2 (base 2.943), rigid pier zone ±1.5 m. The misfit ratio</w:t>
      </w:r>
      <w:r>
        <w:t xml:space="preserve"> </w:t>
      </w:r>
      <m:oMath>
        <m:sSub>
          <m:e>
            <m:r>
              <m:t>r</m:t>
            </m:r>
          </m:e>
          <m:sub>
            <m:r>
              <m:t>87</m:t>
            </m:r>
          </m:sub>
        </m:sSub>
      </m:oMath>
      <w:r>
        <w:t xml:space="preserve"> </w:t>
      </w:r>
      <w:r>
        <w:t xml:space="preserve">is 1.126 at</w:t>
      </w:r>
      <w:r>
        <w:t xml:space="preserve"> </w:t>
      </w:r>
      <m:oMath>
        <m:r>
          <m:t>κ</m:t>
        </m:r>
      </m:oMath>
      <w:r>
        <w:t xml:space="preserve"> </w:t>
      </w:r>
      <w:r>
        <w:t xml:space="preserve">= 10⁷ kN m/rad, has its minimum 1.058 at</w:t>
      </w:r>
      <w:r>
        <w:t xml:space="preserve"> </w:t>
      </w:r>
      <m:oMath>
        <m:r>
          <m:t>κ</m:t>
        </m:r>
      </m:oMath>
      <w:r>
        <w:t xml:space="preserve"> </w:t>
      </w:r>
      <w:r>
        <w:t xml:space="preserve">= 1.68 × 10⁸ kN m/rad (calibration B) and is 1.091 for fixed piers.</w:t>
      </w:r>
    </w:p>
    <w:p>
      <w:pPr>
        <w:pStyle w:val="BodyText"/>
      </w:pPr>
      <w:r>
        <w:t xml:space="preserve">Tolerance. The six readings of each section have a standard deviation of 4.7–5.0 % about their mean (Table S12), so the standard error of the mean is 1.9–2.0 %. Dividing the six-reading SD by</w:t>
      </w:r>
      <w:r>
        <w:t xml:space="preserve"> </w:t>
      </w:r>
      <m:oMath>
        <m:rad>
          <m:radPr>
            <m:degHide m:val="on"/>
          </m:radPr>
          <m:deg/>
          <m:e>
            <m:r>
              <m:t>6</m:t>
            </m:r>
          </m:e>
        </m:rad>
      </m:oMath>
      <w:r>
        <w:t xml:space="preserve"> </w:t>
      </w:r>
      <w:r>
        <w:t xml:space="preserve">treats the transverse readings as independent samples; this is an assumption, because the scatter comes from the transverse positions and the readings are not replicates. The model-form standard uncertainty of 1.75 % is half the spread of</w:t>
      </w:r>
      <w:r>
        <w:t xml:space="preserve"> </w:t>
      </w:r>
      <m:oMath>
        <m:r>
          <m:rPr>
            <m:sty m:val="p"/>
            <m:nor/>
          </m:rPr>
          <m:t>ln</m:t>
        </m:r>
      </m:oMath>
      <w:r>
        <w:t xml:space="preserve"> </w:t>
      </w:r>
      <w:r>
        <w:t xml:space="preserve">of the predicted N8-to-N7 ratio across the model-form variants at the minimum of the misfit ratio (</w:t>
      </w:r>
      <m:oMath>
        <m:r>
          <m:t>κ</m:t>
        </m:r>
      </m:oMath>
      <w:r>
        <w:t xml:space="preserve"> </w:t>
      </w:r>
      <w:r>
        <w:t xml:space="preserve">= 1.68 × 10⁸ kN m/rad), divided by</w:t>
      </w:r>
      <w:r>
        <w:t xml:space="preserve"> </w:t>
      </w:r>
      <m:oMath>
        <m:rad>
          <m:radPr>
            <m:degHide m:val="on"/>
          </m:radPr>
          <m:deg/>
          <m:e>
            <m:r>
              <m:t>2</m:t>
            </m:r>
          </m:e>
        </m:rad>
      </m:oMath>
      <w:r>
        <w:t xml:space="preserve"> </w:t>
      </w:r>
      <w:r>
        <w:t xml:space="preserve">to give a per-gauge value (script</w:t>
      </w:r>
      <w:r>
        <w:t xml:space="preserve"> </w:t>
      </w:r>
      <w:r>
        <w:rPr>
          <w:rStyle w:val="VerbatimChar"/>
        </w:rPr>
        <w:t xml:space="preserve">ident_static.py</w:t>
      </w:r>
      <w:r>
        <w:t xml:space="preserve">). Combined in quadrature with the pooled standard error of the mean, it gives 2.64 % for each section mean and</w:t>
      </w:r>
      <w:r>
        <w:t xml:space="preserve"> </w:t>
      </w:r>
      <m:oMath>
        <m:r>
          <m:t>τ</m:t>
        </m:r>
      </m:oMath>
      <w:r>
        <w:t xml:space="preserve"> </w:t>
      </w:r>
      <w:r>
        <w:t xml:space="preserve">= 5.3 % at two standard deviations.</w:t>
      </w:r>
    </w:p>
    <w:p>
      <w:pPr>
        <w:pStyle w:val="BodyText"/>
      </w:pPr>
      <w:r>
        <w:t xml:space="preserve">Admissible sets (Table S13). The conclusions depend on the tolerance, so Table S13 gives the admissible set at</w:t>
      </w:r>
      <w:r>
        <w:t xml:space="preserve"> </w:t>
      </w:r>
      <m:oMath>
        <m:r>
          <m:t>τ</m:t>
        </m:r>
      </m:oMath>
      <w:r>
        <w:t xml:space="preserve"> </w:t>
      </w:r>
      <w:r>
        <w:t xml:space="preserve">= 3, 4 and 5.3 %. At</w:t>
      </w:r>
      <w:r>
        <w:t xml:space="preserve"> </w:t>
      </w:r>
      <m:oMath>
        <m:r>
          <m:t>τ</m:t>
        </m:r>
      </m:oMath>
      <w:r>
        <w:t xml:space="preserve"> </w:t>
      </w:r>
      <w:r>
        <w:t xml:space="preserve">= 3 % the admissible set shrinks and excludes the design rigidity,</w:t>
      </w:r>
      <w:r>
        <w:t xml:space="preserve"> </w:t>
      </w:r>
      <m:oMath>
        <m:r>
          <m:t>α</m:t>
        </m:r>
      </m:oMath>
      <w:r>
        <w:t xml:space="preserve"> </w:t>
      </w:r>
      <w:r>
        <w:t xml:space="preserve">= 1. The ratio of the largest to the smallest</w:t>
      </w:r>
      <w:r>
        <w:t xml:space="preserve"> </w:t>
      </w:r>
      <m:oMath>
        <m:sSub>
          <m:e>
            <m:r>
              <m:t>C</m:t>
            </m:r>
          </m:e>
          <m:sub>
            <m:r>
              <m:t>8</m:t>
            </m:r>
          </m:sub>
        </m:sSub>
      </m:oMath>
      <w:r>
        <w:t xml:space="preserve"> </w:t>
      </w:r>
      <w:r>
        <w:t xml:space="preserve">over the admissible set is 1.5 at</w:t>
      </w:r>
      <w:r>
        <w:t xml:space="preserve"> </w:t>
      </w:r>
      <m:oMath>
        <m:r>
          <m:t>τ</m:t>
        </m:r>
      </m:oMath>
      <w:r>
        <w:t xml:space="preserve"> </w:t>
      </w:r>
      <w:r>
        <w:t xml:space="preserve">= 3 %, 3.4 at 4 % and 6.6 at 5.3 %, and 2.4 at 5.3 % with the prior</w:t>
      </w:r>
      <w:r>
        <w:t xml:space="preserve"> </w:t>
      </w:r>
      <m:oMath>
        <m:r>
          <m:t>α</m:t>
        </m:r>
      </m:oMath>
      <w:r>
        <w:t xml:space="preserve"> </w:t>
      </w:r>
      <w:r>
        <w:t xml:space="preserve">= 0.9–1.3; for</w:t>
      </w:r>
      <w:r>
        <w:t xml:space="preserve"> </w:t>
      </w:r>
      <m:oMath>
        <m:sSub>
          <m:e>
            <m:r>
              <m:t>C</m:t>
            </m:r>
          </m:e>
          <m:sub>
            <m:r>
              <m:t>7</m:t>
            </m:r>
          </m:sub>
        </m:sSub>
      </m:oMath>
      <w:r>
        <w:t xml:space="preserve"> </w:t>
      </w:r>
      <w:r>
        <w:t xml:space="preserve">the same ratios are 1.1, 1.4, 1.5 and 1.1. The upper end of</w:t>
      </w:r>
      <w:r>
        <w:t xml:space="preserve"> </w:t>
      </w:r>
      <m:oMath>
        <m:sSub>
          <m:e>
            <m:r>
              <m:t>C</m:t>
            </m:r>
          </m:e>
          <m:sub>
            <m:r>
              <m:t>8</m:t>
            </m:r>
          </m:sub>
        </m:sSub>
      </m:oMath>
      <w:r>
        <w:t xml:space="preserve"> </w:t>
      </w:r>
      <w:r>
        <w:t xml:space="preserve">at 5.3 % needs</w:t>
      </w:r>
      <w:r>
        <w:t xml:space="preserve"> </w:t>
      </w:r>
      <m:oMath>
        <m:r>
          <m:t>α</m:t>
        </m:r>
        <m:r>
          <m:rPr>
            <m:sty m:val="p"/>
          </m:rPr>
          <m:t>≈</m:t>
        </m:r>
        <m:r>
          <m:t>0.5</m:t>
        </m:r>
      </m:oMath>
      <w:r>
        <w:t xml:space="preserve"> </w:t>
      </w:r>
      <w:r>
        <w:t xml:space="preserve">with</w:t>
      </w:r>
      <w:r>
        <w:t xml:space="preserve"> </w:t>
      </w:r>
      <m:oMath>
        <m:r>
          <m:t>κ</m:t>
        </m:r>
      </m:oMath>
      <w:r>
        <w:t xml:space="preserve"> </w:t>
      </w:r>
      <w:r>
        <w:t xml:space="preserve">toward fixity.</w:t>
      </w:r>
    </w:p>
    <w:p>
      <w:pPr>
        <w:pStyle w:val="BodyText"/>
      </w:pPr>
      <w:r>
        <w:t xml:space="preserve">Frequencies. The measured vertical frequencies (3.43–3.64 Hz; Table S14) would narrow the admissible set further if they belonged to the third vertical mode. This interpretation is conditional: Fig. S14 shows the predicted vertical frequencies against the scaled pier stiffness</w:t>
      </w:r>
      <w:r>
        <w:t xml:space="preserve"> </w:t>
      </w:r>
      <m:oMath>
        <m:r>
          <m:t>κ</m:t>
        </m:r>
      </m:oMath>
      <w:r>
        <w:t xml:space="preserve">, and Fig. S15 the static misfit over the plane of</w:t>
      </w:r>
      <w:r>
        <w:t xml:space="preserve"> </w:t>
      </w:r>
      <m:oMath>
        <m:r>
          <m:t>α</m:t>
        </m:r>
      </m:oMath>
      <w:r>
        <w:t xml:space="preserve"> </w:t>
      </w:r>
      <w:r>
        <w:t xml:space="preserve">and</w:t>
      </w:r>
      <w:r>
        <w:t xml:space="preserve"> </w:t>
      </w:r>
      <m:oMath>
        <m:r>
          <m:t>k</m:t>
        </m:r>
      </m:oMath>
      <w:r>
        <w:t xml:space="preserve"> </w:t>
      </w:r>
      <w:r>
        <w:t xml:space="preserve">with contours of the third vertical frequency. The acceptance test reports only one frequency per span, so the first frequency is not identified, and the Cramér–Rao bound of 0.24 on the standard deviation of</w:t>
      </w:r>
      <w:r>
        <w:t xml:space="preserve"> </w:t>
      </w:r>
      <m:oMath>
        <m:r>
          <m:rPr>
            <m:sty m:val="p"/>
            <m:nor/>
          </m:rPr>
          <m:t>ln</m:t>
        </m:r>
        <m:sSub>
          <m:e>
            <m:r>
              <m:t>C</m:t>
            </m:r>
          </m:e>
          <m:sub>
            <m:r>
              <m:t>8</m:t>
            </m:r>
          </m:sub>
        </m:sSub>
      </m:oMath>
      <w:r>
        <w:t xml:space="preserve"> </w:t>
      </w:r>
      <w:r>
        <w:t xml:space="preserve">that the first and third frequencies would give assumes a measurement that was not made. The bounds of Section 5.3 are evaluated at the design pier stiffness,</w:t>
      </w:r>
      <w:r>
        <w:t xml:space="preserve"> </w:t>
      </w:r>
      <m:oMath>
        <m:r>
          <m:t>κ</m:t>
        </m:r>
        <m:r>
          <m:rPr>
            <m:sty m:val="p"/>
          </m:rPr>
          <m:t>=</m:t>
        </m:r>
        <m:r>
          <m:t>2.75</m:t>
        </m:r>
        <m:r>
          <m:rPr>
            <m:sty m:val="p"/>
          </m:rPr>
          <m:t>×</m:t>
        </m:r>
        <m:sSup>
          <m:e>
            <m:r>
              <m:t>10</m:t>
            </m:r>
          </m:e>
          <m:sup>
            <m:r>
              <m:t>7</m:t>
            </m:r>
          </m:sup>
        </m:sSup>
      </m:oMath>
      <w:r>
        <w:t xml:space="preserve"> </w:t>
      </w:r>
      <w:r>
        <w:t xml:space="preserve">kN m/rad, with</w:t>
      </w:r>
      <w:r>
        <w:t xml:space="preserve"> </w:t>
      </w:r>
      <m:oMath>
        <m:r>
          <m:t>α</m:t>
        </m:r>
      </m:oMath>
      <w:r>
        <w:t xml:space="preserve"> </w:t>
      </w:r>
      <w:r>
        <w:t xml:space="preserve">refitted to</w:t>
      </w:r>
      <w:r>
        <w:t xml:space="preserve"> </w:t>
      </w:r>
      <m:oMath>
        <m:sSup>
          <m:e>
            <m:r>
              <m:t>α</m:t>
            </m:r>
          </m:e>
          <m:sup>
            <m:r>
              <m:rPr>
                <m:nor/>
              </m:rPr>
              <m:t>*</m:t>
            </m:r>
          </m:sup>
        </m:sSup>
        <m:r>
          <m:rPr>
            <m:sty m:val="p"/>
          </m:rPr>
          <m:t>=</m:t>
        </m:r>
        <m:r>
          <m:t>1.07</m:t>
        </m:r>
      </m:oMath>
      <w:r>
        <w:t xml:space="preserve"> </w:t>
      </w:r>
      <w:r>
        <w:t xml:space="preserve">(Fig. 7b).</w:t>
      </w:r>
    </w:p>
    <w:p>
      <w:pPr>
        <w:pStyle w:val="Figure"/>
      </w:pPr>
      <w:r>
        <w:drawing>
          <wp:inline>
            <wp:extent cx="5039999" cy="2677499"/>
            <wp:effectExtent b="0" l="0" r="0" t="0"/>
            <wp:docPr descr="" title="" id="67" name="Picture"/>
            <a:graphic>
              <a:graphicData uri="http://schemas.openxmlformats.org/drawingml/2006/picture">
                <pic:pic>
                  <pic:nvPicPr>
                    <pic:cNvPr descr="/home/user/SHM-Paper1-1D/manuscript/ase/figures/supplementary/FigS14_caumay_freq_vs_kappa.png" id="68" name="Picture"/>
                    <pic:cNvPicPr>
                      <a:picLocks noChangeArrowheads="1" noChangeAspect="1"/>
                    </pic:cNvPicPr>
                  </pic:nvPicPr>
                  <pic:blipFill>
                    <a:blip r:embed="rId66"/>
                    <a:stretch>
                      <a:fillRect/>
                    </a:stretch>
                  </pic:blipFill>
                  <pic:spPr bwMode="auto">
                    <a:xfrm>
                      <a:off x="0" y="0"/>
                      <a:ext cx="5039999" cy="2677499"/>
                    </a:xfrm>
                    <a:prstGeom prst="rect">
                      <a:avLst/>
                    </a:prstGeom>
                    <a:noFill/>
                    <a:ln w="9525">
                      <a:noFill/>
                      <a:headEnd/>
                      <a:tailEnd/>
                    </a:ln>
                  </pic:spPr>
                </pic:pic>
              </a:graphicData>
            </a:graphic>
          </wp:inline>
        </w:drawing>
      </w:r>
    </w:p>
    <w:p>
      <w:pPr>
        <w:pStyle w:val="Captionjustified"/>
        <w:keepLines/>
      </w:pPr>
      <w:r>
        <w:rPr>
          <w:bCs/>
          <w:b/>
        </w:rPr>
        <w:t xml:space="preserve">Figure S14.</w:t>
      </w:r>
      <w:r>
        <w:t xml:space="preserve"> </w:t>
      </w:r>
      <w:r>
        <w:t xml:space="preserve">Mây Bridge: first, second and third vertical frequencies against the scaled pier stiffness</w:t>
      </w:r>
      <w:r>
        <w:t xml:space="preserve"> </w:t>
      </w:r>
      <m:oMath>
        <m:r>
          <m:t>κ</m:t>
        </m:r>
      </m:oMath>
      <w:r>
        <w:t xml:space="preserve">, for low, base and high mass, with the measured band. Curves for</w:t>
      </w:r>
      <w:r>
        <w:t xml:space="preserve"> </w:t>
      </w:r>
      <m:oMath>
        <m:r>
          <m:t>α</m:t>
        </m:r>
        <m:r>
          <m:rPr>
            <m:sty m:val="p"/>
          </m:rPr>
          <m:t>=</m:t>
        </m:r>
        <m:r>
          <m:t>1</m:t>
        </m:r>
      </m:oMath>
      <w:r>
        <w:t xml:space="preserve"> </w:t>
      </w:r>
      <w:r>
        <w:t xml:space="preserve">with the dynamic modulus equal to the static modulus; frequencies scale with</w:t>
      </w:r>
      <w:r>
        <w:t xml:space="preserve"> </w:t>
      </w:r>
      <m:oMath>
        <m:rad>
          <m:radPr>
            <m:degHide m:val="on"/>
          </m:radPr>
          <m:deg/>
          <m:e>
            <m:r>
              <m:t>α</m:t>
            </m:r>
          </m:e>
        </m:rad>
      </m:oMath>
      <w:r>
        <w:t xml:space="preserve">.</w:t>
      </w:r>
    </w:p>
    <w:p>
      <w:pPr>
        <w:pStyle w:val="Figure"/>
      </w:pPr>
      <w:r>
        <w:drawing>
          <wp:inline>
            <wp:extent cx="5039999" cy="3557647"/>
            <wp:effectExtent b="0" l="0" r="0" t="0"/>
            <wp:docPr descr="" title="" id="70" name="Picture"/>
            <a:graphic>
              <a:graphicData uri="http://schemas.openxmlformats.org/drawingml/2006/picture">
                <pic:pic>
                  <pic:nvPicPr>
                    <pic:cNvPr descr="/home/user/SHM-Paper1-1D/manuscript/ase/figures/supplementary/FigS15_caumay_alpha_k_map.png" id="71" name="Picture"/>
                    <pic:cNvPicPr>
                      <a:picLocks noChangeArrowheads="1" noChangeAspect="1"/>
                    </pic:cNvPicPr>
                  </pic:nvPicPr>
                  <pic:blipFill>
                    <a:blip r:embed="rId69"/>
                    <a:stretch>
                      <a:fillRect/>
                    </a:stretch>
                  </pic:blipFill>
                  <pic:spPr bwMode="auto">
                    <a:xfrm>
                      <a:off x="0" y="0"/>
                      <a:ext cx="5039999" cy="3557647"/>
                    </a:xfrm>
                    <a:prstGeom prst="rect">
                      <a:avLst/>
                    </a:prstGeom>
                    <a:noFill/>
                    <a:ln w="9525">
                      <a:noFill/>
                      <a:headEnd/>
                      <a:tailEnd/>
                    </a:ln>
                  </pic:spPr>
                </pic:pic>
              </a:graphicData>
            </a:graphic>
          </wp:inline>
        </w:drawing>
      </w:r>
    </w:p>
    <w:p>
      <w:pPr>
        <w:pStyle w:val="Captionjustified"/>
        <w:keepLines/>
      </w:pPr>
      <w:r>
        <w:rPr>
          <w:bCs/>
          <w:b/>
        </w:rPr>
        <w:t xml:space="preserve">Figure S15.</w:t>
      </w:r>
      <w:r>
        <w:t xml:space="preserve"> </w:t>
      </w:r>
      <w:r>
        <w:t xml:space="preserve">Mây Bridge: static misfit over the effective-to-design rigidity ratio</w:t>
      </w:r>
      <w:r>
        <w:t xml:space="preserve"> </w:t>
      </w:r>
      <m:oMath>
        <m:r>
          <m:t>α</m:t>
        </m:r>
      </m:oMath>
      <w:r>
        <w:t xml:space="preserve"> </w:t>
      </w:r>
      <w:r>
        <w:t xml:space="preserve">and the pier stiffness</w:t>
      </w:r>
      <w:r>
        <w:t xml:space="preserve"> </w:t>
      </w:r>
      <m:oMath>
        <m:r>
          <m:t>k</m:t>
        </m:r>
      </m:oMath>
      <w:r>
        <w:t xml:space="preserve">, with contours of the third vertical frequency equal to the measured values: dashed 3.43 Hz, solid 3.64 Hz; green, red and blue for low, base and high mass. Yellow: first-frequency contours (base mass). White dotted line: best static fit</w:t>
      </w:r>
      <w:r>
        <w:t xml:space="preserve"> </w:t>
      </w:r>
      <m:oMath>
        <m:sSup>
          <m:e>
            <m:r>
              <m:t>α</m:t>
            </m:r>
          </m:e>
          <m:sup>
            <m:r>
              <m:rPr>
                <m:nor/>
              </m:rPr>
              <m:t>*</m:t>
            </m:r>
          </m:sup>
        </m:sSup>
        <m:d>
          <m:dPr>
            <m:begChr m:val="("/>
            <m:endChr m:val=")"/>
            <m:grow/>
          </m:dPr>
          <m:e>
            <m:r>
              <m:t>κ</m:t>
            </m:r>
          </m:e>
        </m:d>
      </m:oMath>
      <w:r>
        <w:t xml:space="preserve">. Open circle A: calibration A; filled circle A′: best static</w:t>
      </w:r>
      <w:r>
        <w:t xml:space="preserve"> </w:t>
      </w:r>
      <m:oMath>
        <m:r>
          <m:t>α</m:t>
        </m:r>
      </m:oMath>
      <w:r>
        <w:t xml:space="preserve"> </w:t>
      </w:r>
      <w:r>
        <w:t xml:space="preserve">at the design</w:t>
      </w:r>
      <w:r>
        <w:t xml:space="preserve"> </w:t>
      </w:r>
      <m:oMath>
        <m:r>
          <m:t>k</m:t>
        </m:r>
      </m:oMath>
      <w:r>
        <w:t xml:space="preserve">; square B: calibration B. Gray scale: maximum static misfit; the 5.27 % level is</w:t>
      </w:r>
      <w:r>
        <w:t xml:space="preserve"> </w:t>
      </w:r>
      <m:oMath>
        <m:r>
          <m:t>τ</m:t>
        </m:r>
      </m:oMath>
      <w:r>
        <w:t xml:space="preserve"> </w:t>
      </w:r>
      <w:r>
        <w:t xml:space="preserve">(5.3 % in the text).</w:t>
      </w:r>
    </w:p>
    <w:p>
      <w:pPr>
        <w:pStyle w:val="BodyText"/>
      </w:pPr>
      <w:r>
        <w:t xml:space="preserve">Indicators and channels (Table S15). In the base model, going from pinned to fixed piers multiplies the N8 constant by 14.0 but reduces the N7 constant to 0.59 of its pinned value. The design stiffness sits at</w:t>
      </w:r>
      <w:r>
        <w:t xml:space="preserve"> </w:t>
      </w:r>
      <m:oMath>
        <m:r>
          <m:t>κ</m:t>
        </m:r>
        <m:r>
          <m:rPr>
            <m:sty m:val="p"/>
          </m:rPr>
          <m:t>/</m:t>
        </m:r>
        <m:sSub>
          <m:e>
            <m:r>
              <m:t>k</m:t>
            </m:r>
          </m:e>
          <m:sub>
            <m:r>
              <m:t>g</m:t>
            </m:r>
          </m:sub>
        </m:sSub>
        <m:r>
          <m:rPr>
            <m:sty m:val="p"/>
          </m:rPr>
          <m:t>=</m:t>
        </m:r>
        <m:r>
          <m:t>0.63</m:t>
        </m:r>
      </m:oMath>
      <w:r>
        <w:t xml:space="preserve">, near the steepest part of the Möbius curve, where</w:t>
      </w:r>
      <w:r>
        <w:t xml:space="preserve"> </w:t>
      </w:r>
      <m:oMath>
        <m:sSub>
          <m:e>
            <m:r>
              <m:t>B</m:t>
            </m:r>
          </m:e>
          <m:sub>
            <m:r>
              <m:t>m</m:t>
            </m:r>
          </m:sub>
        </m:sSub>
      </m:oMath>
      <w:r>
        <w:t xml:space="preserve"> </w:t>
      </w:r>
      <w:r>
        <w:t xml:space="preserve">is 0.51 at N8 and 0.12 at N7. Calibrating to the N8 reading does not fix the N8 constant either: the ratio of</w:t>
      </w:r>
      <w:r>
        <w:t xml:space="preserve"> </w:t>
      </w:r>
      <m:oMath>
        <m:sSub>
          <m:e>
            <m:r>
              <m:t>C</m:t>
            </m:r>
          </m:e>
          <m:sub>
            <m:r>
              <m:t>m</m:t>
            </m:r>
          </m:sub>
        </m:sSub>
      </m:oMath>
      <w:r>
        <w:t xml:space="preserve"> </w:t>
      </w:r>
      <w:r>
        <w:t xml:space="preserve">to the modeled N8 deflection varies by a factor of 6.5 over the admissible set, against 1.5 for N7. A rotation reading at the end bearing T8 adds little, because its sensitivity duplicates that of N8. At calibration B the two-reading Fisher matrix is singular, so the deflections alone cannot bound</w:t>
      </w:r>
      <w:r>
        <w:t xml:space="preserve"> </w:t>
      </w:r>
      <m:oMath>
        <m:r>
          <m:rPr>
            <m:sty m:val="p"/>
            <m:nor/>
          </m:rPr>
          <m:t>ln</m:t>
        </m:r>
        <m:sSub>
          <m:e>
            <m:r>
              <m:t>C</m:t>
            </m:r>
          </m:e>
          <m:sub>
            <m:r>
              <m:t>8</m:t>
            </m:r>
          </m:sub>
        </m:sSub>
      </m:oMath>
      <w:r>
        <w:t xml:space="preserve"> </w:t>
      </w:r>
      <w:r>
        <w:t xml:space="preserve">(Section S5); with the pier tiltmeter the bound is 0.04.</w:t>
      </w:r>
    </w:p>
    <w:p>
      <w:pPr>
        <w:pStyle w:val="BodyText"/>
      </w:pPr>
      <w:r>
        <w:t xml:space="preserve">Strain and end-reaction channels. The haunches move every zero-moment point toward mid-span; the side-span zero lies 26.0–33.3 m from the end support, so a strain gauge at mid side span would be practically blind under calibration A (</w:t>
      </w:r>
      <m:oMath>
        <m:sSub>
          <m:e>
            <m:r>
              <m:t>N</m:t>
            </m:r>
          </m:e>
          <m:sub>
            <m:r>
              <m:t>M</m:t>
            </m:r>
          </m:sub>
        </m:sSub>
        <m:r>
          <m:rPr>
            <m:sty m:val="p"/>
          </m:rPr>
          <m:t>=</m:t>
        </m:r>
        <m:r>
          <m:t>0.048</m:t>
        </m:r>
      </m:oMath>
      <w:r>
        <w:t xml:space="preserve">) and would change sign with pinned piers. At mid main span the small strain indicator reflects restraint (</w:t>
      </w:r>
      <m:oMath>
        <m:sSub>
          <m:e>
            <m:r>
              <m:t>R</m:t>
            </m:r>
          </m:e>
          <m:sub>
            <m:r>
              <m:t>ε</m:t>
            </m:r>
          </m:sub>
        </m:sSub>
      </m:oMath>
      <w:r>
        <w:t xml:space="preserve"> </w:t>
      </w:r>
      <w:r>
        <w:t xml:space="preserve">= 0.65–1.00). By</w:t>
      </w:r>
      <w:r>
        <w:t xml:space="preserve"> </w:t>
      </w:r>
      <m:oMath>
        <m:sSub>
          <m:e>
            <m:r>
              <m:t>N</m:t>
            </m:r>
          </m:e>
          <m:sub>
            <m:r>
              <m:t>M</m:t>
            </m:r>
          </m:sub>
        </m:sSub>
      </m:oMath>
      <w:r>
        <w:t xml:space="preserve"> </w:t>
      </w:r>
      <w:r>
        <w:t xml:space="preserve">alone the best strain locations in all haunched models are 5–10 m from the piers (</w:t>
      </w:r>
      <m:oMath>
        <m:d>
          <m:dPr>
            <m:begChr m:val="|"/>
            <m:endChr m:val="|"/>
            <m:grow/>
          </m:dPr>
          <m:e>
            <m:sSub>
              <m:e>
                <m:r>
                  <m:t>N</m:t>
                </m:r>
              </m:e>
              <m:sub>
                <m:r>
                  <m:t>M</m:t>
                </m:r>
              </m:sub>
            </m:sSub>
          </m:e>
        </m:d>
        <m:r>
          <m:rPr>
            <m:sty m:val="p"/>
          </m:rPr>
          <m:t>≥</m:t>
        </m:r>
        <m:r>
          <m:t>0.39</m:t>
        </m:r>
      </m:oMath>
      <w:r>
        <w:t xml:space="preserve">), but their gain</w:t>
      </w:r>
      <w:r>
        <w:t xml:space="preserve"> </w:t>
      </w:r>
      <m:oMath>
        <m:r>
          <m:t>c</m:t>
        </m:r>
        <m:r>
          <m:rPr>
            <m:sty m:val="p"/>
          </m:rPr>
          <m:t>/</m:t>
        </m:r>
        <m:r>
          <m:t>E</m:t>
        </m:r>
        <m:r>
          <m:t>I</m:t>
        </m:r>
      </m:oMath>
      <w:r>
        <w:t xml:space="preserve"> </w:t>
      </w:r>
      <w:r>
        <w:t xml:space="preserve">is about one quarter to one third of that at mid-span, and one fifth at the pier face (main-text Fig. 6c). Load cells under the end bearings (</w:t>
      </w:r>
      <m:oMath>
        <m:sSub>
          <m:e>
            <m:r>
              <m:t>N</m:t>
            </m:r>
          </m:e>
          <m:sub>
            <m:r>
              <m:t>F</m:t>
            </m:r>
          </m:sub>
        </m:sSub>
        <m:r>
          <m:rPr>
            <m:sty m:val="p"/>
          </m:rPr>
          <m:t>=</m:t>
        </m:r>
        <m:sSub>
          <m:e>
            <m:r>
              <m:t>ξ</m:t>
            </m:r>
          </m:e>
          <m:sub>
            <m:r>
              <m:t>0</m:t>
            </m:r>
          </m:sub>
        </m:sSub>
      </m:oMath>
      <w:r>
        <w:t xml:space="preserve"> </w:t>
      </w:r>
      <w:r>
        <w:t xml:space="preserve">= 0.47–0.61) cannot be blind unless the side span loses its sagging zone.</w:t>
      </w:r>
    </w:p>
    <w:p>
      <w:pPr>
        <w:pStyle w:val="BodyText"/>
      </w:pPr>
      <w:r>
        <w:t xml:space="preserve">Test-load positions. The longitudinal axle positions of the static test load, taken from the test plan (the test report gives them as drawings), are listed in Table S16 (script</w:t>
      </w:r>
      <w:r>
        <w:t xml:space="preserve"> </w:t>
      </w:r>
      <w:r>
        <w:rPr>
          <w:rStyle w:val="VerbatimChar"/>
        </w:rPr>
        <w:t xml:space="preserve">wp3_run.py</w:t>
      </w:r>
      <w:r>
        <w:t xml:space="preserve">).</w:t>
      </w:r>
    </w:p>
    <w:p>
      <w:pPr>
        <w:pStyle w:val="BodyText"/>
        <w:keepNext/>
        <w:keepLines/>
      </w:pPr>
      <w:r>
        <w:rPr>
          <w:bCs/>
          <w:b/>
        </w:rPr>
        <w:t xml:space="preserve">Table S11.</w:t>
      </w:r>
      <w:r>
        <w:t xml:space="preserve"> </w:t>
      </w:r>
      <w:r>
        <w:t xml:space="preserve">Weighed 3-axle test trucks: gross weight and axle spacings (front to middle axle; middle to rear axle) and track width. Mean gross weight 25.06 t.</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218"/>
        <w:gridCol w:w="1799"/>
        <w:gridCol w:w="2473"/>
        <w:gridCol w:w="2361"/>
        <w:gridCol w:w="1218"/>
      </w:tblGrid>
      <w:tr>
        <w:trPr>
          <w:tblHeader w:val="true"/>
          <w:tblHeader w:val="true"/>
          <w:cantSplit/>
        </w:trPr>
        <w:tc>
          <w:tcPr>
            <w:tcW w:type="dxa" w:w="1218"/>
            <w:tcBorders>
              <w:top w:val="nil"/>
              <w:left w:val="nil"/>
              <w:bottom w:val="single" w:sz="6" w:space="0" w:color="000000"/>
              <w:right w:val="nil"/>
            </w:tcBorders>
          </w:tcPr>
          <w:p>
            <w:pPr>
              <w:keepNext/>
              <w:pStyle w:val="Compact"/>
              <w:jc w:val="right"/>
            </w:pPr>
            <w:r>
              <w:t xml:space="preserve">Truck</w:t>
            </w:r>
          </w:p>
        </w:tc>
        <w:tc>
          <w:tcPr>
            <w:tcW w:type="dxa" w:w="1799"/>
            <w:tcBorders>
              <w:top w:val="nil"/>
              <w:left w:val="nil"/>
              <w:bottom w:val="single" w:sz="6" w:space="0" w:color="000000"/>
              <w:right w:val="nil"/>
            </w:tcBorders>
          </w:tcPr>
          <w:p>
            <w:pPr>
              <w:keepNext/>
              <w:pStyle w:val="Compact"/>
              <w:jc w:val="right"/>
            </w:pPr>
            <w:r>
              <w:t xml:space="preserve">Gross weight (t)</w:t>
            </w:r>
          </w:p>
        </w:tc>
        <w:tc>
          <w:tcPr>
            <w:tcW w:type="dxa" w:w="2473"/>
            <w:tcBorders>
              <w:top w:val="nil"/>
              <w:left w:val="nil"/>
              <w:bottom w:val="single" w:sz="6" w:space="0" w:color="000000"/>
              <w:right w:val="nil"/>
            </w:tcBorders>
          </w:tcPr>
          <w:p>
            <w:pPr>
              <w:keepNext/>
              <w:pStyle w:val="Compact"/>
              <w:jc w:val="right"/>
            </w:pPr>
            <w:r>
              <w:t xml:space="preserve">Front axle spacing (m)</w:t>
            </w:r>
          </w:p>
        </w:tc>
        <w:tc>
          <w:tcPr>
            <w:tcW w:type="dxa" w:w="2361"/>
            <w:tcBorders>
              <w:top w:val="nil"/>
              <w:left w:val="nil"/>
              <w:bottom w:val="single" w:sz="6" w:space="0" w:color="000000"/>
              <w:right w:val="nil"/>
            </w:tcBorders>
          </w:tcPr>
          <w:p>
            <w:pPr>
              <w:keepNext/>
              <w:pStyle w:val="Compact"/>
              <w:jc w:val="right"/>
            </w:pPr>
            <w:r>
              <w:t xml:space="preserve">Rear axle spacing (m)</w:t>
            </w:r>
          </w:p>
        </w:tc>
        <w:tc>
          <w:tcPr>
            <w:tcW w:type="dxa" w:w="1218"/>
            <w:tcBorders>
              <w:top w:val="nil"/>
              <w:left w:val="nil"/>
              <w:bottom w:val="single" w:sz="6" w:space="0" w:color="000000"/>
              <w:right w:val="nil"/>
            </w:tcBorders>
          </w:tcPr>
          <w:p>
            <w:pPr>
              <w:keepNext/>
              <w:pStyle w:val="Compact"/>
              <w:jc w:val="right"/>
            </w:pPr>
            <w:r>
              <w:t xml:space="preserve">Track (m)</w:t>
            </w:r>
          </w:p>
        </w:tc>
      </w:tr>
      <w:tr>
        <w:trPr>
          <w:cantSplit/>
        </w:trPr>
        <w:tc>
          <w:tcPr>
            <w:tcW w:type="dxa" w:w="1218"/>
          </w:tcPr>
          <w:p>
            <w:pPr>
              <w:keepNext/>
              <w:pStyle w:val="Compact"/>
              <w:jc w:val="right"/>
            </w:pPr>
            <w:r>
              <w:t xml:space="preserve">1</w:t>
            </w:r>
          </w:p>
        </w:tc>
        <w:tc>
          <w:tcPr>
            <w:tcW w:type="dxa" w:w="1799"/>
          </w:tcPr>
          <w:p>
            <w:pPr>
              <w:keepNext/>
              <w:pStyle w:val="Compact"/>
              <w:jc w:val="right"/>
            </w:pPr>
            <w:r>
              <w:t xml:space="preserve">24.7</w:t>
            </w:r>
          </w:p>
        </w:tc>
        <w:tc>
          <w:tcPr>
            <w:tcW w:type="dxa" w:w="2473"/>
          </w:tcPr>
          <w:p>
            <w:pPr>
              <w:keepNext/>
              <w:pStyle w:val="Compact"/>
              <w:jc w:val="right"/>
            </w:pPr>
            <w:r>
              <w:t xml:space="preserve">3.45</w:t>
            </w:r>
          </w:p>
        </w:tc>
        <w:tc>
          <w:tcPr>
            <w:tcW w:type="dxa" w:w="2361"/>
          </w:tcPr>
          <w:p>
            <w:pPr>
              <w:keepNext/>
              <w:pStyle w:val="Compact"/>
              <w:jc w:val="right"/>
            </w:pPr>
            <w:r>
              <w:t xml:space="preserve">1.35</w:t>
            </w:r>
          </w:p>
        </w:tc>
        <w:tc>
          <w:tcPr>
            <w:tcW w:type="dxa" w:w="1218"/>
          </w:tcPr>
          <w:p>
            <w:pPr>
              <w:keepNext/>
              <w:pStyle w:val="Compact"/>
              <w:jc w:val="right"/>
            </w:pPr>
            <w:r>
              <w:t xml:space="preserve">1.9</w:t>
            </w:r>
          </w:p>
        </w:tc>
      </w:tr>
      <w:tr>
        <w:trPr>
          <w:cantSplit/>
        </w:trPr>
        <w:tc>
          <w:tcPr>
            <w:tcW w:type="dxa" w:w="1218"/>
          </w:tcPr>
          <w:p>
            <w:pPr>
              <w:keepNext/>
              <w:pStyle w:val="Compact"/>
              <w:jc w:val="right"/>
            </w:pPr>
            <w:r>
              <w:t xml:space="preserve">2</w:t>
            </w:r>
          </w:p>
        </w:tc>
        <w:tc>
          <w:tcPr>
            <w:tcW w:type="dxa" w:w="1799"/>
          </w:tcPr>
          <w:p>
            <w:pPr>
              <w:keepNext/>
              <w:pStyle w:val="Compact"/>
              <w:jc w:val="right"/>
            </w:pPr>
            <w:r>
              <w:t xml:space="preserve">25</w:t>
            </w:r>
          </w:p>
        </w:tc>
        <w:tc>
          <w:tcPr>
            <w:tcW w:type="dxa" w:w="2473"/>
          </w:tcPr>
          <w:p>
            <w:pPr>
              <w:keepNext/>
              <w:pStyle w:val="Compact"/>
              <w:jc w:val="right"/>
            </w:pPr>
            <w:r>
              <w:t xml:space="preserve">3.65</w:t>
            </w:r>
          </w:p>
        </w:tc>
        <w:tc>
          <w:tcPr>
            <w:tcW w:type="dxa" w:w="2361"/>
          </w:tcPr>
          <w:p>
            <w:pPr>
              <w:keepNext/>
              <w:pStyle w:val="Compact"/>
              <w:jc w:val="right"/>
            </w:pPr>
            <w:r>
              <w:t xml:space="preserve">1.45</w:t>
            </w:r>
          </w:p>
        </w:tc>
        <w:tc>
          <w:tcPr>
            <w:tcW w:type="dxa" w:w="1218"/>
          </w:tcPr>
          <w:p>
            <w:pPr>
              <w:keepNext/>
              <w:pStyle w:val="Compact"/>
              <w:jc w:val="right"/>
            </w:pPr>
            <w:r>
              <w:t xml:space="preserve">1.85</w:t>
            </w:r>
          </w:p>
        </w:tc>
      </w:tr>
      <w:tr>
        <w:trPr>
          <w:cantSplit/>
        </w:trPr>
        <w:tc>
          <w:tcPr>
            <w:tcW w:type="dxa" w:w="1218"/>
          </w:tcPr>
          <w:p>
            <w:pPr>
              <w:keepNext/>
              <w:pStyle w:val="Compact"/>
              <w:jc w:val="right"/>
            </w:pPr>
            <w:r>
              <w:t xml:space="preserve">3</w:t>
            </w:r>
          </w:p>
        </w:tc>
        <w:tc>
          <w:tcPr>
            <w:tcW w:type="dxa" w:w="1799"/>
          </w:tcPr>
          <w:p>
            <w:pPr>
              <w:keepNext/>
              <w:pStyle w:val="Compact"/>
              <w:jc w:val="right"/>
            </w:pPr>
            <w:r>
              <w:t xml:space="preserve">25.66</w:t>
            </w:r>
          </w:p>
        </w:tc>
        <w:tc>
          <w:tcPr>
            <w:tcW w:type="dxa" w:w="2473"/>
          </w:tcPr>
          <w:p>
            <w:pPr>
              <w:keepNext/>
              <w:pStyle w:val="Compact"/>
              <w:jc w:val="right"/>
            </w:pPr>
            <w:r>
              <w:t xml:space="preserve">3.45</w:t>
            </w:r>
          </w:p>
        </w:tc>
        <w:tc>
          <w:tcPr>
            <w:tcW w:type="dxa" w:w="2361"/>
          </w:tcPr>
          <w:p>
            <w:pPr>
              <w:keepNext/>
              <w:pStyle w:val="Compact"/>
              <w:jc w:val="right"/>
            </w:pPr>
            <w:r>
              <w:t xml:space="preserve">1.35</w:t>
            </w:r>
          </w:p>
        </w:tc>
        <w:tc>
          <w:tcPr>
            <w:tcW w:type="dxa" w:w="1218"/>
          </w:tcPr>
          <w:p>
            <w:pPr>
              <w:keepNext/>
              <w:pStyle w:val="Compact"/>
              <w:jc w:val="right"/>
            </w:pPr>
            <w:r>
              <w:t xml:space="preserve">1.85</w:t>
            </w:r>
          </w:p>
        </w:tc>
      </w:tr>
      <w:tr>
        <w:trPr>
          <w:cantSplit/>
        </w:trPr>
        <w:tc>
          <w:tcPr>
            <w:tcW w:type="dxa" w:w="1218"/>
          </w:tcPr>
          <w:p>
            <w:pPr>
              <w:keepNext/>
              <w:pStyle w:val="Compact"/>
              <w:jc w:val="right"/>
            </w:pPr>
            <w:r>
              <w:t xml:space="preserve">4</w:t>
            </w:r>
          </w:p>
        </w:tc>
        <w:tc>
          <w:tcPr>
            <w:tcW w:type="dxa" w:w="1799"/>
          </w:tcPr>
          <w:p>
            <w:pPr>
              <w:keepNext/>
              <w:pStyle w:val="Compact"/>
              <w:jc w:val="right"/>
            </w:pPr>
            <w:r>
              <w:t xml:space="preserve">25.06</w:t>
            </w:r>
          </w:p>
        </w:tc>
        <w:tc>
          <w:tcPr>
            <w:tcW w:type="dxa" w:w="2473"/>
          </w:tcPr>
          <w:p>
            <w:pPr>
              <w:keepNext/>
              <w:pStyle w:val="Compact"/>
              <w:jc w:val="right"/>
            </w:pPr>
            <w:r>
              <w:t xml:space="preserve">3.85</w:t>
            </w:r>
          </w:p>
        </w:tc>
        <w:tc>
          <w:tcPr>
            <w:tcW w:type="dxa" w:w="2361"/>
          </w:tcPr>
          <w:p>
            <w:pPr>
              <w:keepNext/>
              <w:pStyle w:val="Compact"/>
              <w:jc w:val="right"/>
            </w:pPr>
            <w:r>
              <w:t xml:space="preserve">1.35</w:t>
            </w:r>
          </w:p>
        </w:tc>
        <w:tc>
          <w:tcPr>
            <w:tcW w:type="dxa" w:w="1218"/>
          </w:tcPr>
          <w:p>
            <w:pPr>
              <w:keepNext/>
              <w:pStyle w:val="Compact"/>
              <w:jc w:val="right"/>
            </w:pPr>
            <w:r>
              <w:t xml:space="preserve">1.85</w:t>
            </w:r>
          </w:p>
        </w:tc>
      </w:tr>
      <w:tr>
        <w:trPr>
          <w:cantSplit/>
        </w:trPr>
        <w:tc>
          <w:tcPr>
            <w:tcW w:type="dxa" w:w="1218"/>
          </w:tcPr>
          <w:p>
            <w:pPr>
              <w:keepNext/>
              <w:pStyle w:val="Compact"/>
              <w:jc w:val="right"/>
            </w:pPr>
            <w:r>
              <w:t xml:space="preserve">5</w:t>
            </w:r>
          </w:p>
        </w:tc>
        <w:tc>
          <w:tcPr>
            <w:tcW w:type="dxa" w:w="1799"/>
          </w:tcPr>
          <w:p>
            <w:pPr>
              <w:keepNext/>
              <w:pStyle w:val="Compact"/>
              <w:jc w:val="right"/>
            </w:pPr>
            <w:r>
              <w:t xml:space="preserve">25.05</w:t>
            </w:r>
          </w:p>
        </w:tc>
        <w:tc>
          <w:tcPr>
            <w:tcW w:type="dxa" w:w="2473"/>
          </w:tcPr>
          <w:p>
            <w:pPr>
              <w:keepNext/>
              <w:pStyle w:val="Compact"/>
              <w:jc w:val="right"/>
            </w:pPr>
            <w:r>
              <w:t xml:space="preserve">3.45</w:t>
            </w:r>
          </w:p>
        </w:tc>
        <w:tc>
          <w:tcPr>
            <w:tcW w:type="dxa" w:w="2361"/>
          </w:tcPr>
          <w:p>
            <w:pPr>
              <w:keepNext/>
              <w:pStyle w:val="Compact"/>
              <w:jc w:val="right"/>
            </w:pPr>
            <w:r>
              <w:t xml:space="preserve">1.35</w:t>
            </w:r>
          </w:p>
        </w:tc>
        <w:tc>
          <w:tcPr>
            <w:tcW w:type="dxa" w:w="1218"/>
          </w:tcPr>
          <w:p>
            <w:pPr>
              <w:keepNext/>
              <w:pStyle w:val="Compact"/>
              <w:jc w:val="right"/>
            </w:pPr>
            <w:r>
              <w:t xml:space="preserve">1.85</w:t>
            </w:r>
          </w:p>
        </w:tc>
      </w:tr>
      <w:tr>
        <w:trPr>
          <w:cantSplit/>
        </w:trPr>
        <w:tc>
          <w:tcPr>
            <w:tcW w:type="dxa" w:w="1218"/>
          </w:tcPr>
          <w:p>
            <w:pPr>
              <w:keepNext/>
              <w:pStyle w:val="Compact"/>
              <w:jc w:val="right"/>
            </w:pPr>
            <w:r>
              <w:t xml:space="preserve">6</w:t>
            </w:r>
          </w:p>
        </w:tc>
        <w:tc>
          <w:tcPr>
            <w:tcW w:type="dxa" w:w="1799"/>
          </w:tcPr>
          <w:p>
            <w:pPr>
              <w:keepNext/>
              <w:pStyle w:val="Compact"/>
              <w:jc w:val="right"/>
            </w:pPr>
            <w:r>
              <w:t xml:space="preserve">25.3</w:t>
            </w:r>
          </w:p>
        </w:tc>
        <w:tc>
          <w:tcPr>
            <w:tcW w:type="dxa" w:w="2473"/>
          </w:tcPr>
          <w:p>
            <w:pPr>
              <w:keepNext/>
              <w:pStyle w:val="Compact"/>
              <w:jc w:val="right"/>
            </w:pPr>
            <w:r>
              <w:t xml:space="preserve">3.65</w:t>
            </w:r>
          </w:p>
        </w:tc>
        <w:tc>
          <w:tcPr>
            <w:tcW w:type="dxa" w:w="2361"/>
          </w:tcPr>
          <w:p>
            <w:pPr>
              <w:keepNext/>
              <w:pStyle w:val="Compact"/>
              <w:jc w:val="right"/>
            </w:pPr>
            <w:r>
              <w:t xml:space="preserve">1.45</w:t>
            </w:r>
          </w:p>
        </w:tc>
        <w:tc>
          <w:tcPr>
            <w:tcW w:type="dxa" w:w="1218"/>
          </w:tcPr>
          <w:p>
            <w:pPr>
              <w:keepNext/>
              <w:pStyle w:val="Compact"/>
              <w:jc w:val="right"/>
            </w:pPr>
            <w:r>
              <w:t xml:space="preserve">1.85</w:t>
            </w:r>
          </w:p>
        </w:tc>
      </w:tr>
      <w:tr>
        <w:trPr>
          <w:cantSplit/>
        </w:trPr>
        <w:tc>
          <w:tcPr>
            <w:tcW w:type="dxa" w:w="1218"/>
          </w:tcPr>
          <w:p>
            <w:pPr>
              <w:keepNext/>
              <w:pStyle w:val="Compact"/>
              <w:jc w:val="right"/>
            </w:pPr>
            <w:r>
              <w:t xml:space="preserve">7</w:t>
            </w:r>
          </w:p>
        </w:tc>
        <w:tc>
          <w:tcPr>
            <w:tcW w:type="dxa" w:w="1799"/>
          </w:tcPr>
          <w:p>
            <w:pPr>
              <w:keepNext/>
              <w:pStyle w:val="Compact"/>
              <w:jc w:val="right"/>
            </w:pPr>
            <w:r>
              <w:t xml:space="preserve">25.1</w:t>
            </w:r>
          </w:p>
        </w:tc>
        <w:tc>
          <w:tcPr>
            <w:tcW w:type="dxa" w:w="2473"/>
          </w:tcPr>
          <w:p>
            <w:pPr>
              <w:keepNext/>
              <w:pStyle w:val="Compact"/>
              <w:jc w:val="right"/>
            </w:pPr>
            <w:r>
              <w:t xml:space="preserve">3.7</w:t>
            </w:r>
          </w:p>
        </w:tc>
        <w:tc>
          <w:tcPr>
            <w:tcW w:type="dxa" w:w="2361"/>
          </w:tcPr>
          <w:p>
            <w:pPr>
              <w:keepNext/>
              <w:pStyle w:val="Compact"/>
              <w:jc w:val="right"/>
            </w:pPr>
            <w:r>
              <w:t xml:space="preserve">1.45</w:t>
            </w:r>
          </w:p>
        </w:tc>
        <w:tc>
          <w:tcPr>
            <w:tcW w:type="dxa" w:w="1218"/>
          </w:tcPr>
          <w:p>
            <w:pPr>
              <w:keepNext/>
              <w:pStyle w:val="Compact"/>
              <w:jc w:val="right"/>
            </w:pPr>
            <w:r>
              <w:t xml:space="preserve">1.9</w:t>
            </w:r>
          </w:p>
        </w:tc>
      </w:tr>
      <w:tr>
        <w:trPr>
          <w:cantSplit/>
        </w:trPr>
        <w:tc>
          <w:tcPr>
            <w:tcW w:type="dxa" w:w="1218"/>
          </w:tcPr>
          <w:p>
            <w:pPr>
              <w:keepNext/>
              <w:pStyle w:val="Compact"/>
              <w:jc w:val="right"/>
            </w:pPr>
            <w:r>
              <w:t xml:space="preserve">8</w:t>
            </w:r>
          </w:p>
        </w:tc>
        <w:tc>
          <w:tcPr>
            <w:tcW w:type="dxa" w:w="1799"/>
          </w:tcPr>
          <w:p>
            <w:pPr>
              <w:keepNext/>
              <w:pStyle w:val="Compact"/>
              <w:jc w:val="right"/>
            </w:pPr>
            <w:r>
              <w:t xml:space="preserve">25.5</w:t>
            </w:r>
          </w:p>
        </w:tc>
        <w:tc>
          <w:tcPr>
            <w:tcW w:type="dxa" w:w="2473"/>
          </w:tcPr>
          <w:p>
            <w:pPr>
              <w:keepNext/>
              <w:pStyle w:val="Compact"/>
              <w:jc w:val="right"/>
            </w:pPr>
            <w:r>
              <w:t xml:space="preserve">3.65</w:t>
            </w:r>
          </w:p>
        </w:tc>
        <w:tc>
          <w:tcPr>
            <w:tcW w:type="dxa" w:w="2361"/>
          </w:tcPr>
          <w:p>
            <w:pPr>
              <w:keepNext/>
              <w:pStyle w:val="Compact"/>
              <w:jc w:val="right"/>
            </w:pPr>
            <w:r>
              <w:t xml:space="preserve">1.45</w:t>
            </w:r>
          </w:p>
        </w:tc>
        <w:tc>
          <w:tcPr>
            <w:tcW w:type="dxa" w:w="1218"/>
          </w:tcPr>
          <w:p>
            <w:pPr>
              <w:keepNext/>
              <w:pStyle w:val="Compact"/>
              <w:jc w:val="right"/>
            </w:pPr>
            <w:r>
              <w:t xml:space="preserve">1.9</w:t>
            </w:r>
          </w:p>
        </w:tc>
      </w:tr>
      <w:tr>
        <w:trPr>
          <w:cantSplit/>
        </w:trPr>
        <w:tc>
          <w:tcPr>
            <w:tcW w:type="dxa" w:w="1218"/>
          </w:tcPr>
          <w:p>
            <w:pPr>
              <w:keepNext/>
              <w:pStyle w:val="Compact"/>
              <w:jc w:val="right"/>
            </w:pPr>
            <w:r>
              <w:t xml:space="preserve">9</w:t>
            </w:r>
          </w:p>
        </w:tc>
        <w:tc>
          <w:tcPr>
            <w:tcW w:type="dxa" w:w="1799"/>
          </w:tcPr>
          <w:p>
            <w:pPr>
              <w:keepNext/>
              <w:pStyle w:val="Compact"/>
              <w:jc w:val="right"/>
            </w:pPr>
            <w:r>
              <w:t xml:space="preserve">24.6</w:t>
            </w:r>
          </w:p>
        </w:tc>
        <w:tc>
          <w:tcPr>
            <w:tcW w:type="dxa" w:w="2473"/>
          </w:tcPr>
          <w:p>
            <w:pPr>
              <w:keepNext/>
              <w:pStyle w:val="Compact"/>
              <w:jc w:val="right"/>
            </w:pPr>
            <w:r>
              <w:t xml:space="preserve">3.65</w:t>
            </w:r>
          </w:p>
        </w:tc>
        <w:tc>
          <w:tcPr>
            <w:tcW w:type="dxa" w:w="2361"/>
          </w:tcPr>
          <w:p>
            <w:pPr>
              <w:keepNext/>
              <w:pStyle w:val="Compact"/>
              <w:jc w:val="right"/>
            </w:pPr>
            <w:r>
              <w:t xml:space="preserve">1.45</w:t>
            </w:r>
          </w:p>
        </w:tc>
        <w:tc>
          <w:tcPr>
            <w:tcW w:type="dxa" w:w="1218"/>
          </w:tcPr>
          <w:p>
            <w:pPr>
              <w:keepNext/>
              <w:pStyle w:val="Compact"/>
              <w:jc w:val="right"/>
            </w:pPr>
            <w:r>
              <w:t xml:space="preserve">1.85</w:t>
            </w:r>
          </w:p>
        </w:tc>
      </w:tr>
      <w:tr>
        <w:trPr>
          <w:cantSplit/>
        </w:trPr>
        <w:tc>
          <w:tcPr>
            <w:tcW w:type="dxa" w:w="1218"/>
          </w:tcPr>
          <w:p>
            <w:pPr>
              <w:pStyle w:val="Compact"/>
              <w:jc w:val="right"/>
            </w:pPr>
            <w:r>
              <w:t xml:space="preserve">10</w:t>
            </w:r>
          </w:p>
        </w:tc>
        <w:tc>
          <w:tcPr>
            <w:tcW w:type="dxa" w:w="1799"/>
          </w:tcPr>
          <w:p>
            <w:pPr>
              <w:pStyle w:val="Compact"/>
              <w:jc w:val="right"/>
            </w:pPr>
            <w:r>
              <w:t xml:space="preserve">24.6</w:t>
            </w:r>
          </w:p>
        </w:tc>
        <w:tc>
          <w:tcPr>
            <w:tcW w:type="dxa" w:w="2473"/>
          </w:tcPr>
          <w:p>
            <w:pPr>
              <w:pStyle w:val="Compact"/>
              <w:jc w:val="right"/>
            </w:pPr>
            <w:r>
              <w:t xml:space="preserve">3.6</w:t>
            </w:r>
          </w:p>
        </w:tc>
        <w:tc>
          <w:tcPr>
            <w:tcW w:type="dxa" w:w="2361"/>
          </w:tcPr>
          <w:p>
            <w:pPr>
              <w:pStyle w:val="Compact"/>
              <w:jc w:val="right"/>
            </w:pPr>
            <w:r>
              <w:t xml:space="preserve">1.45</w:t>
            </w:r>
          </w:p>
        </w:tc>
        <w:tc>
          <w:tcPr>
            <w:tcW w:type="dxa" w:w="1218"/>
          </w:tcPr>
          <w:p>
            <w:pPr>
              <w:pStyle w:val="Compact"/>
              <w:jc w:val="right"/>
            </w:pPr>
            <w:r>
              <w:t xml:space="preserve">1.85</w:t>
            </w:r>
          </w:p>
        </w:tc>
      </w:tr>
    </w:tbl>
    <w:p>
      <w:pPr>
        <w:pStyle w:val="BodyText"/>
        <w:keepNext/>
        <w:keepLines/>
      </w:pPr>
      <w:r>
        <w:rPr>
          <w:bCs/>
          <w:b/>
        </w:rPr>
        <w:t xml:space="preserve">Table S12.</w:t>
      </w:r>
      <w:r>
        <w:t xml:space="preserve"> </w:t>
      </w:r>
      <w:r>
        <w:t xml:space="preserve">Mây Bridge acceptance test (June 2020): measured peak deflection (mm, downward positive) at the two gauge sections, at three measuring points across each section, under central and eccentric truck arrangements.</w:t>
      </w:r>
    </w:p>
    <w:tbl>
      <w:tblPr>
        <w:tblStyle w:val="Table"/>
        <w:tblW w:type="auto" w:w="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3146"/>
        <w:gridCol w:w="2233"/>
        <w:gridCol w:w="1650"/>
        <w:gridCol w:w="2039"/>
      </w:tblGrid>
      <w:tr>
        <w:trPr>
          <w:tblHeader w:val="true"/>
          <w:tblHeader w:val="true"/>
          <w:cantSplit/>
        </w:trPr>
        <w:tc>
          <w:tcPr>
            <w:tcW w:type="dxa" w:w="3146"/>
            <w:tcBorders>
              <w:top w:val="nil"/>
              <w:left w:val="nil"/>
              <w:bottom w:val="single" w:sz="6" w:space="0" w:color="000000"/>
              <w:right w:val="nil"/>
            </w:tcBorders>
          </w:tcPr>
          <w:p>
            <w:pPr>
              <w:keepNext/>
              <w:pStyle w:val="Compact"/>
              <w:jc w:val="left"/>
            </w:pPr>
            <w:r>
              <w:t xml:space="preserve">Section</w:t>
            </w:r>
          </w:p>
        </w:tc>
        <w:tc>
          <w:tcPr>
            <w:tcW w:type="dxa" w:w="2233"/>
            <w:tcBorders>
              <w:top w:val="nil"/>
              <w:left w:val="nil"/>
              <w:bottom w:val="single" w:sz="6" w:space="0" w:color="000000"/>
              <w:right w:val="nil"/>
            </w:tcBorders>
          </w:tcPr>
          <w:p>
            <w:pPr>
              <w:keepNext/>
              <w:pStyle w:val="Compact"/>
              <w:jc w:val="left"/>
            </w:pPr>
            <w:r>
              <w:t xml:space="preserve">Measuring point</w:t>
            </w:r>
          </w:p>
        </w:tc>
        <w:tc>
          <w:tcPr>
            <w:tcW w:type="dxa" w:w="1650"/>
            <w:tcBorders>
              <w:top w:val="nil"/>
              <w:left w:val="nil"/>
              <w:bottom w:val="single" w:sz="6" w:space="0" w:color="000000"/>
              <w:right w:val="nil"/>
            </w:tcBorders>
          </w:tcPr>
          <w:p>
            <w:pPr>
              <w:keepNext/>
              <w:pStyle w:val="Compact"/>
              <w:jc w:val="right"/>
            </w:pPr>
            <w:r>
              <w:t xml:space="preserve">Central</w:t>
            </w:r>
          </w:p>
        </w:tc>
        <w:tc>
          <w:tcPr>
            <w:tcW w:type="dxa" w:w="2039"/>
            <w:tcBorders>
              <w:top w:val="nil"/>
              <w:left w:val="nil"/>
              <w:bottom w:val="single" w:sz="6" w:space="0" w:color="000000"/>
              <w:right w:val="nil"/>
            </w:tcBorders>
          </w:tcPr>
          <w:p>
            <w:pPr>
              <w:keepNext/>
              <w:pStyle w:val="Compact"/>
              <w:jc w:val="right"/>
            </w:pPr>
            <w:r>
              <w:t xml:space="preserve">Eccentric</w:t>
            </w:r>
          </w:p>
        </w:tc>
      </w:tr>
      <w:tr>
        <w:trPr>
          <w:cantSplit/>
        </w:trPr>
        <w:tc>
          <w:tcPr>
            <w:tcW w:type="dxa" w:w="3146"/>
          </w:tcPr>
          <w:p>
            <w:pPr>
              <w:keepNext/>
              <w:pStyle w:val="Compact"/>
              <w:jc w:val="left"/>
            </w:pPr>
            <w:r>
              <w:t xml:space="preserve">N8, side span, 0.4</w:t>
            </w:r>
            <m:oMath>
              <m:r>
                <m:t>L</m:t>
              </m:r>
            </m:oMath>
            <w:r>
              <w:t xml:space="preserve"> </w:t>
            </w:r>
            <w:r>
              <w:t xml:space="preserve">from T8</w:t>
            </w:r>
          </w:p>
        </w:tc>
        <w:tc>
          <w:tcPr>
            <w:tcW w:type="dxa" w:w="2233"/>
          </w:tcPr>
          <w:p>
            <w:pPr>
              <w:keepNext/>
              <w:pStyle w:val="Compact"/>
              <w:jc w:val="left"/>
            </w:pPr>
            <w:r>
              <w:t xml:space="preserve">right edge</w:t>
            </w:r>
          </w:p>
        </w:tc>
        <w:tc>
          <w:tcPr>
            <w:tcW w:type="dxa" w:w="1650"/>
          </w:tcPr>
          <w:p>
            <w:pPr>
              <w:keepNext/>
              <w:pStyle w:val="Compact"/>
              <w:jc w:val="right"/>
            </w:pPr>
            <w:r>
              <w:t xml:space="preserve">5.32</w:t>
            </w:r>
          </w:p>
        </w:tc>
        <w:tc>
          <w:tcPr>
            <w:tcW w:type="dxa" w:w="2039"/>
          </w:tcPr>
          <w:p>
            <w:pPr>
              <w:keepNext/>
              <w:pStyle w:val="Compact"/>
              <w:jc w:val="right"/>
            </w:pPr>
            <w:r>
              <w:t xml:space="preserve">5.91</w:t>
            </w:r>
          </w:p>
        </w:tc>
      </w:tr>
      <w:tr>
        <w:trPr>
          <w:cantSplit/>
        </w:trPr>
        <w:tc>
          <w:tcPr>
            <w:tcW w:type="dxa" w:w="3146"/>
          </w:tcPr>
          <w:p>
            <w:pPr>
              <w:keepNext/>
              <w:pStyle w:val="Compact"/>
              <w:jc w:val="left"/>
            </w:pPr>
            <w:r>
              <w:t xml:space="preserve">N8, side span, 0.4</w:t>
            </w:r>
            <m:oMath>
              <m:r>
                <m:t>L</m:t>
              </m:r>
            </m:oMath>
            <w:r>
              <w:t xml:space="preserve"> </w:t>
            </w:r>
            <w:r>
              <w:t xml:space="preserve">from T8</w:t>
            </w:r>
          </w:p>
        </w:tc>
        <w:tc>
          <w:tcPr>
            <w:tcW w:type="dxa" w:w="2233"/>
          </w:tcPr>
          <w:p>
            <w:pPr>
              <w:keepNext/>
              <w:pStyle w:val="Compact"/>
              <w:jc w:val="left"/>
            </w:pPr>
            <w:r>
              <w:t xml:space="preserve">centerline</w:t>
            </w:r>
          </w:p>
        </w:tc>
        <w:tc>
          <w:tcPr>
            <w:tcW w:type="dxa" w:w="1650"/>
          </w:tcPr>
          <w:p>
            <w:pPr>
              <w:keepNext/>
              <w:pStyle w:val="Compact"/>
              <w:jc w:val="right"/>
            </w:pPr>
            <w:r>
              <w:t xml:space="preserve">5.56</w:t>
            </w:r>
          </w:p>
        </w:tc>
        <w:tc>
          <w:tcPr>
            <w:tcW w:type="dxa" w:w="2039"/>
          </w:tcPr>
          <w:p>
            <w:pPr>
              <w:keepNext/>
              <w:pStyle w:val="Compact"/>
              <w:jc w:val="right"/>
            </w:pPr>
            <w:r>
              <w:t xml:space="preserve">5.55</w:t>
            </w:r>
          </w:p>
        </w:tc>
      </w:tr>
      <w:tr>
        <w:trPr>
          <w:cantSplit/>
        </w:trPr>
        <w:tc>
          <w:tcPr>
            <w:tcW w:type="dxa" w:w="3146"/>
          </w:tcPr>
          <w:p>
            <w:pPr>
              <w:keepNext/>
              <w:pStyle w:val="Compact"/>
              <w:jc w:val="left"/>
            </w:pPr>
            <w:r>
              <w:t xml:space="preserve">N8, side span, 0.4</w:t>
            </w:r>
            <m:oMath>
              <m:r>
                <m:t>L</m:t>
              </m:r>
            </m:oMath>
            <w:r>
              <w:t xml:space="preserve"> </w:t>
            </w:r>
            <w:r>
              <w:t xml:space="preserve">from T8</w:t>
            </w:r>
          </w:p>
        </w:tc>
        <w:tc>
          <w:tcPr>
            <w:tcW w:type="dxa" w:w="2233"/>
          </w:tcPr>
          <w:p>
            <w:pPr>
              <w:keepNext/>
              <w:pStyle w:val="Compact"/>
              <w:jc w:val="left"/>
            </w:pPr>
            <w:r>
              <w:t xml:space="preserve">left edge</w:t>
            </w:r>
          </w:p>
        </w:tc>
        <w:tc>
          <w:tcPr>
            <w:tcW w:type="dxa" w:w="1650"/>
          </w:tcPr>
          <w:p>
            <w:pPr>
              <w:keepNext/>
              <w:pStyle w:val="Compact"/>
              <w:jc w:val="right"/>
            </w:pPr>
            <w:r>
              <w:t xml:space="preserve">5.76</w:t>
            </w:r>
          </w:p>
        </w:tc>
        <w:tc>
          <w:tcPr>
            <w:tcW w:type="dxa" w:w="2039"/>
          </w:tcPr>
          <w:p>
            <w:pPr>
              <w:keepNext/>
              <w:pStyle w:val="Compact"/>
              <w:jc w:val="right"/>
            </w:pPr>
            <w:r>
              <w:t xml:space="preserve">5.22</w:t>
            </w:r>
          </w:p>
        </w:tc>
      </w:tr>
      <w:tr>
        <w:trPr>
          <w:cantSplit/>
        </w:trPr>
        <w:tc>
          <w:tcPr>
            <w:tcW w:type="dxa" w:w="3146"/>
          </w:tcPr>
          <w:p>
            <w:pPr>
              <w:keepNext/>
              <w:pStyle w:val="Compact"/>
              <w:jc w:val="left"/>
            </w:pPr>
            <w:r>
              <w:t xml:space="preserve">N7, mid main span</w:t>
            </w:r>
          </w:p>
        </w:tc>
        <w:tc>
          <w:tcPr>
            <w:tcW w:type="dxa" w:w="2233"/>
          </w:tcPr>
          <w:p>
            <w:pPr>
              <w:keepNext/>
              <w:pStyle w:val="Compact"/>
              <w:jc w:val="left"/>
            </w:pPr>
            <w:r>
              <w:t xml:space="preserve">right edge</w:t>
            </w:r>
          </w:p>
        </w:tc>
        <w:tc>
          <w:tcPr>
            <w:tcW w:type="dxa" w:w="1650"/>
          </w:tcPr>
          <w:p>
            <w:pPr>
              <w:keepNext/>
              <w:pStyle w:val="Compact"/>
              <w:jc w:val="right"/>
            </w:pPr>
            <w:r>
              <w:t xml:space="preserve">14.68</w:t>
            </w:r>
          </w:p>
        </w:tc>
        <w:tc>
          <w:tcPr>
            <w:tcW w:type="dxa" w:w="2039"/>
          </w:tcPr>
          <w:p>
            <w:pPr>
              <w:keepNext/>
              <w:pStyle w:val="Compact"/>
              <w:jc w:val="right"/>
            </w:pPr>
            <w:r>
              <w:t xml:space="preserve">14.62</w:t>
            </w:r>
          </w:p>
        </w:tc>
      </w:tr>
      <w:tr>
        <w:trPr>
          <w:cantSplit/>
        </w:trPr>
        <w:tc>
          <w:tcPr>
            <w:tcW w:type="dxa" w:w="3146"/>
          </w:tcPr>
          <w:p>
            <w:pPr>
              <w:keepNext/>
              <w:pStyle w:val="Compact"/>
              <w:jc w:val="left"/>
            </w:pPr>
            <w:r>
              <w:t xml:space="preserve">N7, mid main span</w:t>
            </w:r>
          </w:p>
        </w:tc>
        <w:tc>
          <w:tcPr>
            <w:tcW w:type="dxa" w:w="2233"/>
          </w:tcPr>
          <w:p>
            <w:pPr>
              <w:keepNext/>
              <w:pStyle w:val="Compact"/>
              <w:jc w:val="left"/>
            </w:pPr>
            <w:r>
              <w:t xml:space="preserve">centerline</w:t>
            </w:r>
          </w:p>
        </w:tc>
        <w:tc>
          <w:tcPr>
            <w:tcW w:type="dxa" w:w="1650"/>
          </w:tcPr>
          <w:p>
            <w:pPr>
              <w:keepNext/>
              <w:pStyle w:val="Compact"/>
              <w:jc w:val="right"/>
            </w:pPr>
            <w:r>
              <w:t xml:space="preserve">15.24</w:t>
            </w:r>
          </w:p>
        </w:tc>
        <w:tc>
          <w:tcPr>
            <w:tcW w:type="dxa" w:w="2039"/>
          </w:tcPr>
          <w:p>
            <w:pPr>
              <w:keepNext/>
              <w:pStyle w:val="Compact"/>
              <w:jc w:val="right"/>
            </w:pPr>
            <w:r>
              <w:t xml:space="preserve">15.51</w:t>
            </w:r>
          </w:p>
        </w:tc>
      </w:tr>
      <w:tr>
        <w:trPr>
          <w:cantSplit/>
        </w:trPr>
        <w:tc>
          <w:tcPr>
            <w:tcW w:type="dxa" w:w="3146"/>
          </w:tcPr>
          <w:p>
            <w:pPr>
              <w:pStyle w:val="Compact"/>
              <w:jc w:val="left"/>
            </w:pPr>
            <w:r>
              <w:t xml:space="preserve">N7, mid main span</w:t>
            </w:r>
          </w:p>
        </w:tc>
        <w:tc>
          <w:tcPr>
            <w:tcW w:type="dxa" w:w="2233"/>
          </w:tcPr>
          <w:p>
            <w:pPr>
              <w:pStyle w:val="Compact"/>
              <w:jc w:val="left"/>
            </w:pPr>
            <w:r>
              <w:t xml:space="preserve">left edge</w:t>
            </w:r>
          </w:p>
        </w:tc>
        <w:tc>
          <w:tcPr>
            <w:tcW w:type="dxa" w:w="1650"/>
          </w:tcPr>
          <w:p>
            <w:pPr>
              <w:pStyle w:val="Compact"/>
              <w:jc w:val="right"/>
            </w:pPr>
            <w:r>
              <w:t xml:space="preserve">15.83</w:t>
            </w:r>
          </w:p>
        </w:tc>
        <w:tc>
          <w:tcPr>
            <w:tcW w:type="dxa" w:w="2039"/>
          </w:tcPr>
          <w:p>
            <w:pPr>
              <w:pStyle w:val="Compact"/>
              <w:jc w:val="right"/>
            </w:pPr>
            <w:r>
              <w:t xml:space="preserve">16.67</w:t>
            </w:r>
          </w:p>
        </w:tc>
      </w:tr>
    </w:tbl>
    <w:p>
      <w:pPr>
        <w:pStyle w:val="BodyText"/>
        <w:keepNext/>
        <w:keepLines/>
      </w:pPr>
      <w:r>
        <w:rPr>
          <w:bCs/>
          <w:b/>
        </w:rPr>
        <w:t xml:space="preserve">Table S13.</w:t>
      </w:r>
      <w:r>
        <w:t xml:space="preserve"> </w:t>
      </w:r>
      <w:r>
        <w:t xml:space="preserve">Admissible set of the Mây Bridge model (base model,</w:t>
      </w:r>
      <w:r>
        <w:t xml:space="preserve"> </w:t>
      </w:r>
      <m:oMath>
        <m:sSub>
          <m:e>
            <m:r>
              <m:t>L</m:t>
            </m:r>
          </m:e>
          <m:sub>
            <m:r>
              <m:rPr>
                <m:sty m:val="p"/>
                <m:nor/>
              </m:rPr>
              <m:t>v</m:t>
            </m:r>
          </m:sub>
        </m:sSub>
      </m:oMath>
      <w:r>
        <w:t xml:space="preserve"> </w:t>
      </w:r>
      <w:r>
        <w:t xml:space="preserve">= 44 m) against the tolerance</w:t>
      </w:r>
      <w:r>
        <w:t xml:space="preserve"> </w:t>
      </w:r>
      <m:oMath>
        <m:r>
          <m:t>τ</m:t>
        </m:r>
      </m:oMath>
      <w:r>
        <w:t xml:space="preserve"> </w:t>
      </w:r>
      <w:r>
        <w:t xml:space="preserve">on the misfit of each gauge. Max/min: ratio of the largest to the smallest constant in the set.</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546"/>
        <w:gridCol w:w="979"/>
        <w:gridCol w:w="901"/>
        <w:gridCol w:w="1030"/>
        <w:gridCol w:w="1339"/>
        <w:gridCol w:w="1082"/>
        <w:gridCol w:w="730"/>
        <w:gridCol w:w="730"/>
        <w:gridCol w:w="730"/>
      </w:tblGrid>
      <w:tr>
        <w:trPr>
          <w:tblHeader w:val="true"/>
          <w:tblHeader w:val="true"/>
          <w:cantSplit/>
        </w:trPr>
        <w:tc>
          <w:tcPr>
            <w:tcW w:type="dxa" w:w="1546"/>
            <w:tcBorders>
              <w:top w:val="nil"/>
              <w:left w:val="nil"/>
              <w:bottom w:val="single" w:sz="6" w:space="0" w:color="000000"/>
              <w:right w:val="nil"/>
            </w:tcBorders>
          </w:tcPr>
          <w:p>
            <w:pPr>
              <w:keepNext/>
              <w:pStyle w:val="Compact"/>
              <w:jc w:val="left"/>
            </w:pPr>
            <w:r>
              <w:t xml:space="preserve">Tolerance, prior</w:t>
            </w:r>
          </w:p>
        </w:tc>
        <w:tc>
          <w:tcPr>
            <w:tcW w:type="dxa" w:w="979"/>
            <w:tcBorders>
              <w:top w:val="nil"/>
              <w:left w:val="nil"/>
              <w:bottom w:val="single" w:sz="6" w:space="0" w:color="000000"/>
              <w:right w:val="nil"/>
            </w:tcBorders>
          </w:tcPr>
          <w:p>
            <w:pPr>
              <w:keepNext/>
              <w:pStyle w:val="Compact"/>
              <w:jc w:val="right"/>
            </w:pPr>
            <m:oMath>
              <m:r>
                <m:t>κ</m:t>
              </m:r>
            </m:oMath>
            <w:r>
              <w:t xml:space="preserve"> </w:t>
            </w:r>
            <w:r>
              <w:t xml:space="preserve">(kN m/rad)</w:t>
            </w:r>
          </w:p>
        </w:tc>
        <w:tc>
          <w:tcPr>
            <w:tcW w:type="dxa" w:w="901"/>
            <w:tcBorders>
              <w:top w:val="nil"/>
              <w:left w:val="nil"/>
              <w:bottom w:val="single" w:sz="6" w:space="0" w:color="000000"/>
              <w:right w:val="nil"/>
            </w:tcBorders>
          </w:tcPr>
          <w:p>
            <w:pPr>
              <w:keepNext/>
              <w:pStyle w:val="Compact"/>
              <w:jc w:val="right"/>
            </w:pPr>
            <m:oMath>
              <m:r>
                <m:t>α</m:t>
              </m:r>
            </m:oMath>
          </w:p>
        </w:tc>
        <w:tc>
          <w:tcPr>
            <w:tcW w:type="dxa" w:w="1030"/>
            <w:tcBorders>
              <w:top w:val="nil"/>
              <w:left w:val="nil"/>
              <w:bottom w:val="single" w:sz="6" w:space="0" w:color="000000"/>
              <w:right w:val="nil"/>
            </w:tcBorders>
          </w:tcPr>
          <w:p>
            <w:pPr>
              <w:keepNext/>
              <w:pStyle w:val="Compact"/>
              <w:jc w:val="right"/>
            </w:pPr>
            <w:r>
              <w:t xml:space="preserve">N8 indicator,</w:t>
            </w:r>
            <w:r>
              <w:t xml:space="preserve"> </w:t>
            </w:r>
            <m:oMath>
              <m:r>
                <m:t>α</m:t>
              </m:r>
              <m:r>
                <m:t>E</m:t>
              </m:r>
              <m:sSub>
                <m:e>
                  <m:r>
                    <m:t>I</m:t>
                  </m:r>
                </m:e>
                <m:sub>
                  <m:r>
                    <m:rPr>
                      <m:sty m:val="p"/>
                      <m:nor/>
                    </m:rPr>
                    <m:t>mid</m:t>
                  </m:r>
                </m:sub>
              </m:sSub>
            </m:oMath>
          </w:p>
        </w:tc>
        <w:tc>
          <w:tcPr>
            <w:tcW w:type="dxa" w:w="1339"/>
            <w:tcBorders>
              <w:top w:val="nil"/>
              <w:left w:val="nil"/>
              <w:bottom w:val="single" w:sz="6" w:space="0" w:color="000000"/>
              <w:right w:val="nil"/>
            </w:tcBorders>
          </w:tcPr>
          <w:p>
            <w:pPr>
              <w:keepNext/>
              <w:pStyle w:val="Compact"/>
              <w:jc w:val="right"/>
            </w:pPr>
            <w:r>
              <w:t xml:space="preserve">N8 indicator, design</w:t>
            </w:r>
            <w:r>
              <w:t xml:space="preserve"> </w:t>
            </w:r>
            <m:oMath>
              <m:r>
                <m:t>E</m:t>
              </m:r>
              <m:sSub>
                <m:e>
                  <m:r>
                    <m:t>I</m:t>
                  </m:r>
                </m:e>
                <m:sub>
                  <m:r>
                    <m:rPr>
                      <m:sty m:val="p"/>
                      <m:nor/>
                    </m:rPr>
                    <m:t>mid</m:t>
                  </m:r>
                </m:sub>
              </m:sSub>
            </m:oMath>
          </w:p>
        </w:tc>
        <w:tc>
          <w:tcPr>
            <w:tcW w:type="dxa" w:w="1082"/>
            <w:tcBorders>
              <w:top w:val="nil"/>
              <w:left w:val="nil"/>
              <w:bottom w:val="single" w:sz="6" w:space="0" w:color="000000"/>
              <w:right w:val="nil"/>
            </w:tcBorders>
          </w:tcPr>
          <w:p>
            <w:pPr>
              <w:keepNext/>
              <w:pStyle w:val="Compact"/>
              <w:jc w:val="right"/>
            </w:pPr>
            <m:oMath>
              <m:sSub>
                <m:e>
                  <m:r>
                    <m:t>C</m:t>
                  </m:r>
                </m:e>
                <m:sub>
                  <m:r>
                    <m:t>8</m:t>
                  </m:r>
                </m:sub>
              </m:sSub>
            </m:oMath>
            <w:r>
              <w:t xml:space="preserve"> </w:t>
            </w:r>
            <w:r>
              <w:t xml:space="preserve">(m²/kN)</w:t>
            </w:r>
          </w:p>
        </w:tc>
        <w:tc>
          <w:tcPr>
            <w:tcW w:type="dxa" w:w="730"/>
            <w:tcBorders>
              <w:top w:val="nil"/>
              <w:left w:val="nil"/>
              <w:bottom w:val="single" w:sz="6" w:space="0" w:color="000000"/>
              <w:right w:val="nil"/>
            </w:tcBorders>
          </w:tcPr>
          <w:p>
            <w:pPr>
              <w:keepNext/>
              <w:pStyle w:val="Compact"/>
              <w:jc w:val="right"/>
            </w:pPr>
            <m:oMath>
              <m:sSub>
                <m:e>
                  <m:r>
                    <m:t>C</m:t>
                  </m:r>
                </m:e>
                <m:sub>
                  <m:r>
                    <m:t>8</m:t>
                  </m:r>
                </m:sub>
              </m:sSub>
            </m:oMath>
            <w:r>
              <w:t xml:space="preserve"> </w:t>
            </w:r>
            <w:r>
              <w:t xml:space="preserve">max/min</w:t>
            </w:r>
          </w:p>
        </w:tc>
        <w:tc>
          <w:tcPr>
            <w:tcW w:type="dxa" w:w="730"/>
            <w:tcBorders>
              <w:top w:val="nil"/>
              <w:left w:val="nil"/>
              <w:bottom w:val="single" w:sz="6" w:space="0" w:color="000000"/>
              <w:right w:val="nil"/>
            </w:tcBorders>
          </w:tcPr>
          <w:p>
            <w:pPr>
              <w:keepNext/>
              <w:pStyle w:val="Compact"/>
              <w:jc w:val="right"/>
            </w:pPr>
            <m:oMath>
              <m:sSub>
                <m:e>
                  <m:r>
                    <m:t>C</m:t>
                  </m:r>
                </m:e>
                <m:sub>
                  <m:r>
                    <m:t>7</m:t>
                  </m:r>
                </m:sub>
              </m:sSub>
            </m:oMath>
            <w:r>
              <w:t xml:space="preserve"> </w:t>
            </w:r>
            <w:r>
              <w:t xml:space="preserve">(m²/kN)</w:t>
            </w:r>
          </w:p>
        </w:tc>
        <w:tc>
          <w:tcPr>
            <w:tcW w:type="dxa" w:w="730"/>
            <w:tcBorders>
              <w:top w:val="nil"/>
              <w:left w:val="nil"/>
              <w:bottom w:val="single" w:sz="6" w:space="0" w:color="000000"/>
              <w:right w:val="nil"/>
            </w:tcBorders>
          </w:tcPr>
          <w:p>
            <w:pPr>
              <w:keepNext/>
              <w:pStyle w:val="Compact"/>
              <w:jc w:val="right"/>
            </w:pPr>
            <m:oMath>
              <m:sSub>
                <m:e>
                  <m:r>
                    <m:t>C</m:t>
                  </m:r>
                </m:e>
                <m:sub>
                  <m:r>
                    <m:t>7</m:t>
                  </m:r>
                </m:sub>
              </m:sSub>
            </m:oMath>
            <w:r>
              <w:t xml:space="preserve"> </w:t>
            </w:r>
            <w:r>
              <w:t xml:space="preserve">max/min</w:t>
            </w:r>
          </w:p>
        </w:tc>
      </w:tr>
      <w:tr>
        <w:trPr>
          <w:cantSplit/>
        </w:trPr>
        <w:tc>
          <w:tcPr>
            <w:tcW w:type="dxa" w:w="1546"/>
          </w:tcPr>
          <w:p>
            <w:pPr>
              <w:keepNext/>
              <w:pStyle w:val="Compact"/>
              <w:jc w:val="left"/>
            </w:pPr>
            <m:oMath>
              <m:r>
                <m:t>τ</m:t>
              </m:r>
            </m:oMath>
            <w:r>
              <w:t xml:space="preserve"> </w:t>
            </w:r>
            <w:r>
              <w:t xml:space="preserve">= 3 %</w:t>
            </w:r>
          </w:p>
        </w:tc>
        <w:tc>
          <w:tcPr>
            <w:tcW w:type="dxa" w:w="979"/>
          </w:tcPr>
          <w:p>
            <w:pPr>
              <w:keepNext/>
              <w:pStyle w:val="Compact"/>
              <w:jc w:val="right"/>
            </w:pPr>
            <w:r>
              <w:t xml:space="preserve">1.0–3.0 × 10⁸</w:t>
            </w:r>
          </w:p>
        </w:tc>
        <w:tc>
          <w:tcPr>
            <w:tcW w:type="dxa" w:w="901"/>
          </w:tcPr>
          <w:p>
            <w:pPr>
              <w:keepNext/>
              <w:pStyle w:val="Compact"/>
              <w:jc w:val="right"/>
            </w:pPr>
            <w:r>
              <w:t xml:space="preserve">0.64–0.80</w:t>
            </w:r>
          </w:p>
        </w:tc>
        <w:tc>
          <w:tcPr>
            <w:tcW w:type="dxa" w:w="1030"/>
          </w:tcPr>
          <w:p>
            <w:pPr>
              <w:keepNext/>
              <w:pStyle w:val="Compact"/>
              <w:jc w:val="right"/>
            </w:pPr>
            <w:r>
              <w:t xml:space="preserve">0.30–0.37</w:t>
            </w:r>
          </w:p>
        </w:tc>
        <w:tc>
          <w:tcPr>
            <w:tcW w:type="dxa" w:w="1339"/>
          </w:tcPr>
          <w:p>
            <w:pPr>
              <w:keepNext/>
              <w:pStyle w:val="Compact"/>
              <w:jc w:val="right"/>
            </w:pPr>
            <w:r>
              <w:t xml:space="preserve">0.38–0.58</w:t>
            </w:r>
          </w:p>
        </w:tc>
        <w:tc>
          <w:tcPr>
            <w:tcW w:type="dxa" w:w="1082"/>
          </w:tcPr>
          <w:p>
            <w:pPr>
              <w:keepNext/>
              <w:pStyle w:val="Compact"/>
              <w:jc w:val="right"/>
            </w:pPr>
            <w:r>
              <w:t xml:space="preserve">9.1 × 10⁻⁵–1.4 × 10⁻⁴</w:t>
            </w:r>
          </w:p>
        </w:tc>
        <w:tc>
          <w:tcPr>
            <w:tcW w:type="dxa" w:w="730"/>
          </w:tcPr>
          <w:p>
            <w:pPr>
              <w:keepNext/>
              <w:pStyle w:val="Compact"/>
              <w:jc w:val="right"/>
            </w:pPr>
            <w:r>
              <w:t xml:space="preserve">1.5</w:t>
            </w:r>
          </w:p>
        </w:tc>
        <w:tc>
          <w:tcPr>
            <w:tcW w:type="dxa" w:w="730"/>
          </w:tcPr>
          <w:p>
            <w:pPr>
              <w:keepNext/>
              <w:pStyle w:val="Compact"/>
              <w:jc w:val="right"/>
            </w:pPr>
            <w:r>
              <w:t xml:space="preserve">3.8–4.3 × 10⁻⁴</w:t>
            </w:r>
          </w:p>
        </w:tc>
        <w:tc>
          <w:tcPr>
            <w:tcW w:type="dxa" w:w="730"/>
          </w:tcPr>
          <w:p>
            <w:pPr>
              <w:keepNext/>
              <w:pStyle w:val="Compact"/>
              <w:jc w:val="right"/>
            </w:pPr>
            <w:r>
              <w:t xml:space="preserve">1.1</w:t>
            </w:r>
          </w:p>
        </w:tc>
      </w:tr>
      <w:tr>
        <w:trPr>
          <w:cantSplit/>
        </w:trPr>
        <w:tc>
          <w:tcPr>
            <w:tcW w:type="dxa" w:w="1546"/>
          </w:tcPr>
          <w:p>
            <w:pPr>
              <w:keepNext/>
              <w:pStyle w:val="Compact"/>
              <w:jc w:val="left"/>
            </w:pPr>
            <m:oMath>
              <m:r>
                <m:t>τ</m:t>
              </m:r>
            </m:oMath>
            <w:r>
              <w:t xml:space="preserve"> </w:t>
            </w:r>
            <w:r>
              <w:t xml:space="preserve">= 4 %</w:t>
            </w:r>
          </w:p>
        </w:tc>
        <w:tc>
          <w:tcPr>
            <w:tcW w:type="dxa" w:w="979"/>
          </w:tcPr>
          <w:p>
            <w:pPr>
              <w:keepNext/>
              <w:pStyle w:val="Compact"/>
              <w:jc w:val="right"/>
            </w:pPr>
            <w:r>
              <w:t xml:space="preserve">4.2 × 10⁷–2.0 × 10⁹</w:t>
            </w:r>
          </w:p>
        </w:tc>
        <w:tc>
          <w:tcPr>
            <w:tcW w:type="dxa" w:w="901"/>
          </w:tcPr>
          <w:p>
            <w:pPr>
              <w:keepNext/>
              <w:pStyle w:val="Compact"/>
              <w:jc w:val="right"/>
            </w:pPr>
            <w:r>
              <w:t xml:space="preserve">0.54–0.98</w:t>
            </w:r>
          </w:p>
        </w:tc>
        <w:tc>
          <w:tcPr>
            <w:tcW w:type="dxa" w:w="1030"/>
          </w:tcPr>
          <w:p>
            <w:pPr>
              <w:keepNext/>
              <w:pStyle w:val="Compact"/>
              <w:jc w:val="right"/>
            </w:pPr>
            <w:r>
              <w:t xml:space="preserve">0.22–0.41</w:t>
            </w:r>
          </w:p>
        </w:tc>
        <w:tc>
          <w:tcPr>
            <w:tcW w:type="dxa" w:w="1339"/>
          </w:tcPr>
          <w:p>
            <w:pPr>
              <w:keepNext/>
              <w:pStyle w:val="Compact"/>
              <w:jc w:val="right"/>
            </w:pPr>
            <w:r>
              <w:t xml:space="preserve">0.23–0.77</w:t>
            </w:r>
          </w:p>
        </w:tc>
        <w:tc>
          <w:tcPr>
            <w:tcW w:type="dxa" w:w="1082"/>
          </w:tcPr>
          <w:p>
            <w:pPr>
              <w:keepNext/>
              <w:pStyle w:val="Compact"/>
              <w:jc w:val="right"/>
            </w:pPr>
            <w:r>
              <w:t xml:space="preserve">5.5 × 10⁻⁵–1.8 × 10⁻⁴</w:t>
            </w:r>
          </w:p>
        </w:tc>
        <w:tc>
          <w:tcPr>
            <w:tcW w:type="dxa" w:w="730"/>
          </w:tcPr>
          <w:p>
            <w:pPr>
              <w:keepNext/>
              <w:pStyle w:val="Compact"/>
              <w:jc w:val="right"/>
            </w:pPr>
            <w:r>
              <w:t xml:space="preserve">3.4</w:t>
            </w:r>
          </w:p>
        </w:tc>
        <w:tc>
          <w:tcPr>
            <w:tcW w:type="dxa" w:w="730"/>
          </w:tcPr>
          <w:p>
            <w:pPr>
              <w:keepNext/>
              <w:pStyle w:val="Compact"/>
              <w:jc w:val="right"/>
            </w:pPr>
            <w:r>
              <w:t xml:space="preserve">3.5–4.8 × 10⁻⁴</w:t>
            </w:r>
          </w:p>
        </w:tc>
        <w:tc>
          <w:tcPr>
            <w:tcW w:type="dxa" w:w="730"/>
          </w:tcPr>
          <w:p>
            <w:pPr>
              <w:keepNext/>
              <w:pStyle w:val="Compact"/>
              <w:jc w:val="right"/>
            </w:pPr>
            <w:r>
              <w:t xml:space="preserve">1.4</w:t>
            </w:r>
          </w:p>
        </w:tc>
      </w:tr>
      <w:tr>
        <w:trPr>
          <w:cantSplit/>
        </w:trPr>
        <w:tc>
          <w:tcPr>
            <w:tcW w:type="dxa" w:w="1546"/>
          </w:tcPr>
          <w:p>
            <w:pPr>
              <w:keepNext/>
              <w:pStyle w:val="Compact"/>
              <w:jc w:val="left"/>
            </w:pPr>
            <m:oMath>
              <m:r>
                <m:t>τ</m:t>
              </m:r>
            </m:oMath>
            <w:r>
              <w:t xml:space="preserve"> </w:t>
            </w:r>
            <w:r>
              <w:t xml:space="preserve">= 5.3 %</w:t>
            </w:r>
          </w:p>
        </w:tc>
        <w:tc>
          <w:tcPr>
            <w:tcW w:type="dxa" w:w="979"/>
          </w:tcPr>
          <w:p>
            <w:pPr>
              <w:keepNext/>
              <w:pStyle w:val="Compact"/>
              <w:jc w:val="right"/>
            </w:pPr>
            <w:r>
              <w:t xml:space="preserve">≥ 1.8 × 10⁷</w:t>
            </w:r>
          </w:p>
        </w:tc>
        <w:tc>
          <w:tcPr>
            <w:tcW w:type="dxa" w:w="901"/>
          </w:tcPr>
          <w:p>
            <w:pPr>
              <w:keepNext/>
              <w:pStyle w:val="Compact"/>
              <w:jc w:val="right"/>
            </w:pPr>
            <w:r>
              <w:t xml:space="preserve">0.51–1.15</w:t>
            </w:r>
          </w:p>
        </w:tc>
        <w:tc>
          <w:tcPr>
            <w:tcW w:type="dxa" w:w="1030"/>
          </w:tcPr>
          <w:p>
            <w:pPr>
              <w:keepNext/>
              <w:pStyle w:val="Compact"/>
              <w:jc w:val="right"/>
            </w:pPr>
            <w:r>
              <w:t xml:space="preserve">0.14–0.42</w:t>
            </w:r>
          </w:p>
        </w:tc>
        <w:tc>
          <w:tcPr>
            <w:tcW w:type="dxa" w:w="1339"/>
          </w:tcPr>
          <w:p>
            <w:pPr>
              <w:keepNext/>
              <w:pStyle w:val="Compact"/>
              <w:jc w:val="right"/>
            </w:pPr>
            <w:r>
              <w:t xml:space="preserve">0.12–0.82</w:t>
            </w:r>
          </w:p>
        </w:tc>
        <w:tc>
          <w:tcPr>
            <w:tcW w:type="dxa" w:w="1082"/>
          </w:tcPr>
          <w:p>
            <w:pPr>
              <w:keepNext/>
              <w:pStyle w:val="Compact"/>
              <w:jc w:val="right"/>
            </w:pPr>
            <w:r>
              <w:t xml:space="preserve">3.0 × 10⁻⁵–2.0 × 10⁻⁴</w:t>
            </w:r>
          </w:p>
        </w:tc>
        <w:tc>
          <w:tcPr>
            <w:tcW w:type="dxa" w:w="730"/>
          </w:tcPr>
          <w:p>
            <w:pPr>
              <w:keepNext/>
              <w:pStyle w:val="Compact"/>
              <w:jc w:val="right"/>
            </w:pPr>
            <w:r>
              <w:t xml:space="preserve">6.6</w:t>
            </w:r>
          </w:p>
        </w:tc>
        <w:tc>
          <w:tcPr>
            <w:tcW w:type="dxa" w:w="730"/>
          </w:tcPr>
          <w:p>
            <w:pPr>
              <w:keepNext/>
              <w:pStyle w:val="Compact"/>
              <w:jc w:val="right"/>
            </w:pPr>
            <w:r>
              <w:t xml:space="preserve">3.3–4.9 × 10⁻⁴</w:t>
            </w:r>
          </w:p>
        </w:tc>
        <w:tc>
          <w:tcPr>
            <w:tcW w:type="dxa" w:w="730"/>
          </w:tcPr>
          <w:p>
            <w:pPr>
              <w:keepNext/>
              <w:pStyle w:val="Compact"/>
              <w:jc w:val="right"/>
            </w:pPr>
            <w:r>
              <w:t xml:space="preserve">1.5</w:t>
            </w:r>
          </w:p>
        </w:tc>
      </w:tr>
      <w:tr>
        <w:trPr>
          <w:cantSplit/>
        </w:trPr>
        <w:tc>
          <w:tcPr>
            <w:tcW w:type="dxa" w:w="1546"/>
          </w:tcPr>
          <w:p>
            <w:pPr>
              <w:pStyle w:val="Compact"/>
              <w:jc w:val="left"/>
            </w:pPr>
            <m:oMath>
              <m:r>
                <m:t>τ</m:t>
              </m:r>
            </m:oMath>
            <w:r>
              <w:t xml:space="preserve"> </w:t>
            </w:r>
            <w:r>
              <w:t xml:space="preserve">= 5.3 %, prior</w:t>
            </w:r>
            <w:r>
              <w:t xml:space="preserve"> </w:t>
            </w:r>
            <m:oMath>
              <m:r>
                <m:t>α</m:t>
              </m:r>
            </m:oMath>
            <w:r>
              <w:t xml:space="preserve"> </w:t>
            </w:r>
            <w:r>
              <w:t xml:space="preserve">∈ [0.9, 1.3]</w:t>
            </w:r>
          </w:p>
        </w:tc>
        <w:tc>
          <w:tcPr>
            <w:tcW w:type="dxa" w:w="979"/>
          </w:tcPr>
          <w:p>
            <w:pPr>
              <w:pStyle w:val="Compact"/>
              <w:jc w:val="right"/>
            </w:pPr>
            <w:r>
              <w:t xml:space="preserve">1.8–6.7 × 10⁷</w:t>
            </w:r>
          </w:p>
        </w:tc>
        <w:tc>
          <w:tcPr>
            <w:tcW w:type="dxa" w:w="901"/>
          </w:tcPr>
          <w:p>
            <w:pPr>
              <w:pStyle w:val="Compact"/>
              <w:jc w:val="right"/>
            </w:pPr>
            <w:r>
              <w:t xml:space="preserve">0.90–1.15</w:t>
            </w:r>
          </w:p>
        </w:tc>
        <w:tc>
          <w:tcPr>
            <w:tcW w:type="dxa" w:w="1030"/>
          </w:tcPr>
          <w:p>
            <w:pPr>
              <w:pStyle w:val="Compact"/>
              <w:jc w:val="right"/>
            </w:pPr>
            <w:r>
              <w:t xml:space="preserve">0.14–0.27</w:t>
            </w:r>
          </w:p>
        </w:tc>
        <w:tc>
          <w:tcPr>
            <w:tcW w:type="dxa" w:w="1339"/>
          </w:tcPr>
          <w:p>
            <w:pPr>
              <w:pStyle w:val="Compact"/>
              <w:jc w:val="right"/>
            </w:pPr>
            <w:r>
              <w:t xml:space="preserve">0.12–0.30</w:t>
            </w:r>
          </w:p>
        </w:tc>
        <w:tc>
          <w:tcPr>
            <w:tcW w:type="dxa" w:w="1082"/>
          </w:tcPr>
          <w:p>
            <w:pPr>
              <w:pStyle w:val="Compact"/>
              <w:jc w:val="right"/>
            </w:pPr>
            <w:r>
              <w:t xml:space="preserve">3.0 × 10⁻⁵–7.2 × 10⁻⁵</w:t>
            </w:r>
          </w:p>
        </w:tc>
        <w:tc>
          <w:tcPr>
            <w:tcW w:type="dxa" w:w="730"/>
          </w:tcPr>
          <w:p>
            <w:pPr>
              <w:pStyle w:val="Compact"/>
              <w:jc w:val="right"/>
            </w:pPr>
            <w:r>
              <w:t xml:space="preserve">2.4</w:t>
            </w:r>
          </w:p>
        </w:tc>
        <w:tc>
          <w:tcPr>
            <w:tcW w:type="dxa" w:w="730"/>
          </w:tcPr>
          <w:p>
            <w:pPr>
              <w:pStyle w:val="Compact"/>
              <w:jc w:val="right"/>
            </w:pPr>
            <w:r>
              <w:t xml:space="preserve">3.3–3.6 × 10⁻⁴</w:t>
            </w:r>
          </w:p>
        </w:tc>
        <w:tc>
          <w:tcPr>
            <w:tcW w:type="dxa" w:w="730"/>
          </w:tcPr>
          <w:p>
            <w:pPr>
              <w:pStyle w:val="Compact"/>
              <w:jc w:val="right"/>
            </w:pPr>
            <w:r>
              <w:t xml:space="preserve">1.1</w:t>
            </w:r>
          </w:p>
        </w:tc>
      </w:tr>
    </w:tbl>
    <w:p>
      <w:pPr>
        <w:pStyle w:val="BodyText"/>
        <w:keepNext/>
        <w:keepLines/>
      </w:pPr>
      <w:r>
        <w:rPr>
          <w:bCs/>
          <w:b/>
        </w:rPr>
        <w:t xml:space="preserve">Table S14.</w:t>
      </w:r>
      <w:r>
        <w:t xml:space="preserve"> </w:t>
      </w:r>
      <w:r>
        <w:t xml:space="preserve">Vertical natural frequencies of the main-bridge spans reported in the acceptance test.</w:t>
      </w:r>
    </w:p>
    <w:tbl>
      <w:tblPr>
        <w:tblStyle w:val="Table"/>
        <w:tblW w:type="auto" w:w="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5133"/>
        <w:gridCol w:w="3936"/>
      </w:tblGrid>
      <w:tr>
        <w:trPr>
          <w:tblHeader w:val="true"/>
          <w:tblHeader w:val="true"/>
          <w:cantSplit/>
        </w:trPr>
        <w:tc>
          <w:tcPr>
            <w:tcW w:type="dxa" w:w="5133"/>
            <w:tcBorders>
              <w:top w:val="nil"/>
              <w:left w:val="nil"/>
              <w:bottom w:val="single" w:sz="6" w:space="0" w:color="000000"/>
              <w:right w:val="nil"/>
            </w:tcBorders>
          </w:tcPr>
          <w:p>
            <w:pPr>
              <w:keepNext/>
              <w:pStyle w:val="Compact"/>
              <w:jc w:val="left"/>
            </w:pPr>
            <w:r>
              <w:t xml:space="preserve">Span</w:t>
            </w:r>
          </w:p>
        </w:tc>
        <w:tc>
          <w:tcPr>
            <w:tcW w:type="dxa" w:w="3936"/>
            <w:tcBorders>
              <w:top w:val="nil"/>
              <w:left w:val="nil"/>
              <w:bottom w:val="single" w:sz="6" w:space="0" w:color="000000"/>
              <w:right w:val="nil"/>
            </w:tcBorders>
          </w:tcPr>
          <w:p>
            <w:pPr>
              <w:keepNext/>
              <w:pStyle w:val="Compact"/>
              <w:jc w:val="right"/>
            </w:pPr>
            <w:r>
              <w:t xml:space="preserve">Vertical frequency (Hz)</w:t>
            </w:r>
          </w:p>
        </w:tc>
      </w:tr>
      <w:tr>
        <w:trPr>
          <w:cantSplit/>
        </w:trPr>
        <w:tc>
          <w:tcPr>
            <w:tcW w:type="dxa" w:w="5133"/>
          </w:tcPr>
          <w:p>
            <w:pPr>
              <w:keepNext/>
              <w:pStyle w:val="Compact"/>
              <w:jc w:val="left"/>
            </w:pPr>
            <w:r>
              <w:t xml:space="preserve">Side span T5–T6 (55 m; T6 is the other inner pier)</w:t>
            </w:r>
          </w:p>
        </w:tc>
        <w:tc>
          <w:tcPr>
            <w:tcW w:type="dxa" w:w="3936"/>
          </w:tcPr>
          <w:p>
            <w:pPr>
              <w:keepNext/>
              <w:pStyle w:val="Compact"/>
              <w:jc w:val="right"/>
            </w:pPr>
            <w:r>
              <w:t xml:space="preserve">3.43</w:t>
            </w:r>
          </w:p>
        </w:tc>
      </w:tr>
      <w:tr>
        <w:trPr>
          <w:cantSplit/>
        </w:trPr>
        <w:tc>
          <w:tcPr>
            <w:tcW w:type="dxa" w:w="5133"/>
          </w:tcPr>
          <w:p>
            <w:pPr>
              <w:keepNext/>
              <w:pStyle w:val="Compact"/>
              <w:jc w:val="left"/>
            </w:pPr>
            <w:r>
              <w:t xml:space="preserve">Main span T6–T7 (90 m)</w:t>
            </w:r>
          </w:p>
        </w:tc>
        <w:tc>
          <w:tcPr>
            <w:tcW w:type="dxa" w:w="3936"/>
          </w:tcPr>
          <w:p>
            <w:pPr>
              <w:keepNext/>
              <w:pStyle w:val="Compact"/>
              <w:jc w:val="right"/>
            </w:pPr>
            <w:r>
              <w:t xml:space="preserve">3.64</w:t>
            </w:r>
          </w:p>
        </w:tc>
      </w:tr>
      <w:tr>
        <w:trPr>
          <w:cantSplit/>
        </w:trPr>
        <w:tc>
          <w:tcPr>
            <w:tcW w:type="dxa" w:w="5133"/>
          </w:tcPr>
          <w:p>
            <w:pPr>
              <w:pStyle w:val="Compact"/>
              <w:jc w:val="left"/>
            </w:pPr>
            <w:r>
              <w:t xml:space="preserve">Side span T7–T8 (55 m)</w:t>
            </w:r>
          </w:p>
        </w:tc>
        <w:tc>
          <w:tcPr>
            <w:tcW w:type="dxa" w:w="3936"/>
          </w:tcPr>
          <w:p>
            <w:pPr>
              <w:pStyle w:val="Compact"/>
              <w:jc w:val="right"/>
            </w:pPr>
            <w:r>
              <w:t xml:space="preserve">3.63</w:t>
            </w:r>
          </w:p>
        </w:tc>
      </w:tr>
    </w:tbl>
    <w:p>
      <w:pPr>
        <w:pStyle w:val="BodyText"/>
        <w:keepNext/>
        <w:keepLines/>
      </w:pPr>
      <w:r>
        <w:rPr>
          <w:bCs/>
          <w:b/>
        </w:rPr>
        <w:t xml:space="preserve">Table S15.</w:t>
      </w:r>
      <w:r>
        <w:t xml:space="preserve"> </w:t>
      </w:r>
      <w:r>
        <w:t xml:space="preserve">Deflection indicator</w:t>
      </w:r>
      <w:r>
        <w:t xml:space="preserve"> </w:t>
      </w:r>
      <m:oMath>
        <m:sSub>
          <m:e>
            <m:r>
              <m:t>N</m:t>
            </m:r>
          </m:e>
          <m:sub>
            <m:r>
              <m:t>w</m:t>
            </m:r>
          </m:sub>
        </m:sSub>
      </m:oMath>
      <w:r>
        <w:t xml:space="preserve"> </w:t>
      </w:r>
      <w:r>
        <w:t xml:space="preserve">(Eq. (8)), cancellation ratio</w:t>
      </w:r>
      <w:r>
        <w:t xml:space="preserve"> </w:t>
      </w:r>
      <m:oMath>
        <m:r>
          <m:t>R</m:t>
        </m:r>
      </m:oMath>
      <w:r>
        <w:t xml:space="preserve"> </w:t>
      </w:r>
      <w:r>
        <w:t xml:space="preserve">(Eq. (9)) and boundary sensitivity</w:t>
      </w:r>
      <w:r>
        <w:t xml:space="preserve"> </w:t>
      </w:r>
      <m:oMath>
        <m:sSub>
          <m:e>
            <m:r>
              <m:t>B</m:t>
            </m:r>
          </m:e>
          <m:sub>
            <m:r>
              <m:t>m</m:t>
            </m:r>
          </m:sub>
        </m:sSub>
      </m:oMath>
      <w:r>
        <w:t xml:space="preserve"> </w:t>
      </w:r>
      <w:r>
        <w:t xml:space="preserve">of the Mây Bridge gauges, including the mid side-span position.</w:t>
      </w:r>
      <w:r>
        <w:t xml:space="preserve"> </w:t>
      </w:r>
      <m:oMath>
        <m:r>
          <m:t>E</m:t>
        </m:r>
        <m:sSub>
          <m:e>
            <m:r>
              <m:t>I</m:t>
            </m:r>
          </m:e>
          <m:sub>
            <m:r>
              <m:rPr>
                <m:sty m:val="p"/>
                <m:nor/>
              </m:rPr>
              <m:t>ref</m:t>
            </m:r>
          </m:sub>
        </m:sSub>
      </m:oMath>
      <w:r>
        <w:t xml:space="preserve"> </w:t>
      </w:r>
      <w:r>
        <w:t xml:space="preserve">= design</w:t>
      </w:r>
      <w:r>
        <w:t xml:space="preserve"> </w:t>
      </w:r>
      <m:oMath>
        <m:r>
          <m:t>E</m:t>
        </m:r>
        <m:sSub>
          <m:e>
            <m:r>
              <m:t>I</m:t>
            </m:r>
          </m:e>
          <m:sub>
            <m:r>
              <m:rPr>
                <m:sty m:val="p"/>
                <m:nor/>
              </m:rPr>
              <m:t>mid</m:t>
            </m:r>
          </m:sub>
        </m:sSub>
      </m:oMath>
      <w:r>
        <w:t xml:space="preserve"> </w:t>
      </w:r>
      <w:r>
        <w:t xml:space="preserve">and</w:t>
      </w:r>
      <w:r>
        <w:t xml:space="preserve"> </w:t>
      </w:r>
      <m:oMath>
        <m:r>
          <m:t>L</m:t>
        </m:r>
      </m:oMath>
      <w:r>
        <w:t xml:space="preserve"> </w:t>
      </w:r>
      <w:r>
        <w:t xml:space="preserve">the span containing the gauge. Calibration A and the pinned-pier and fixed-pier rows have</w:t>
      </w:r>
      <w:r>
        <w:t xml:space="preserve"> </w:t>
      </w:r>
      <m:oMath>
        <m:r>
          <m:t>α</m:t>
        </m:r>
        <m:r>
          <m:rPr>
            <m:sty m:val="p"/>
          </m:rPr>
          <m:t>=</m:t>
        </m:r>
        <m:r>
          <m:t>1</m:t>
        </m:r>
      </m:oMath>
      <w:r>
        <w:t xml:space="preserve">, calibration B has</w:t>
      </w:r>
      <w:r>
        <w:t xml:space="preserve"> </w:t>
      </w:r>
      <m:oMath>
        <m:r>
          <m:t>α</m:t>
        </m:r>
        <m:r>
          <m:rPr>
            <m:sty m:val="p"/>
          </m:rPr>
          <m:t>=</m:t>
        </m:r>
        <m:r>
          <m:t>0.716</m:t>
        </m:r>
      </m:oMath>
      <w:r>
        <w:t xml:space="preserve">, and the admissible set spans</w:t>
      </w:r>
      <w:r>
        <w:t xml:space="preserve"> </w:t>
      </w:r>
      <m:oMath>
        <m:r>
          <m:t>α</m:t>
        </m:r>
      </m:oMath>
      <w:r>
        <w:t xml:space="preserve"> </w:t>
      </w:r>
      <w:r>
        <w:t xml:space="preserve">= 0.51–1.15; the haunched rows are the base model (</w:t>
      </w:r>
      <m:oMath>
        <m:sSub>
          <m:e>
            <m:r>
              <m:t>L</m:t>
            </m:r>
          </m:e>
          <m:sub>
            <m:r>
              <m:rPr>
                <m:sty m:val="p"/>
                <m:nor/>
              </m:rPr>
              <m:t>v</m:t>
            </m:r>
          </m:sub>
        </m:sSub>
      </m:oMath>
      <w:r>
        <w:t xml:space="preserve"> </w:t>
      </w:r>
      <w:r>
        <w:t xml:space="preserve">= 44 m).</w:t>
      </w:r>
      <w:r>
        <w:t xml:space="preserve"> </w:t>
      </w:r>
      <m:oMath>
        <m:sSub>
          <m:e>
            <m:r>
              <m:t>B</m:t>
            </m:r>
          </m:e>
          <m:sub>
            <m:r>
              <m:t>m</m:t>
            </m:r>
          </m:sub>
        </m:sSub>
      </m:oMath>
      <w:r>
        <w:t xml:space="preserve"> </w:t>
      </w:r>
      <w:r>
        <w:t xml:space="preserve">at the design stiffness, with</w:t>
      </w:r>
      <w:r>
        <w:t xml:space="preserve"> </w:t>
      </w:r>
      <m:oMath>
        <m:sSub>
          <m:e>
            <m:r>
              <m:t>k</m:t>
            </m:r>
          </m:e>
          <m:sub>
            <m:r>
              <m:t>g</m:t>
            </m:r>
          </m:sub>
        </m:sSub>
        <m:r>
          <m:rPr>
            <m:sty m:val="p"/>
          </m:rPr>
          <m:t>=</m:t>
        </m:r>
        <m:r>
          <m:t>4.36</m:t>
        </m:r>
        <m:r>
          <m:rPr>
            <m:sty m:val="p"/>
          </m:rPr>
          <m:t>×</m:t>
        </m:r>
        <m:sSup>
          <m:e>
            <m:r>
              <m:t>10</m:t>
            </m:r>
          </m:e>
          <m:sup>
            <m:r>
              <m:t>7</m:t>
            </m:r>
          </m:sup>
        </m:sSup>
      </m:oMath>
      <w:r>
        <w:t xml:space="preserve"> </w:t>
      </w:r>
      <w:r>
        <w:t xml:space="preserve">kN m/rad. –: not computed.</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734"/>
        <w:gridCol w:w="1503"/>
        <w:gridCol w:w="1330"/>
        <w:gridCol w:w="1204"/>
        <w:gridCol w:w="1012"/>
        <w:gridCol w:w="1272"/>
        <w:gridCol w:w="1012"/>
      </w:tblGrid>
      <w:tr>
        <w:trPr>
          <w:tblHeader w:val="true"/>
          <w:tblHeader w:val="true"/>
          <w:cantSplit/>
        </w:trPr>
        <w:tc>
          <w:tcPr>
            <w:tcW w:type="dxa" w:w="1734"/>
            <w:tcBorders>
              <w:top w:val="nil"/>
              <w:left w:val="nil"/>
              <w:bottom w:val="single" w:sz="6" w:space="0" w:color="000000"/>
              <w:right w:val="nil"/>
            </w:tcBorders>
          </w:tcPr>
          <w:p>
            <w:pPr>
              <w:keepNext/>
              <w:pStyle w:val="Compact"/>
              <w:jc w:val="left"/>
            </w:pPr>
            <w:r>
              <w:t xml:space="preserve">Model</w:t>
            </w:r>
          </w:p>
        </w:tc>
        <w:tc>
          <w:tcPr>
            <w:tcW w:type="dxa" w:w="1503"/>
            <w:tcBorders>
              <w:top w:val="nil"/>
              <w:left w:val="nil"/>
              <w:bottom w:val="single" w:sz="6" w:space="0" w:color="000000"/>
              <w:right w:val="nil"/>
            </w:tcBorders>
          </w:tcPr>
          <w:p>
            <w:pPr>
              <w:keepNext/>
              <w:pStyle w:val="Compact"/>
              <w:jc w:val="right"/>
            </w:pPr>
            <m:oMath>
              <m:sSub>
                <m:e>
                  <m:r>
                    <m:t>N</m:t>
                  </m:r>
                </m:e>
                <m:sub>
                  <m:r>
                    <m:t>w</m:t>
                  </m:r>
                </m:sub>
              </m:sSub>
            </m:oMath>
            <w:r>
              <w:t xml:space="preserve">, N8 at 0.4</w:t>
            </w:r>
            <m:oMath>
              <m:r>
                <m:t>L</m:t>
              </m:r>
            </m:oMath>
            <w:r>
              <w:t xml:space="preserve"> </w:t>
            </w:r>
            <w:r>
              <w:t xml:space="preserve">(installed)</w:t>
            </w:r>
          </w:p>
        </w:tc>
        <w:tc>
          <w:tcPr>
            <w:tcW w:type="dxa" w:w="1330"/>
            <w:tcBorders>
              <w:top w:val="nil"/>
              <w:left w:val="nil"/>
              <w:bottom w:val="single" w:sz="6" w:space="0" w:color="000000"/>
              <w:right w:val="nil"/>
            </w:tcBorders>
          </w:tcPr>
          <w:p>
            <w:pPr>
              <w:keepNext/>
              <w:pStyle w:val="Compact"/>
              <w:jc w:val="right"/>
            </w:pPr>
            <m:oMath>
              <m:sSub>
                <m:e>
                  <m:r>
                    <m:t>N</m:t>
                  </m:r>
                </m:e>
                <m:sub>
                  <m:r>
                    <m:t>w</m:t>
                  </m:r>
                </m:sub>
              </m:sSub>
            </m:oMath>
            <w:r>
              <w:t xml:space="preserve">, N8 at mid side span</w:t>
            </w:r>
          </w:p>
        </w:tc>
        <w:tc>
          <w:tcPr>
            <w:tcW w:type="dxa" w:w="1204"/>
            <w:tcBorders>
              <w:top w:val="nil"/>
              <w:left w:val="nil"/>
              <w:bottom w:val="single" w:sz="6" w:space="0" w:color="000000"/>
              <w:right w:val="nil"/>
            </w:tcBorders>
          </w:tcPr>
          <w:p>
            <w:pPr>
              <w:keepNext/>
              <w:pStyle w:val="Compact"/>
              <w:jc w:val="right"/>
            </w:pPr>
            <m:oMath>
              <m:sSub>
                <m:e>
                  <m:r>
                    <m:t>N</m:t>
                  </m:r>
                </m:e>
                <m:sub>
                  <m:r>
                    <m:t>w</m:t>
                  </m:r>
                </m:sub>
              </m:sSub>
            </m:oMath>
            <w:r>
              <w:t xml:space="preserve">, N7 (installed)</w:t>
            </w:r>
          </w:p>
        </w:tc>
        <w:tc>
          <w:tcPr>
            <w:tcW w:type="dxa" w:w="1012"/>
            <w:tcBorders>
              <w:top w:val="nil"/>
              <w:left w:val="nil"/>
              <w:bottom w:val="single" w:sz="6" w:space="0" w:color="000000"/>
              <w:right w:val="nil"/>
            </w:tcBorders>
          </w:tcPr>
          <w:p>
            <w:pPr>
              <w:keepNext/>
              <w:pStyle w:val="Compact"/>
              <w:jc w:val="right"/>
            </w:pPr>
            <m:oMath>
              <m:r>
                <m:t>R</m:t>
              </m:r>
            </m:oMath>
            <w:r>
              <w:t xml:space="preserve">, N8 at 0.4</w:t>
            </w:r>
            <m:oMath>
              <m:r>
                <m:t>L</m:t>
              </m:r>
            </m:oMath>
          </w:p>
        </w:tc>
        <w:tc>
          <w:tcPr>
            <w:tcW w:type="dxa" w:w="1272"/>
            <w:tcBorders>
              <w:top w:val="nil"/>
              <w:left w:val="nil"/>
              <w:bottom w:val="single" w:sz="6" w:space="0" w:color="000000"/>
              <w:right w:val="nil"/>
            </w:tcBorders>
          </w:tcPr>
          <w:p>
            <w:pPr>
              <w:keepNext/>
              <w:pStyle w:val="Compact"/>
              <w:jc w:val="right"/>
            </w:pPr>
            <m:oMath>
              <m:r>
                <m:t>R</m:t>
              </m:r>
            </m:oMath>
            <w:r>
              <w:t xml:space="preserve">, N8 at mid side span</w:t>
            </w:r>
          </w:p>
        </w:tc>
        <w:tc>
          <w:tcPr>
            <w:tcW w:type="dxa" w:w="1012"/>
            <w:tcBorders>
              <w:top w:val="nil"/>
              <w:left w:val="nil"/>
              <w:bottom w:val="single" w:sz="6" w:space="0" w:color="000000"/>
              <w:right w:val="nil"/>
            </w:tcBorders>
          </w:tcPr>
          <w:p>
            <w:pPr>
              <w:keepNext/>
              <w:pStyle w:val="Compact"/>
              <w:jc w:val="right"/>
            </w:pPr>
            <m:oMath>
              <m:r>
                <m:t>R</m:t>
              </m:r>
            </m:oMath>
            <w:r>
              <w:t xml:space="preserve">, N7</w:t>
            </w:r>
          </w:p>
        </w:tc>
      </w:tr>
      <w:tr>
        <w:trPr>
          <w:cantSplit/>
        </w:trPr>
        <w:tc>
          <w:tcPr>
            <w:tcW w:type="dxa" w:w="1734"/>
          </w:tcPr>
          <w:p>
            <w:pPr>
              <w:keepNext/>
              <w:pStyle w:val="Compact"/>
              <w:jc w:val="left"/>
            </w:pPr>
            <w:r>
              <w:t xml:space="preserve">Prismatic beam, pinned piers</w:t>
            </w:r>
          </w:p>
        </w:tc>
        <w:tc>
          <w:tcPr>
            <w:tcW w:type="dxa" w:w="1503"/>
          </w:tcPr>
          <w:p>
            <w:pPr>
              <w:keepNext/>
              <w:pStyle w:val="Compact"/>
              <w:jc w:val="right"/>
            </w:pPr>
            <w:r>
              <w:t xml:space="preserve">0.287</w:t>
            </w:r>
          </w:p>
        </w:tc>
        <w:tc>
          <w:tcPr>
            <w:tcW w:type="dxa" w:w="1330"/>
          </w:tcPr>
          <w:p>
            <w:pPr>
              <w:keepNext/>
              <w:pStyle w:val="Compact"/>
              <w:jc w:val="right"/>
            </w:pPr>
            <w:r>
              <w:t xml:space="preserve">0.163</w:t>
            </w:r>
          </w:p>
        </w:tc>
        <w:tc>
          <w:tcPr>
            <w:tcW w:type="dxa" w:w="1204"/>
          </w:tcPr>
          <w:p>
            <w:pPr>
              <w:keepNext/>
              <w:pStyle w:val="Compact"/>
              <w:jc w:val="right"/>
            </w:pPr>
            <w:r>
              <w:t xml:space="preserve">0.755</w:t>
            </w:r>
          </w:p>
        </w:tc>
        <w:tc>
          <w:tcPr>
            <w:tcW w:type="dxa" w:w="1012"/>
          </w:tcPr>
          <w:p>
            <w:pPr>
              <w:keepNext/>
              <w:pStyle w:val="Compact"/>
              <w:jc w:val="right"/>
            </w:pPr>
            <w:r>
              <w:t xml:space="preserve">0.14</w:t>
            </w:r>
          </w:p>
        </w:tc>
        <w:tc>
          <w:tcPr>
            <w:tcW w:type="dxa" w:w="1272"/>
          </w:tcPr>
          <w:p>
            <w:pPr>
              <w:keepNext/>
              <w:pStyle w:val="Compact"/>
              <w:jc w:val="right"/>
            </w:pPr>
            <w:r>
              <w:t xml:space="preserve">0.08</w:t>
            </w:r>
          </w:p>
        </w:tc>
        <w:tc>
          <w:tcPr>
            <w:tcW w:type="dxa" w:w="1012"/>
          </w:tcPr>
          <w:p>
            <w:pPr>
              <w:keepNext/>
              <w:pStyle w:val="Compact"/>
              <w:jc w:val="right"/>
            </w:pPr>
            <w:r>
              <w:t xml:space="preserve">0.70</w:t>
            </w:r>
          </w:p>
        </w:tc>
      </w:tr>
      <w:tr>
        <w:trPr>
          <w:cantSplit/>
        </w:trPr>
        <w:tc>
          <w:tcPr>
            <w:tcW w:type="dxa" w:w="1734"/>
          </w:tcPr>
          <w:p>
            <w:pPr>
              <w:keepNext/>
              <w:pStyle w:val="Compact"/>
              <w:jc w:val="left"/>
            </w:pPr>
            <w:r>
              <w:t xml:space="preserve">Haunched, calibration A</w:t>
            </w:r>
          </w:p>
        </w:tc>
        <w:tc>
          <w:tcPr>
            <w:tcW w:type="dxa" w:w="1503"/>
          </w:tcPr>
          <w:p>
            <w:pPr>
              <w:keepNext/>
              <w:pStyle w:val="Compact"/>
              <w:jc w:val="right"/>
            </w:pPr>
            <w:r>
              <w:t xml:space="preserve">0.181</w:t>
            </w:r>
          </w:p>
        </w:tc>
        <w:tc>
          <w:tcPr>
            <w:tcW w:type="dxa" w:w="1330"/>
          </w:tcPr>
          <w:p>
            <w:pPr>
              <w:keepNext/>
              <w:pStyle w:val="Compact"/>
              <w:jc w:val="right"/>
            </w:pPr>
            <w:r>
              <w:t xml:space="preserve">0.105</w:t>
            </w:r>
          </w:p>
        </w:tc>
        <w:tc>
          <w:tcPr>
            <w:tcW w:type="dxa" w:w="1204"/>
          </w:tcPr>
          <w:p>
            <w:pPr>
              <w:keepNext/>
              <w:pStyle w:val="Compact"/>
              <w:jc w:val="right"/>
            </w:pPr>
            <w:r>
              <w:t xml:space="preserve">0.209</w:t>
            </w:r>
          </w:p>
        </w:tc>
        <w:tc>
          <w:tcPr>
            <w:tcW w:type="dxa" w:w="1012"/>
          </w:tcPr>
          <w:p>
            <w:pPr>
              <w:keepNext/>
              <w:pStyle w:val="Compact"/>
              <w:jc w:val="right"/>
            </w:pPr>
            <w:r>
              <w:t xml:space="preserve">0.18</w:t>
            </w:r>
          </w:p>
        </w:tc>
        <w:tc>
          <w:tcPr>
            <w:tcW w:type="dxa" w:w="1272"/>
          </w:tcPr>
          <w:p>
            <w:pPr>
              <w:keepNext/>
              <w:pStyle w:val="Compact"/>
              <w:jc w:val="right"/>
            </w:pPr>
            <w:r>
              <w:t xml:space="preserve">0.11</w:t>
            </w:r>
          </w:p>
        </w:tc>
        <w:tc>
          <w:tcPr>
            <w:tcW w:type="dxa" w:w="1012"/>
          </w:tcPr>
          <w:p>
            <w:pPr>
              <w:keepNext/>
              <w:pStyle w:val="Compact"/>
              <w:jc w:val="right"/>
            </w:pPr>
            <w:r>
              <w:t xml:space="preserve">0.59</w:t>
            </w:r>
          </w:p>
        </w:tc>
      </w:tr>
      <w:tr>
        <w:trPr>
          <w:cantSplit/>
        </w:trPr>
        <w:tc>
          <w:tcPr>
            <w:tcW w:type="dxa" w:w="1734"/>
          </w:tcPr>
          <w:p>
            <w:pPr>
              <w:keepNext/>
              <w:pStyle w:val="Compact"/>
              <w:jc w:val="left"/>
            </w:pPr>
            <w:r>
              <w:t xml:space="preserve">Haunched, calibration B</w:t>
            </w:r>
          </w:p>
        </w:tc>
        <w:tc>
          <w:tcPr>
            <w:tcW w:type="dxa" w:w="1503"/>
          </w:tcPr>
          <w:p>
            <w:pPr>
              <w:keepNext/>
              <w:pStyle w:val="Compact"/>
              <w:jc w:val="right"/>
            </w:pPr>
            <w:r>
              <w:t xml:space="preserve">0.476ᵃ</w:t>
            </w:r>
          </w:p>
        </w:tc>
        <w:tc>
          <w:tcPr>
            <w:tcW w:type="dxa" w:w="1330"/>
          </w:tcPr>
          <w:p>
            <w:pPr>
              <w:keepNext/>
              <w:pStyle w:val="Compact"/>
              <w:jc w:val="right"/>
            </w:pPr>
            <w:r>
              <w:t xml:space="preserve">0.377</w:t>
            </w:r>
          </w:p>
        </w:tc>
        <w:tc>
          <w:tcPr>
            <w:tcW w:type="dxa" w:w="1204"/>
          </w:tcPr>
          <w:p>
            <w:pPr>
              <w:keepNext/>
              <w:pStyle w:val="Compact"/>
              <w:jc w:val="right"/>
            </w:pPr>
            <w:r>
              <w:t xml:space="preserve">0.234</w:t>
            </w:r>
          </w:p>
        </w:tc>
        <w:tc>
          <w:tcPr>
            <w:tcW w:type="dxa" w:w="1012"/>
          </w:tcPr>
          <w:p>
            <w:pPr>
              <w:keepNext/>
              <w:pStyle w:val="Compact"/>
              <w:jc w:val="right"/>
            </w:pPr>
            <w:r>
              <w:t xml:space="preserve">0.56</w:t>
            </w:r>
          </w:p>
        </w:tc>
        <w:tc>
          <w:tcPr>
            <w:tcW w:type="dxa" w:w="1272"/>
          </w:tcPr>
          <w:p>
            <w:pPr>
              <w:keepNext/>
              <w:pStyle w:val="Compact"/>
              <w:jc w:val="right"/>
            </w:pPr>
            <w:r>
              <w:t xml:space="preserve">0.49</w:t>
            </w:r>
          </w:p>
        </w:tc>
        <w:tc>
          <w:tcPr>
            <w:tcW w:type="dxa" w:w="1012"/>
          </w:tcPr>
          <w:p>
            <w:pPr>
              <w:keepNext/>
              <w:pStyle w:val="Compact"/>
              <w:jc w:val="right"/>
            </w:pPr>
            <w:r>
              <w:t xml:space="preserve">0.77</w:t>
            </w:r>
          </w:p>
        </w:tc>
      </w:tr>
      <w:tr>
        <w:trPr>
          <w:cantSplit/>
        </w:trPr>
        <w:tc>
          <w:tcPr>
            <w:tcW w:type="dxa" w:w="1734"/>
          </w:tcPr>
          <w:p>
            <w:pPr>
              <w:keepNext/>
              <w:pStyle w:val="Compact"/>
              <w:jc w:val="left"/>
            </w:pPr>
            <w:r>
              <w:t xml:space="preserve">Haunched, admissible set (</w:t>
            </w:r>
            <m:oMath>
              <m:r>
                <m:t>τ</m:t>
              </m:r>
            </m:oMath>
            <w:r>
              <w:t xml:space="preserve"> </w:t>
            </w:r>
            <w:r>
              <w:t xml:space="preserve">= 5.3 %)</w:t>
            </w:r>
          </w:p>
        </w:tc>
        <w:tc>
          <w:tcPr>
            <w:tcW w:type="dxa" w:w="1503"/>
          </w:tcPr>
          <w:p>
            <w:pPr>
              <w:keepNext/>
              <w:pStyle w:val="Compact"/>
              <w:jc w:val="right"/>
            </w:pPr>
            <w:r>
              <w:t xml:space="preserve">0.124–0.822ᵇ</w:t>
            </w:r>
          </w:p>
        </w:tc>
        <w:tc>
          <w:tcPr>
            <w:tcW w:type="dxa" w:w="1330"/>
          </w:tcPr>
          <w:p>
            <w:pPr>
              <w:keepNext/>
              <w:pStyle w:val="Compact"/>
              <w:jc w:val="right"/>
            </w:pPr>
            <w:r>
              <w:t xml:space="preserve">–</w:t>
            </w:r>
          </w:p>
        </w:tc>
        <w:tc>
          <w:tcPr>
            <w:tcW w:type="dxa" w:w="1204"/>
          </w:tcPr>
          <w:p>
            <w:pPr>
              <w:keepNext/>
              <w:pStyle w:val="Compact"/>
              <w:jc w:val="right"/>
            </w:pPr>
            <w:r>
              <w:t xml:space="preserve">0.190–0.286</w:t>
            </w:r>
          </w:p>
        </w:tc>
        <w:tc>
          <w:tcPr>
            <w:tcW w:type="dxa" w:w="1012"/>
          </w:tcPr>
          <w:p>
            <w:pPr>
              <w:keepNext/>
              <w:pStyle w:val="Compact"/>
              <w:jc w:val="right"/>
            </w:pPr>
            <w:r>
              <w:t xml:space="preserve">0.13–1.00</w:t>
            </w:r>
          </w:p>
        </w:tc>
        <w:tc>
          <w:tcPr>
            <w:tcW w:type="dxa" w:w="1272"/>
          </w:tcPr>
          <w:p>
            <w:pPr>
              <w:keepNext/>
              <w:pStyle w:val="Compact"/>
              <w:jc w:val="right"/>
            </w:pPr>
            <w:r>
              <w:t xml:space="preserve">–</w:t>
            </w:r>
          </w:p>
        </w:tc>
        <w:tc>
          <w:tcPr>
            <w:tcW w:type="dxa" w:w="1012"/>
          </w:tcPr>
          <w:p>
            <w:pPr>
              <w:keepNext/>
              <w:pStyle w:val="Compact"/>
              <w:jc w:val="right"/>
            </w:pPr>
            <w:r>
              <w:t xml:space="preserve">0.56–1.00</w:t>
            </w:r>
          </w:p>
        </w:tc>
      </w:tr>
      <w:tr>
        <w:trPr>
          <w:cantSplit/>
        </w:trPr>
        <w:tc>
          <w:tcPr>
            <w:tcW w:type="dxa" w:w="1734"/>
          </w:tcPr>
          <w:p>
            <w:pPr>
              <w:keepNext/>
              <w:pStyle w:val="Compact"/>
              <w:jc w:val="left"/>
            </w:pPr>
            <w:r>
              <w:t xml:space="preserve">Haunched, pinned piers</w:t>
            </w:r>
          </w:p>
        </w:tc>
        <w:tc>
          <w:tcPr>
            <w:tcW w:type="dxa" w:w="1503"/>
          </w:tcPr>
          <w:p>
            <w:pPr>
              <w:keepNext/>
              <w:pStyle w:val="Compact"/>
              <w:jc w:val="right"/>
            </w:pPr>
            <w:r>
              <w:t xml:space="preserve">0.030</w:t>
            </w:r>
          </w:p>
        </w:tc>
        <w:tc>
          <w:tcPr>
            <w:tcW w:type="dxa" w:w="1330"/>
          </w:tcPr>
          <w:p>
            <w:pPr>
              <w:keepNext/>
              <w:pStyle w:val="Compact"/>
              <w:jc w:val="right"/>
            </w:pPr>
            <w:r>
              <w:t xml:space="preserve">−0.052</w:t>
            </w:r>
          </w:p>
        </w:tc>
        <w:tc>
          <w:tcPr>
            <w:tcW w:type="dxa" w:w="1204"/>
          </w:tcPr>
          <w:p>
            <w:pPr>
              <w:keepNext/>
              <w:pStyle w:val="Compact"/>
              <w:jc w:val="right"/>
            </w:pPr>
            <w:r>
              <w:t xml:space="preserve">0.248</w:t>
            </w:r>
          </w:p>
        </w:tc>
        <w:tc>
          <w:tcPr>
            <w:tcW w:type="dxa" w:w="1012"/>
          </w:tcPr>
          <w:p>
            <w:pPr>
              <w:keepNext/>
              <w:pStyle w:val="Compact"/>
              <w:jc w:val="right"/>
            </w:pPr>
            <w:r>
              <w:t xml:space="preserve">0.02</w:t>
            </w:r>
          </w:p>
        </w:tc>
        <w:tc>
          <w:tcPr>
            <w:tcW w:type="dxa" w:w="1272"/>
          </w:tcPr>
          <w:p>
            <w:pPr>
              <w:keepNext/>
              <w:pStyle w:val="Compact"/>
              <w:jc w:val="right"/>
            </w:pPr>
            <w:r>
              <w:t xml:space="preserve">−0.04</w:t>
            </w:r>
          </w:p>
        </w:tc>
        <w:tc>
          <w:tcPr>
            <w:tcW w:type="dxa" w:w="1012"/>
          </w:tcPr>
          <w:p>
            <w:pPr>
              <w:keepNext/>
              <w:pStyle w:val="Compact"/>
              <w:jc w:val="right"/>
            </w:pPr>
            <w:r>
              <w:t xml:space="preserve">0.51</w:t>
            </w:r>
          </w:p>
        </w:tc>
      </w:tr>
      <w:tr>
        <w:trPr>
          <w:cantSplit/>
        </w:trPr>
        <w:tc>
          <w:tcPr>
            <w:tcW w:type="dxa" w:w="1734"/>
          </w:tcPr>
          <w:p>
            <w:pPr>
              <w:keepNext/>
              <w:pStyle w:val="Compact"/>
              <w:jc w:val="left"/>
            </w:pPr>
            <w:r>
              <w:t xml:space="preserve">Haunched, fixed piers</w:t>
            </w:r>
          </w:p>
        </w:tc>
        <w:tc>
          <w:tcPr>
            <w:tcW w:type="dxa" w:w="1503"/>
          </w:tcPr>
          <w:p>
            <w:pPr>
              <w:keepNext/>
              <w:pStyle w:val="Compact"/>
              <w:jc w:val="right"/>
            </w:pPr>
            <w:r>
              <w:t xml:space="preserve">0.422</w:t>
            </w:r>
          </w:p>
        </w:tc>
        <w:tc>
          <w:tcPr>
            <w:tcW w:type="dxa" w:w="1330"/>
          </w:tcPr>
          <w:p>
            <w:pPr>
              <w:keepNext/>
              <w:pStyle w:val="Compact"/>
              <w:jc w:val="right"/>
            </w:pPr>
            <w:r>
              <w:t xml:space="preserve">0.354</w:t>
            </w:r>
          </w:p>
        </w:tc>
        <w:tc>
          <w:tcPr>
            <w:tcW w:type="dxa" w:w="1204"/>
          </w:tcPr>
          <w:p>
            <w:pPr>
              <w:keepNext/>
              <w:pStyle w:val="Compact"/>
              <w:jc w:val="right"/>
            </w:pPr>
            <w:r>
              <w:t xml:space="preserve">0.147</w:t>
            </w:r>
          </w:p>
        </w:tc>
        <w:tc>
          <w:tcPr>
            <w:tcW w:type="dxa" w:w="1012"/>
          </w:tcPr>
          <w:p>
            <w:pPr>
              <w:keepNext/>
              <w:pStyle w:val="Compact"/>
              <w:jc w:val="right"/>
            </w:pPr>
            <w:r>
              <w:t xml:space="preserve">1.00</w:t>
            </w:r>
          </w:p>
        </w:tc>
        <w:tc>
          <w:tcPr>
            <w:tcW w:type="dxa" w:w="1272"/>
          </w:tcPr>
          <w:p>
            <w:pPr>
              <w:keepNext/>
              <w:pStyle w:val="Compact"/>
              <w:jc w:val="right"/>
            </w:pPr>
            <w:r>
              <w:t xml:space="preserve">1.00</w:t>
            </w:r>
          </w:p>
        </w:tc>
        <w:tc>
          <w:tcPr>
            <w:tcW w:type="dxa" w:w="1012"/>
          </w:tcPr>
          <w:p>
            <w:pPr>
              <w:keepNext/>
              <w:pStyle w:val="Compact"/>
              <w:jc w:val="right"/>
            </w:pPr>
            <w:r>
              <w:t xml:space="preserve">1.00</w:t>
            </w:r>
          </w:p>
        </w:tc>
      </w:tr>
      <w:tr>
        <w:trPr>
          <w:cantSplit/>
        </w:trPr>
        <w:tc>
          <w:tcPr>
            <w:tcW w:type="dxa" w:w="1734"/>
          </w:tcPr>
          <w:p>
            <w:pPr>
              <w:keepNext/>
              <w:pStyle w:val="Compact"/>
              <w:jc w:val="left"/>
            </w:pPr>
            <m:oMath>
              <m:sSub>
                <m:e>
                  <m:r>
                    <m:t>B</m:t>
                  </m:r>
                </m:e>
                <m:sub>
                  <m:r>
                    <m:t>m</m:t>
                  </m:r>
                </m:sub>
              </m:sSub>
            </m:oMath>
            <w:r>
              <w:t xml:space="preserve"> </w:t>
            </w:r>
            <w:r>
              <w:t xml:space="preserve">at the design stiffness</w:t>
            </w:r>
          </w:p>
        </w:tc>
        <w:tc>
          <w:tcPr>
            <w:tcW w:type="dxa" w:w="1503"/>
          </w:tcPr>
          <w:p>
            <w:pPr>
              <w:keepNext/>
              <w:pStyle w:val="Compact"/>
              <w:jc w:val="right"/>
            </w:pPr>
            <w:r>
              <w:t xml:space="preserve">0.51</w:t>
            </w:r>
          </w:p>
        </w:tc>
        <w:tc>
          <w:tcPr>
            <w:tcW w:type="dxa" w:w="1330"/>
          </w:tcPr>
          <w:p>
            <w:pPr>
              <w:keepNext/>
              <w:pStyle w:val="Compact"/>
              <w:jc w:val="right"/>
            </w:pPr>
            <w:r>
              <w:t xml:space="preserve">–</w:t>
            </w:r>
          </w:p>
        </w:tc>
        <w:tc>
          <w:tcPr>
            <w:tcW w:type="dxa" w:w="1204"/>
          </w:tcPr>
          <w:p>
            <w:pPr>
              <w:keepNext/>
              <w:pStyle w:val="Compact"/>
              <w:jc w:val="right"/>
            </w:pPr>
            <w:r>
              <w:t xml:space="preserve">0.12</w:t>
            </w:r>
          </w:p>
        </w:tc>
        <w:tc>
          <w:tcPr>
            <w:tcW w:type="dxa" w:w="1012"/>
          </w:tcPr>
          <w:p>
            <w:pPr>
              <w:keepNext/>
              <w:pStyle w:val="Compact"/>
              <w:jc w:val="right"/>
            </w:pPr>
            <w:r>
              <w:t xml:space="preserve">–</w:t>
            </w:r>
          </w:p>
        </w:tc>
        <w:tc>
          <w:tcPr>
            <w:tcW w:type="dxa" w:w="1272"/>
          </w:tcPr>
          <w:p>
            <w:pPr>
              <w:keepNext/>
              <w:pStyle w:val="Compact"/>
              <w:jc w:val="right"/>
            </w:pPr>
            <w:r>
              <w:t xml:space="preserve">–</w:t>
            </w:r>
          </w:p>
        </w:tc>
        <w:tc>
          <w:tcPr>
            <w:tcW w:type="dxa" w:w="1012"/>
          </w:tcPr>
          <w:p>
            <w:pPr>
              <w:keepNext/>
              <w:pStyle w:val="Compact"/>
              <w:jc w:val="right"/>
            </w:pPr>
            <w:r>
              <w:t xml:space="preserve">–</w:t>
            </w:r>
          </w:p>
        </w:tc>
      </w:tr>
    </w:tbl>
    <w:p>
      <w:pPr>
        <w:pStyle w:val="BodyText"/>
      </w:pPr>
      <w:r>
        <w:t xml:space="preserve">ᵃ Above the fixed-pier value because calibration B has</w:t>
      </w:r>
      <w:r>
        <w:t xml:space="preserve"> </w:t>
      </w:r>
      <m:oMath>
        <m:r>
          <m:t>α</m:t>
        </m:r>
      </m:oMath>
      <w:r>
        <w:t xml:space="preserve"> </w:t>
      </w:r>
      <w:r>
        <w:t xml:space="preserve">= 0.716; normalized by the effective rigidity</w:t>
      </w:r>
      <w:r>
        <w:t xml:space="preserve"> </w:t>
      </w:r>
      <m:oMath>
        <m:r>
          <m:t>α</m:t>
        </m:r>
        <m:r>
          <m:t>E</m:t>
        </m:r>
        <m:sSub>
          <m:e>
            <m:r>
              <m:t>I</m:t>
            </m:r>
          </m:e>
          <m:sub>
            <m:r>
              <m:rPr>
                <m:sty m:val="p"/>
                <m:nor/>
              </m:rPr>
              <m:t>mid</m:t>
            </m:r>
          </m:sub>
        </m:sSub>
      </m:oMath>
      <w:r>
        <w:t xml:space="preserve"> </w:t>
      </w:r>
      <w:r>
        <w:t xml:space="preserve">it is 0.341. ᵇ The upper part of this range requires</w:t>
      </w:r>
      <w:r>
        <w:t xml:space="preserve"> </w:t>
      </w:r>
      <m:oMath>
        <m:r>
          <m:t>α</m:t>
        </m:r>
        <m:r>
          <m:rPr>
            <m:sty m:val="p"/>
          </m:rPr>
          <m:t>≈</m:t>
        </m:r>
        <m:r>
          <m:t>0.5</m:t>
        </m:r>
      </m:oMath>
      <w:r>
        <w:t xml:space="preserve">; normalized by the effective rigidity, the range is 0.144–0.422.</w:t>
      </w:r>
    </w:p>
    <w:p>
      <w:pPr>
        <w:pStyle w:val="BodyText"/>
        <w:keepNext/>
        <w:keepLines/>
      </w:pPr>
      <w:r>
        <w:rPr>
          <w:bCs/>
          <w:b/>
        </w:rPr>
        <w:t xml:space="preserve">Table S16.</w:t>
      </w:r>
      <w:r>
        <w:t xml:space="preserve"> </w:t>
      </w:r>
      <w:r>
        <w:t xml:space="preserve">Longitudinal axle positions of the static test load (model positions from the test plan). Each longitudinal row consists of two 3-axle trucks side by side, so the axle loads per row are 10, 20 and 20 t (5, 10 and 10 t per truck).</w:t>
      </w:r>
      <w:r>
        <w:t xml:space="preserve"> </w:t>
      </w:r>
      <m:oMath>
        <m:r>
          <m:t>x</m:t>
        </m:r>
      </m:oMath>
      <w:r>
        <w:t xml:space="preserve"> </w:t>
      </w:r>
      <w:r>
        <w:t xml:space="preserve">is measured from T5, with T8 at</w:t>
      </w:r>
      <w:r>
        <w:t xml:space="preserve"> </w:t>
      </w:r>
      <m:oMath>
        <m:r>
          <m:t>x</m:t>
        </m:r>
      </m:oMath>
      <w:r>
        <w:t xml:space="preserve"> </w:t>
      </w:r>
      <w:r>
        <w:t xml:space="preserve">= 200 m.</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2433"/>
        <w:gridCol w:w="3318"/>
        <w:gridCol w:w="3318"/>
      </w:tblGrid>
      <w:tr>
        <w:trPr>
          <w:tblHeader w:val="true"/>
          <w:tblHeader w:val="true"/>
          <w:cantSplit/>
        </w:trPr>
        <w:tc>
          <w:tcPr>
            <w:tcW w:type="dxa" w:w="2433"/>
            <w:tcBorders>
              <w:top w:val="nil"/>
              <w:left w:val="nil"/>
              <w:bottom w:val="single" w:sz="6" w:space="0" w:color="000000"/>
              <w:right w:val="nil"/>
            </w:tcBorders>
          </w:tcPr>
          <w:p>
            <w:pPr>
              <w:keepNext/>
              <w:pStyle w:val="Compact"/>
              <w:jc w:val="left"/>
            </w:pPr>
            <w:r>
              <w:t xml:space="preserve">Scheme</w:t>
            </w:r>
          </w:p>
        </w:tc>
        <w:tc>
          <w:tcPr>
            <w:tcW w:type="dxa" w:w="3318"/>
            <w:tcBorders>
              <w:top w:val="nil"/>
              <w:left w:val="nil"/>
              <w:bottom w:val="single" w:sz="6" w:space="0" w:color="000000"/>
              <w:right w:val="nil"/>
            </w:tcBorders>
          </w:tcPr>
          <w:p>
            <w:pPr>
              <w:keepNext/>
              <w:pStyle w:val="Compact"/>
              <w:jc w:val="left"/>
            </w:pPr>
            <w:r>
              <w:t xml:space="preserve">Axle positions</w:t>
            </w:r>
            <w:r>
              <w:t xml:space="preserve"> </w:t>
            </w:r>
            <m:oMath>
              <m:r>
                <m:t>x</m:t>
              </m:r>
            </m:oMath>
            <w:r>
              <w:t xml:space="preserve"> </w:t>
            </w:r>
            <w:r>
              <w:t xml:space="preserve">(m), with axle load per row (t)</w:t>
            </w:r>
          </w:p>
        </w:tc>
        <w:tc>
          <w:tcPr>
            <w:tcW w:type="dxa" w:w="3318"/>
            <w:tcBorders>
              <w:top w:val="nil"/>
              <w:left w:val="nil"/>
              <w:bottom w:val="single" w:sz="6" w:space="0" w:color="000000"/>
              <w:right w:val="nil"/>
            </w:tcBorders>
          </w:tcPr>
          <w:p>
            <w:pPr>
              <w:keepNext/>
              <w:pStyle w:val="Compact"/>
              <w:jc w:val="left"/>
            </w:pPr>
            <w:r>
              <w:t xml:space="preserve">Distance from T8 (m)</w:t>
            </w:r>
          </w:p>
        </w:tc>
      </w:tr>
      <w:tr>
        <w:trPr>
          <w:cantSplit/>
        </w:trPr>
        <w:tc>
          <w:tcPr>
            <w:tcW w:type="dxa" w:w="2433"/>
          </w:tcPr>
          <w:p>
            <w:pPr>
              <w:keepNext/>
              <w:pStyle w:val="Compact"/>
              <w:jc w:val="left"/>
            </w:pPr>
            <w:r>
              <w:t xml:space="preserve">N8, side span (2 rows)</w:t>
            </w:r>
          </w:p>
        </w:tc>
        <w:tc>
          <w:tcPr>
            <w:tcW w:type="dxa" w:w="3318"/>
          </w:tcPr>
          <w:p>
            <w:pPr>
              <w:keepNext/>
              <w:pStyle w:val="Compact"/>
              <w:jc w:val="left"/>
            </w:pPr>
            <w:r>
              <w:t xml:space="preserve">163.45 (10), 167.05 (20), 168.40 (20); 174.40 (10), 178.00 (20), 179.35 (20)</w:t>
            </w:r>
          </w:p>
        </w:tc>
        <w:tc>
          <w:tcPr>
            <w:tcW w:type="dxa" w:w="3318"/>
          </w:tcPr>
          <w:p>
            <w:pPr>
              <w:keepNext/>
              <w:pStyle w:val="Compact"/>
              <w:jc w:val="left"/>
            </w:pPr>
            <w:r>
              <w:t xml:space="preserve">36.55, 32.95, 31.60; 25.60, 22.00, 20.65</w:t>
            </w:r>
          </w:p>
        </w:tc>
      </w:tr>
      <w:tr>
        <w:trPr>
          <w:cantSplit/>
        </w:trPr>
        <w:tc>
          <w:tcPr>
            <w:tcW w:type="dxa" w:w="2433"/>
          </w:tcPr>
          <w:p>
            <w:pPr>
              <w:pStyle w:val="Compact"/>
              <w:jc w:val="left"/>
            </w:pPr>
            <w:r>
              <w:t xml:space="preserve">N7, main span (3 rows)</w:t>
            </w:r>
          </w:p>
        </w:tc>
        <w:tc>
          <w:tcPr>
            <w:tcW w:type="dxa" w:w="3318"/>
          </w:tcPr>
          <w:p>
            <w:pPr>
              <w:pStyle w:val="Compact"/>
              <w:jc w:val="left"/>
            </w:pPr>
            <w:r>
              <w:t xml:space="preserve">87.70 (20), 89.05 (20), 92.65 (10); 98.65 (20), 100.00 (20), 103.60 (10); 109.60 (20), 110.95 (20), 114.55 (10)</w:t>
            </w:r>
          </w:p>
        </w:tc>
        <w:tc>
          <w:tcPr>
            <w:tcW w:type="dxa" w:w="3318"/>
          </w:tcPr>
          <w:p>
            <w:pPr>
              <w:pStyle w:val="Compact"/>
              <w:jc w:val="left"/>
            </w:pPr>
            <w:r>
              <w:t xml:space="preserve">–</w:t>
            </w:r>
          </w:p>
        </w:tc>
      </w:tr>
    </w:tbl>
    <w:bookmarkEnd w:id="72"/>
    <w:bookmarkStart w:id="79" w:name="s9.-dynamics-and-baseline-handling"/>
    <w:p>
      <w:pPr>
        <w:pStyle w:val="Heading2"/>
      </w:pPr>
      <w:r>
        <w:t xml:space="preserve">S9. Dynamics and baseline handling</w:t>
      </w:r>
    </w:p>
    <w:p>
      <w:pPr>
        <w:pStyle w:val="FirstParagraph"/>
      </w:pPr>
      <w:r>
        <w:t xml:space="preserve">For a constant force moving across the laboratory beam, the quasi-static error is at most about 1 % when the ratio of the crossing time to the fundamental period,</w:t>
      </w:r>
      <w:r>
        <w:t xml:space="preserve"> </w:t>
      </w:r>
      <m:oMath>
        <m:sSub>
          <m:e>
            <m:r>
              <m:t>t</m:t>
            </m:r>
          </m:e>
          <m:sub>
            <m:r>
              <m:rPr>
                <m:sty m:val="p"/>
                <m:nor/>
              </m:rPr>
              <m:t>cr</m:t>
            </m:r>
          </m:sub>
        </m:sSub>
        <m:r>
          <m:rPr>
            <m:sty m:val="p"/>
          </m:rPr>
          <m:t>/</m:t>
        </m:r>
        <m:sSub>
          <m:e>
            <m:r>
              <m:t>T</m:t>
            </m:r>
          </m:e>
          <m:sub>
            <m:r>
              <m:t>1</m:t>
            </m:r>
          </m:sub>
        </m:sSub>
      </m:oMath>
      <w:r>
        <w:t xml:space="preserve">, is at least 8, and it exceeds 15 % below 2.5 (Frýba, 1999). This bound omits vehicle–bridge interaction and road roughness. The moving-force analysis is reproduced by</w:t>
      </w:r>
      <w:r>
        <w:t xml:space="preserve"> </w:t>
      </w:r>
      <w:r>
        <w:rPr>
          <w:rStyle w:val="VerbatimChar"/>
        </w:rPr>
        <w:t xml:space="preserve">s05_moving_force.py</w:t>
      </w:r>
      <w:r>
        <w:t xml:space="preserve">; its console output (</w:t>
      </w:r>
      <w:r>
        <w:rPr>
          <w:rStyle w:val="VerbatimChar"/>
        </w:rPr>
        <w:t xml:space="preserve">s05_moving_force.log</w:t>
      </w:r>
      <w:r>
        <w:t xml:space="preserve">) lists the quasi-static error against</w:t>
      </w:r>
      <w:r>
        <w:t xml:space="preserve"> </w:t>
      </w:r>
      <m:oMath>
        <m:sSub>
          <m:e>
            <m:r>
              <m:t>t</m:t>
            </m:r>
          </m:e>
          <m:sub>
            <m:r>
              <m:rPr>
                <m:sty m:val="p"/>
                <m:nor/>
              </m:rPr>
              <m:t>cr</m:t>
            </m:r>
          </m:sub>
        </m:sSub>
        <m:r>
          <m:rPr>
            <m:sty m:val="p"/>
          </m:rPr>
          <m:t>/</m:t>
        </m:r>
        <m:sSub>
          <m:e>
            <m:r>
              <m:t>T</m:t>
            </m:r>
          </m:e>
          <m:sub>
            <m:r>
              <m:t>1</m:t>
            </m:r>
          </m:sub>
        </m:sSub>
      </m:oMath>
      <w:r>
        <w:t xml:space="preserve">, the effect of damping and the axle-configuration spread under dynamics.</w:t>
      </w:r>
    </w:p>
    <w:p>
      <w:pPr>
        <w:pStyle w:val="BodyText"/>
      </w:pPr>
      <w:r>
        <w:t xml:space="preserve">The authors’ deflection records from two simply supported bridges showed post-minus-pre level differences of up to 0.23 mm. Linear re-zeroing removes such differences, so this value bounds the drift before re-zeroing, not</w:t>
      </w:r>
      <w:r>
        <w:t xml:space="preserve"> </w:t>
      </w:r>
      <m:oMath>
        <m:sSub>
          <m:e>
            <m:r>
              <m:t>δ</m:t>
            </m:r>
          </m:e>
          <m:sub>
            <m:r>
              <m:t>0</m:t>
            </m:r>
          </m:sub>
        </m:sSub>
      </m:oMath>
      <w:r>
        <w:t xml:space="preserve">. Figures S16 and S17 show these records, which illustrate the baseline handling and the low-pass filtering recommended in Section S10.</w:t>
      </w:r>
    </w:p>
    <w:p>
      <w:pPr>
        <w:pStyle w:val="Figure"/>
      </w:pPr>
      <w:r>
        <w:drawing>
          <wp:inline>
            <wp:extent cx="5039999" cy="1851502"/>
            <wp:effectExtent b="0" l="0" r="0" t="0"/>
            <wp:docPr descr="" title="" id="74" name="Picture"/>
            <a:graphic>
              <a:graphicData uri="http://schemas.openxmlformats.org/drawingml/2006/picture">
                <pic:pic>
                  <pic:nvPicPr>
                    <pic:cNvPr descr="/home/user/SHM-Paper1-1D/manuscript/ase/figures/supplementary/FigS16_giecuc_phuongdo_baseline.png" id="75" name="Picture"/>
                    <pic:cNvPicPr>
                      <a:picLocks noChangeArrowheads="1" noChangeAspect="1"/>
                    </pic:cNvPicPr>
                  </pic:nvPicPr>
                  <pic:blipFill>
                    <a:blip r:embed="rId73"/>
                    <a:stretch>
                      <a:fillRect/>
                    </a:stretch>
                  </pic:blipFill>
                  <pic:spPr bwMode="auto">
                    <a:xfrm>
                      <a:off x="0" y="0"/>
                      <a:ext cx="5039999" cy="1851502"/>
                    </a:xfrm>
                    <a:prstGeom prst="rect">
                      <a:avLst/>
                    </a:prstGeom>
                    <a:noFill/>
                    <a:ln w="9525">
                      <a:noFill/>
                      <a:headEnd/>
                      <a:tailEnd/>
                    </a:ln>
                  </pic:spPr>
                </pic:pic>
              </a:graphicData>
            </a:graphic>
          </wp:inline>
        </w:drawing>
      </w:r>
    </w:p>
    <w:p>
      <w:pPr>
        <w:pStyle w:val="Captionjustified"/>
        <w:keepLines/>
      </w:pPr>
      <w:r>
        <w:rPr>
          <w:bCs/>
          <w:b/>
        </w:rPr>
        <w:t xml:space="preserve">Figure S16.</w:t>
      </w:r>
      <w:r>
        <w:t xml:space="preserve"> </w:t>
      </w:r>
      <w:r>
        <w:t xml:space="preserve">Deflection records of two simply supported bridges (Giẽ and Phương Độ): deviation of the event integral from a linear pre/post baseline for several baseline treatments and high-pass filters.</w:t>
      </w:r>
    </w:p>
    <w:p>
      <w:pPr>
        <w:pStyle w:val="Figure"/>
      </w:pPr>
      <w:r>
        <w:drawing>
          <wp:inline>
            <wp:extent cx="5039999" cy="4786369"/>
            <wp:effectExtent b="0" l="0" r="0" t="0"/>
            <wp:docPr descr="" title="" id="77" name="Picture"/>
            <a:graphic>
              <a:graphicData uri="http://schemas.openxmlformats.org/drawingml/2006/picture">
                <pic:pic>
                  <pic:nvPicPr>
                    <pic:cNvPr descr="/home/user/SHM-Paper1-1D/manuscript/ase/figures/supplementary/FigS17_giecuc_phuongdo_lowpass.png" id="78" name="Picture"/>
                    <pic:cNvPicPr>
                      <a:picLocks noChangeArrowheads="1" noChangeAspect="1"/>
                    </pic:cNvPicPr>
                  </pic:nvPicPr>
                  <pic:blipFill>
                    <a:blip r:embed="rId76"/>
                    <a:stretch>
                      <a:fillRect/>
                    </a:stretch>
                  </pic:blipFill>
                  <pic:spPr bwMode="auto">
                    <a:xfrm>
                      <a:off x="0" y="0"/>
                      <a:ext cx="5039999" cy="4786369"/>
                    </a:xfrm>
                    <a:prstGeom prst="rect">
                      <a:avLst/>
                    </a:prstGeom>
                    <a:noFill/>
                    <a:ln w="9525">
                      <a:noFill/>
                      <a:headEnd/>
                      <a:tailEnd/>
                    </a:ln>
                  </pic:spPr>
                </pic:pic>
              </a:graphicData>
            </a:graphic>
          </wp:inline>
        </w:drawing>
      </w:r>
    </w:p>
    <w:p>
      <w:pPr>
        <w:pStyle w:val="Captionjustified"/>
        <w:keepLines/>
      </w:pPr>
      <w:r>
        <w:rPr>
          <w:bCs/>
          <w:b/>
        </w:rPr>
        <w:t xml:space="preserve">Figure S17.</w:t>
      </w:r>
      <w:r>
        <w:t xml:space="preserve"> </w:t>
      </w:r>
      <w:r>
        <w:t xml:space="preserve">The same records: (a) deflection relative to the linear baseline, unfiltered and low-pass filtered at 2 Hz; (b) dynamic residual removed by the low-pass filter.</w:t>
      </w:r>
    </w:p>
    <w:bookmarkEnd w:id="79"/>
    <w:bookmarkStart w:id="80" w:name="s10.-error-budget-and-design-checklist"/>
    <w:p>
      <w:pPr>
        <w:pStyle w:val="Heading2"/>
      </w:pPr>
      <w:r>
        <w:t xml:space="preserve">S10. Error budget and design checklist</w:t>
      </w:r>
    </w:p>
    <w:p>
      <w:pPr>
        <w:pStyle w:val="FirstParagraph"/>
      </w:pPr>
      <w:r>
        <w:t xml:space="preserve">The budget below is indicative, not an evaluation according to the Guide to the Expression of Uncertainty in Measurement (GUM): several entries are scenario ranges and the correlations between terms are not quantified. To first order, the relative error of BPM is the sum of the relative errors of the rigidity, the gain, the speed and the offset term of Eq. (10), plus four times the relative error of the span length for deflection (two times for strain). SLM removes the structural terms, because they belong to</w:t>
      </w:r>
      <w:r>
        <w:t xml:space="preserve"> </w:t>
      </w:r>
      <m:oMath>
        <m:r>
          <m:t>C</m:t>
        </m:r>
      </m:oMath>
      <w:r>
        <w:t xml:space="preserve">. Every other term survives as the difference between the target and the reference crossings.</w:t>
      </w:r>
    </w:p>
    <w:p>
      <w:pPr>
        <w:pStyle w:val="BodyText"/>
      </w:pPr>
      <w:r>
        <w:t xml:space="preserve">Speed enters twice. It affects the response itself, and it enters again through its measurement, because the space integral is the time integral times the speed measured at the gauges; a speed error therefore passes one-to-one into the weight. Speed variation over a 605 m crossing was not measured. On lane A, speeds from a low-pass fit of the records were 1.139 times those from the axle spikes (SD 0.124, 22 runs), so the choice of speed estimator alone can shift the weight by more than 10 %.</w:t>
      </w:r>
    </w:p>
    <w:p>
      <w:pPr>
        <w:pStyle w:val="BodyText"/>
      </w:pPr>
      <w:r>
        <w:t xml:space="preserve">Table S17 evaluates Eq. (10) for the Mây Bridge gauges over the admissible set, with</w:t>
      </w:r>
      <w:r>
        <w:t xml:space="preserve"> </w:t>
      </w:r>
      <m:oMath>
        <m:sSub>
          <m:e>
            <m:r>
              <m:t>L</m:t>
            </m:r>
          </m:e>
          <m:sub>
            <m:r>
              <m:rPr>
                <m:sty m:val="p"/>
                <m:nor/>
              </m:rPr>
              <m:t>tot</m:t>
            </m:r>
          </m:sub>
        </m:sSub>
        <m:r>
          <m:rPr>
            <m:sty m:val="p"/>
          </m:rPr>
          <m:t>=</m:t>
        </m:r>
        <m:r>
          <m:t>200</m:t>
        </m:r>
      </m:oMath>
      <w:r>
        <w:t xml:space="preserve"> </w:t>
      </w:r>
      <w:r>
        <w:t xml:space="preserve">m and a truck of the mean weighed gross weight, 25.06 t. The smaller offsets in Table S17 are typical of displacement transducers. Absolute deflection on a 90 m span over water would usually come from a non-contact technique, whose residual offset after re-zeroing has to be established on site, since environmental effects act over the same window (Sohn, 2007; Cross et al., 2013). At</w:t>
      </w:r>
      <w:r>
        <w:t xml:space="preserve"> </w:t>
      </w:r>
      <m:oMath>
        <m:sSub>
          <m:e>
            <m:r>
              <m:t>δ</m:t>
            </m:r>
          </m:e>
          <m:sub>
            <m:r>
              <m:t>0</m:t>
            </m:r>
          </m:sub>
        </m:sSub>
        <m:r>
          <m:rPr>
            <m:sty m:val="p"/>
          </m:rPr>
          <m:t>=</m:t>
        </m:r>
        <m:r>
          <m:t>0.1</m:t>
        </m:r>
      </m:oMath>
      <w:r>
        <w:t xml:space="preserve"> </w:t>
      </w:r>
      <w:r>
        <w:t xml:space="preserve">mm a single main-span gauge biases a 25 t truck by 16–25 %, and a single side-span gauge by 41–271 %. The zero-sum pair addresses this term only to the extent that the offset is common-mode during crossings.</w:t>
      </w:r>
    </w:p>
    <w:p>
      <w:pPr>
        <w:pStyle w:val="BodyText"/>
      </w:pPr>
      <w:r>
        <w:t xml:space="preserve">Transverse position and multiple presence add further terms; Table S18 collects all terms. On the five-span girder the far-lane constant was 0.79 of the near-lane value. At the Mây Bridge the readings across one section differ by up to 2.05 mm in the eccentric N7 case, about 13 % of the mean reading. Several vehicles on the structure return their combined weight; on the five-span girder the two-truck events gave 0.92 of the prediction. A crossing of the 200 m Mây Bridge unit, plus the wheelbase, takes 12.4 s at 60 km/h, and every crossing that overlaps another vehicle in that window must be discarded or treated as a group. The fraction of usable isolated crossings was not quantified. In the laboratory, the reference record and the load-dependent growth of the integral ratio cause the SLM deviations of 0.6–0.7 %. In the field, the noise, the lane and the gauge position dominate, and the weight errors of single crossings, 5–12 % on these records, exceed the spread of the reference weights.</w:t>
      </w:r>
    </w:p>
    <w:p>
      <w:pPr>
        <w:pStyle w:val="BodyText"/>
        <w:keepNext/>
        <w:keepLines/>
      </w:pPr>
      <w:r>
        <w:rPr>
          <w:bCs/>
          <w:b/>
        </w:rPr>
        <w:t xml:space="preserve">Table S17.</w:t>
      </w:r>
      <w:r>
        <w:t xml:space="preserve"> </w:t>
      </w:r>
      <w:r>
        <w:t xml:space="preserve">Bias of a single-channel estimate caused by a residual offset</w:t>
      </w:r>
      <w:r>
        <w:t xml:space="preserve"> </w:t>
      </w:r>
      <m:oMath>
        <m:sSub>
          <m:e>
            <m:r>
              <m:t>δ</m:t>
            </m:r>
          </m:e>
          <m:sub>
            <m:r>
              <m:t>0</m:t>
            </m:r>
          </m:sub>
        </m:sSub>
      </m:oMath>
      <w:r>
        <w:t xml:space="preserve">, Eq. (10), for a 25.06 t truck;</w:t>
      </w:r>
      <w:r>
        <w:t xml:space="preserve"> </w:t>
      </w:r>
      <m:oMath>
        <m:sSub>
          <m:e>
            <m:r>
              <m:t>L</m:t>
            </m:r>
          </m:e>
          <m:sub>
            <m:r>
              <m:rPr>
                <m:sty m:val="p"/>
                <m:nor/>
              </m:rPr>
              <m:t>tot</m:t>
            </m:r>
          </m:sub>
        </m:sSub>
      </m:oMath>
      <w:r>
        <w:t xml:space="preserve"> </w:t>
      </w:r>
      <w:r>
        <w:t xml:space="preserve">= 200 m. Ranges over the admissible set (</w:t>
      </w:r>
      <m:oMath>
        <m:r>
          <m:t>τ</m:t>
        </m:r>
      </m:oMath>
      <w:r>
        <w:t xml:space="preserve"> </w:t>
      </w:r>
      <w:r>
        <w:t xml:space="preserve">= 5.3 %).</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1461"/>
        <w:gridCol w:w="1805"/>
        <w:gridCol w:w="1217"/>
        <w:gridCol w:w="1074"/>
        <w:gridCol w:w="1074"/>
        <w:gridCol w:w="1074"/>
        <w:gridCol w:w="1361"/>
      </w:tblGrid>
      <w:tr>
        <w:trPr>
          <w:tblHeader w:val="true"/>
          <w:tblHeader w:val="true"/>
          <w:cantSplit/>
        </w:trPr>
        <w:tc>
          <w:tcPr>
            <w:tcW w:type="dxa" w:w="1461"/>
            <w:tcBorders>
              <w:top w:val="nil"/>
              <w:left w:val="nil"/>
              <w:bottom w:val="single" w:sz="6" w:space="0" w:color="000000"/>
              <w:right w:val="nil"/>
            </w:tcBorders>
          </w:tcPr>
          <w:p>
            <w:pPr>
              <w:keepNext/>
              <w:pStyle w:val="Compact"/>
              <w:jc w:val="left"/>
            </w:pPr>
            <w:r>
              <w:t xml:space="preserve">Gauge</w:t>
            </w:r>
          </w:p>
        </w:tc>
        <w:tc>
          <w:tcPr>
            <w:tcW w:type="dxa" w:w="1805"/>
            <w:tcBorders>
              <w:top w:val="nil"/>
              <w:left w:val="nil"/>
              <w:bottom w:val="single" w:sz="6" w:space="0" w:color="000000"/>
              <w:right w:val="nil"/>
            </w:tcBorders>
          </w:tcPr>
          <w:p>
            <w:pPr>
              <w:keepNext/>
              <w:pStyle w:val="Compact"/>
              <w:jc w:val="right"/>
            </w:pPr>
            <m:oMath>
              <m:r>
                <m:t>C</m:t>
              </m:r>
            </m:oMath>
            <w:r>
              <w:t xml:space="preserve"> </w:t>
            </w:r>
            <w:r>
              <w:t xml:space="preserve">(m²/kN)</w:t>
            </w:r>
          </w:p>
        </w:tc>
        <w:tc>
          <w:tcPr>
            <w:tcW w:type="dxa" w:w="1217"/>
            <w:tcBorders>
              <w:top w:val="nil"/>
              <w:left w:val="nil"/>
              <w:bottom w:val="single" w:sz="6" w:space="0" w:color="000000"/>
              <w:right w:val="nil"/>
            </w:tcBorders>
          </w:tcPr>
          <w:p>
            <w:pPr>
              <w:keepNext/>
              <w:pStyle w:val="Compact"/>
              <w:jc w:val="right"/>
            </w:pPr>
            <w:r>
              <w:t xml:space="preserve">0.02 mm</w:t>
            </w:r>
          </w:p>
        </w:tc>
        <w:tc>
          <w:tcPr>
            <w:tcW w:type="dxa" w:w="1074"/>
            <w:tcBorders>
              <w:top w:val="nil"/>
              <w:left w:val="nil"/>
              <w:bottom w:val="single" w:sz="6" w:space="0" w:color="000000"/>
              <w:right w:val="nil"/>
            </w:tcBorders>
          </w:tcPr>
          <w:p>
            <w:pPr>
              <w:keepNext/>
              <w:pStyle w:val="Compact"/>
              <w:jc w:val="right"/>
            </w:pPr>
            <w:r>
              <w:t xml:space="preserve">0.05 mm</w:t>
            </w:r>
          </w:p>
        </w:tc>
        <w:tc>
          <w:tcPr>
            <w:tcW w:type="dxa" w:w="1074"/>
            <w:tcBorders>
              <w:top w:val="nil"/>
              <w:left w:val="nil"/>
              <w:bottom w:val="single" w:sz="6" w:space="0" w:color="000000"/>
              <w:right w:val="nil"/>
            </w:tcBorders>
          </w:tcPr>
          <w:p>
            <w:pPr>
              <w:keepNext/>
              <w:pStyle w:val="Compact"/>
              <w:jc w:val="right"/>
            </w:pPr>
            <w:r>
              <w:t xml:space="preserve">0.1 mm</w:t>
            </w:r>
          </w:p>
        </w:tc>
        <w:tc>
          <w:tcPr>
            <w:tcW w:type="dxa" w:w="1074"/>
            <w:tcBorders>
              <w:top w:val="nil"/>
              <w:left w:val="nil"/>
              <w:bottom w:val="single" w:sz="6" w:space="0" w:color="000000"/>
              <w:right w:val="nil"/>
            </w:tcBorders>
          </w:tcPr>
          <w:p>
            <w:pPr>
              <w:keepNext/>
              <w:pStyle w:val="Compact"/>
              <w:jc w:val="right"/>
            </w:pPr>
            <w:r>
              <w:t xml:space="preserve">0.2 mm</w:t>
            </w:r>
          </w:p>
        </w:tc>
        <w:tc>
          <w:tcPr>
            <w:tcW w:type="dxa" w:w="1361"/>
            <w:tcBorders>
              <w:top w:val="nil"/>
              <w:left w:val="nil"/>
              <w:bottom w:val="single" w:sz="6" w:space="0" w:color="000000"/>
              <w:right w:val="nil"/>
            </w:tcBorders>
          </w:tcPr>
          <w:p>
            <w:pPr>
              <w:keepNext/>
              <w:pStyle w:val="Compact"/>
              <w:jc w:val="right"/>
            </w:pPr>
            <w:r>
              <w:t xml:space="preserve">0.5 mm</w:t>
            </w:r>
          </w:p>
        </w:tc>
      </w:tr>
      <w:tr>
        <w:trPr>
          <w:cantSplit/>
        </w:trPr>
        <w:tc>
          <w:tcPr>
            <w:tcW w:type="dxa" w:w="1461"/>
          </w:tcPr>
          <w:p>
            <w:pPr>
              <w:keepNext/>
              <w:pStyle w:val="Compact"/>
              <w:jc w:val="left"/>
            </w:pPr>
            <w:r>
              <w:t xml:space="preserve">N7, mid main span</w:t>
            </w:r>
          </w:p>
        </w:tc>
        <w:tc>
          <w:tcPr>
            <w:tcW w:type="dxa" w:w="1805"/>
          </w:tcPr>
          <w:p>
            <w:pPr>
              <w:keepNext/>
              <w:pStyle w:val="Compact"/>
              <w:jc w:val="right"/>
            </w:pPr>
            <w:r>
              <w:t xml:space="preserve">3.3–4.9 × 10⁻⁴</w:t>
            </w:r>
          </w:p>
        </w:tc>
        <w:tc>
          <w:tcPr>
            <w:tcW w:type="dxa" w:w="1217"/>
          </w:tcPr>
          <w:p>
            <w:pPr>
              <w:keepNext/>
              <w:pStyle w:val="Compact"/>
              <w:jc w:val="right"/>
            </w:pPr>
            <w:r>
              <w:t xml:space="preserve">3.3–5.0 %</w:t>
            </w:r>
          </w:p>
        </w:tc>
        <w:tc>
          <w:tcPr>
            <w:tcW w:type="dxa" w:w="1074"/>
          </w:tcPr>
          <w:p>
            <w:pPr>
              <w:keepNext/>
              <w:pStyle w:val="Compact"/>
              <w:jc w:val="right"/>
            </w:pPr>
            <w:r>
              <w:t xml:space="preserve">8–12 %</w:t>
            </w:r>
          </w:p>
        </w:tc>
        <w:tc>
          <w:tcPr>
            <w:tcW w:type="dxa" w:w="1074"/>
          </w:tcPr>
          <w:p>
            <w:pPr>
              <w:keepNext/>
              <w:pStyle w:val="Compact"/>
              <w:jc w:val="right"/>
            </w:pPr>
            <w:r>
              <w:t xml:space="preserve">16–25 %</w:t>
            </w:r>
          </w:p>
        </w:tc>
        <w:tc>
          <w:tcPr>
            <w:tcW w:type="dxa" w:w="1074"/>
          </w:tcPr>
          <w:p>
            <w:pPr>
              <w:keepNext/>
              <w:pStyle w:val="Compact"/>
              <w:jc w:val="right"/>
            </w:pPr>
            <w:r>
              <w:t xml:space="preserve">33–50 %</w:t>
            </w:r>
          </w:p>
        </w:tc>
        <w:tc>
          <w:tcPr>
            <w:tcW w:type="dxa" w:w="1361"/>
          </w:tcPr>
          <w:p>
            <w:pPr>
              <w:keepNext/>
              <w:pStyle w:val="Compact"/>
              <w:jc w:val="right"/>
            </w:pPr>
            <w:r>
              <w:t xml:space="preserve">82–124 %</w:t>
            </w:r>
          </w:p>
        </w:tc>
      </w:tr>
      <w:tr>
        <w:trPr>
          <w:cantSplit/>
        </w:trPr>
        <w:tc>
          <w:tcPr>
            <w:tcW w:type="dxa" w:w="1461"/>
          </w:tcPr>
          <w:p>
            <w:pPr>
              <w:pStyle w:val="Compact"/>
              <w:jc w:val="left"/>
            </w:pPr>
            <w:r>
              <w:t xml:space="preserve">N8, 0.4</w:t>
            </w:r>
            <m:oMath>
              <m:r>
                <m:t>L</m:t>
              </m:r>
            </m:oMath>
          </w:p>
        </w:tc>
        <w:tc>
          <w:tcPr>
            <w:tcW w:type="dxa" w:w="1805"/>
          </w:tcPr>
          <w:p>
            <w:pPr>
              <w:pStyle w:val="Compact"/>
              <w:jc w:val="right"/>
            </w:pPr>
            <w:r>
              <w:t xml:space="preserve">3.0 × 10⁻⁵–2.0 × 10⁻⁴</w:t>
            </w:r>
          </w:p>
        </w:tc>
        <w:tc>
          <w:tcPr>
            <w:tcW w:type="dxa" w:w="1217"/>
          </w:tcPr>
          <w:p>
            <w:pPr>
              <w:pStyle w:val="Compact"/>
              <w:jc w:val="right"/>
            </w:pPr>
            <w:r>
              <w:t xml:space="preserve">8–54 %</w:t>
            </w:r>
          </w:p>
        </w:tc>
        <w:tc>
          <w:tcPr>
            <w:tcW w:type="dxa" w:w="1074"/>
          </w:tcPr>
          <w:p>
            <w:pPr>
              <w:pStyle w:val="Compact"/>
              <w:jc w:val="right"/>
            </w:pPr>
            <w:r>
              <w:t xml:space="preserve">21–136 %</w:t>
            </w:r>
          </w:p>
        </w:tc>
        <w:tc>
          <w:tcPr>
            <w:tcW w:type="dxa" w:w="1074"/>
          </w:tcPr>
          <w:p>
            <w:pPr>
              <w:pStyle w:val="Compact"/>
              <w:jc w:val="right"/>
            </w:pPr>
            <w:r>
              <w:t xml:space="preserve">41–271 %</w:t>
            </w:r>
          </w:p>
        </w:tc>
        <w:tc>
          <w:tcPr>
            <w:tcW w:type="dxa" w:w="1074"/>
          </w:tcPr>
          <w:p>
            <w:pPr>
              <w:pStyle w:val="Compact"/>
              <w:jc w:val="right"/>
            </w:pPr>
            <w:r>
              <w:t xml:space="preserve">82–542 %</w:t>
            </w:r>
          </w:p>
        </w:tc>
        <w:tc>
          <w:tcPr>
            <w:tcW w:type="dxa" w:w="1361"/>
          </w:tcPr>
          <w:p>
            <w:pPr>
              <w:pStyle w:val="Compact"/>
              <w:jc w:val="right"/>
            </w:pPr>
            <w:r>
              <w:t xml:space="preserve">206–1356 %</w:t>
            </w:r>
          </w:p>
        </w:tc>
      </w:tr>
    </w:tbl>
    <w:p>
      <w:pPr>
        <w:pStyle w:val="BodyText"/>
        <w:keepNext/>
        <w:keepLines/>
      </w:pPr>
      <w:r>
        <w:rPr>
          <w:bCs/>
          <w:b/>
        </w:rPr>
        <w:t xml:space="preserve">Table S18.</w:t>
      </w:r>
      <w:r>
        <w:t xml:space="preserve"> </w:t>
      </w:r>
      <w:r>
        <w:t xml:space="preserve">Indicative sensitivity budget of influence-area weighing. Values are those measured or assumed in this study; they are not combined.</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2042"/>
        <w:gridCol w:w="2124"/>
        <w:gridCol w:w="2451"/>
        <w:gridCol w:w="2451"/>
      </w:tblGrid>
      <w:tr>
        <w:trPr>
          <w:tblHeader w:val="true"/>
          <w:tblHeader w:val="true"/>
          <w:cantSplit/>
        </w:trPr>
        <w:tc>
          <w:tcPr>
            <w:tcW w:type="dxa" w:w="2042"/>
            <w:tcBorders>
              <w:top w:val="nil"/>
              <w:left w:val="nil"/>
              <w:bottom w:val="single" w:sz="6" w:space="0" w:color="000000"/>
              <w:right w:val="nil"/>
            </w:tcBorders>
          </w:tcPr>
          <w:p>
            <w:pPr>
              <w:keepNext/>
              <w:pStyle w:val="Compact"/>
              <w:jc w:val="left"/>
            </w:pPr>
            <w:r>
              <w:t xml:space="preserve">Term</w:t>
            </w:r>
          </w:p>
        </w:tc>
        <w:tc>
          <w:tcPr>
            <w:tcW w:type="dxa" w:w="2124"/>
            <w:tcBorders>
              <w:top w:val="nil"/>
              <w:left w:val="nil"/>
              <w:bottom w:val="single" w:sz="6" w:space="0" w:color="000000"/>
              <w:right w:val="nil"/>
            </w:tcBorders>
          </w:tcPr>
          <w:p>
            <w:pPr>
              <w:keepNext/>
              <w:pStyle w:val="Compact"/>
              <w:jc w:val="left"/>
            </w:pPr>
            <w:r>
              <w:t xml:space="preserve">Sensitivity</w:t>
            </w:r>
          </w:p>
        </w:tc>
        <w:tc>
          <w:tcPr>
            <w:tcW w:type="dxa" w:w="2451"/>
            <w:tcBorders>
              <w:top w:val="nil"/>
              <w:left w:val="nil"/>
              <w:bottom w:val="single" w:sz="6" w:space="0" w:color="000000"/>
              <w:right w:val="nil"/>
            </w:tcBorders>
          </w:tcPr>
          <w:p>
            <w:pPr>
              <w:keepNext/>
              <w:pStyle w:val="Compact"/>
              <w:jc w:val="left"/>
            </w:pPr>
            <w:r>
              <w:t xml:space="preserve">Cancels in SLM?</w:t>
            </w:r>
          </w:p>
        </w:tc>
        <w:tc>
          <w:tcPr>
            <w:tcW w:type="dxa" w:w="2451"/>
            <w:tcBorders>
              <w:top w:val="nil"/>
              <w:left w:val="nil"/>
              <w:bottom w:val="single" w:sz="6" w:space="0" w:color="000000"/>
              <w:right w:val="nil"/>
            </w:tcBorders>
          </w:tcPr>
          <w:p>
            <w:pPr>
              <w:keepNext/>
              <w:pStyle w:val="Compact"/>
              <w:jc w:val="left"/>
            </w:pPr>
            <w:r>
              <w:t xml:space="preserve">Value in this study</w:t>
            </w:r>
          </w:p>
        </w:tc>
      </w:tr>
      <w:tr>
        <w:trPr>
          <w:cantSplit/>
        </w:trPr>
        <w:tc>
          <w:tcPr>
            <w:tcW w:type="dxa" w:w="2042"/>
          </w:tcPr>
          <w:p>
            <w:pPr>
              <w:keepNext/>
              <w:pStyle w:val="Compact"/>
              <w:jc w:val="left"/>
            </w:pPr>
            <w:r>
              <w:t xml:space="preserve">Flexural rigidity</w:t>
            </w:r>
            <w:r>
              <w:t xml:space="preserve"> </w:t>
            </w:r>
            <m:oMath>
              <m:r>
                <m:t>E</m:t>
              </m:r>
              <m:r>
                <m:t>I</m:t>
              </m:r>
            </m:oMath>
          </w:p>
        </w:tc>
        <w:tc>
          <w:tcPr>
            <w:tcW w:type="dxa" w:w="2124"/>
          </w:tcPr>
          <w:p>
            <w:pPr>
              <w:keepNext/>
              <w:pStyle w:val="Compact"/>
              <w:jc w:val="left"/>
            </w:pPr>
            <w:r>
              <w:t xml:space="preserve">1</w:t>
            </w:r>
          </w:p>
        </w:tc>
        <w:tc>
          <w:tcPr>
            <w:tcW w:type="dxa" w:w="2451"/>
          </w:tcPr>
          <w:p>
            <w:pPr>
              <w:keepNext/>
              <w:pStyle w:val="Compact"/>
              <w:jc w:val="left"/>
            </w:pPr>
            <w:r>
              <w:t xml:space="preserve">yes</w:t>
            </w:r>
          </w:p>
        </w:tc>
        <w:tc>
          <w:tcPr>
            <w:tcW w:type="dxa" w:w="2451"/>
          </w:tcPr>
          <w:p>
            <w:pPr>
              <w:keepNext/>
              <w:pStyle w:val="Compact"/>
              <w:jc w:val="left"/>
            </w:pPr>
            <w:r>
              <w:t xml:space="preserve">BPM only; Mây Bridge N8 constant varies 6.6-fold over the admissible set</w:t>
            </w:r>
          </w:p>
        </w:tc>
      </w:tr>
      <w:tr>
        <w:trPr>
          <w:cantSplit/>
        </w:trPr>
        <w:tc>
          <w:tcPr>
            <w:tcW w:type="dxa" w:w="2042"/>
          </w:tcPr>
          <w:p>
            <w:pPr>
              <w:keepNext/>
              <w:pStyle w:val="Compact"/>
              <w:jc w:val="left"/>
            </w:pPr>
            <w:r>
              <w:t xml:space="preserve">Span length</w:t>
            </w:r>
          </w:p>
        </w:tc>
        <w:tc>
          <w:tcPr>
            <w:tcW w:type="dxa" w:w="2124"/>
          </w:tcPr>
          <w:p>
            <w:pPr>
              <w:keepNext/>
              <w:pStyle w:val="Compact"/>
              <w:jc w:val="left"/>
            </w:pPr>
            <w:r>
              <w:t xml:space="preserve">4 (deflection), 2 (strain)</w:t>
            </w:r>
          </w:p>
        </w:tc>
        <w:tc>
          <w:tcPr>
            <w:tcW w:type="dxa" w:w="2451"/>
          </w:tcPr>
          <w:p>
            <w:pPr>
              <w:keepNext/>
              <w:pStyle w:val="Compact"/>
              <w:jc w:val="left"/>
            </w:pPr>
            <w:r>
              <w:t xml:space="preserve">yes</w:t>
            </w:r>
          </w:p>
        </w:tc>
        <w:tc>
          <w:tcPr>
            <w:tcW w:type="dxa" w:w="2451"/>
          </w:tcPr>
          <w:p>
            <w:pPr>
              <w:keepNext/>
              <w:pStyle w:val="Compact"/>
              <w:jc w:val="left"/>
            </w:pPr>
            <w:r>
              <w:t xml:space="preserve">BPM only</w:t>
            </w:r>
          </w:p>
        </w:tc>
      </w:tr>
      <w:tr>
        <w:trPr>
          <w:cantSplit/>
        </w:trPr>
        <w:tc>
          <w:tcPr>
            <w:tcW w:type="dxa" w:w="2042"/>
          </w:tcPr>
          <w:p>
            <w:pPr>
              <w:keepNext/>
              <w:pStyle w:val="Compact"/>
              <w:jc w:val="left"/>
            </w:pPr>
            <w:r>
              <w:t xml:space="preserve">Gain</w:t>
            </w:r>
          </w:p>
        </w:tc>
        <w:tc>
          <w:tcPr>
            <w:tcW w:type="dxa" w:w="2124"/>
          </w:tcPr>
          <w:p>
            <w:pPr>
              <w:keepNext/>
              <w:pStyle w:val="Compact"/>
              <w:jc w:val="left"/>
            </w:pPr>
            <w:r>
              <w:t xml:space="preserve">1</w:t>
            </w:r>
          </w:p>
        </w:tc>
        <w:tc>
          <w:tcPr>
            <w:tcW w:type="dxa" w:w="2451"/>
          </w:tcPr>
          <w:p>
            <w:pPr>
              <w:keepNext/>
              <w:pStyle w:val="Compact"/>
              <w:jc w:val="left"/>
            </w:pPr>
            <w:r>
              <w:t xml:space="preserve">if not recalibrated between crossings</w:t>
            </w:r>
          </w:p>
        </w:tc>
        <w:tc>
          <w:tcPr>
            <w:tcW w:type="dxa" w:w="2451"/>
          </w:tcPr>
          <w:p>
            <w:pPr>
              <w:keepNext/>
              <w:pStyle w:val="Compact"/>
              <w:jc w:val="left"/>
            </w:pPr>
            <w:r>
              <w:t xml:space="preserve">not evaluated</w:t>
            </w:r>
          </w:p>
        </w:tc>
      </w:tr>
      <w:tr>
        <w:trPr>
          <w:cantSplit/>
        </w:trPr>
        <w:tc>
          <w:tcPr>
            <w:tcW w:type="dxa" w:w="2042"/>
          </w:tcPr>
          <w:p>
            <w:pPr>
              <w:keepNext/>
              <w:pStyle w:val="Compact"/>
              <w:jc w:val="left"/>
            </w:pPr>
            <w:r>
              <w:t xml:space="preserve">Reference weighing</w:t>
            </w:r>
            <w:r>
              <w:t xml:space="preserve"> </w:t>
            </w:r>
            <m:oMath>
              <m:sSub>
                <m:e>
                  <m:r>
                    <m:t>P</m:t>
                  </m:r>
                </m:e>
                <m:sub>
                  <m:r>
                    <m:t>0</m:t>
                  </m:r>
                </m:sub>
              </m:sSub>
            </m:oMath>
          </w:p>
        </w:tc>
        <w:tc>
          <w:tcPr>
            <w:tcW w:type="dxa" w:w="2124"/>
          </w:tcPr>
          <w:p>
            <w:pPr>
              <w:keepNext/>
              <w:pStyle w:val="Compact"/>
              <w:jc w:val="left"/>
            </w:pPr>
            <w:r>
              <w:t xml:space="preserve">1</w:t>
            </w:r>
          </w:p>
        </w:tc>
        <w:tc>
          <w:tcPr>
            <w:tcW w:type="dxa" w:w="2451"/>
          </w:tcPr>
          <w:p>
            <w:pPr>
              <w:keepNext/>
              <w:pStyle w:val="Compact"/>
              <w:jc w:val="left"/>
            </w:pPr>
            <w:r>
              <w:t xml:space="preserve">no</w:t>
            </w:r>
          </w:p>
        </w:tc>
        <w:tc>
          <w:tcPr>
            <w:tcW w:type="dxa" w:w="2451"/>
          </w:tcPr>
          <w:p>
            <w:pPr>
              <w:keepNext/>
              <w:pStyle w:val="Compact"/>
              <w:jc w:val="left"/>
            </w:pPr>
            <w:r>
              <w:t xml:space="preserve">laboratory: International Organization of Legal Metrology (OIML) class M1 weights; field: day-1 weights driver-reported</w:t>
            </w:r>
          </w:p>
        </w:tc>
      </w:tr>
      <w:tr>
        <w:trPr>
          <w:cantSplit/>
        </w:trPr>
        <w:tc>
          <w:tcPr>
            <w:tcW w:type="dxa" w:w="2042"/>
          </w:tcPr>
          <w:p>
            <w:pPr>
              <w:keepNext/>
              <w:pStyle w:val="Compact"/>
              <w:jc w:val="left"/>
            </w:pPr>
            <w:r>
              <w:t xml:space="preserve">Residual offset, drift</w:t>
            </w:r>
            <w:r>
              <w:t xml:space="preserve"> </w:t>
            </w:r>
            <m:oMath>
              <m:sSub>
                <m:e>
                  <m:r>
                    <m:t>δ</m:t>
                  </m:r>
                </m:e>
                <m:sub>
                  <m:r>
                    <m:t>0</m:t>
                  </m:r>
                </m:sub>
              </m:sSub>
            </m:oMath>
          </w:p>
        </w:tc>
        <w:tc>
          <w:tcPr>
            <w:tcW w:type="dxa" w:w="2124"/>
          </w:tcPr>
          <w:p>
            <w:pPr>
              <w:keepNext/>
              <w:pStyle w:val="Compact"/>
              <w:jc w:val="left"/>
            </w:pPr>
            <m:oMath>
              <m:sSub>
                <m:e>
                  <m:r>
                    <m:t>L</m:t>
                  </m:r>
                </m:e>
                <m:sub>
                  <m:r>
                    <m:rPr>
                      <m:sty m:val="p"/>
                      <m:nor/>
                    </m:rPr>
                    <m:t>tot</m:t>
                  </m:r>
                </m:sub>
              </m:sSub>
              <m:r>
                <m:rPr>
                  <m:sty m:val="p"/>
                </m:rPr>
                <m:t>/</m:t>
              </m:r>
              <m:r>
                <m:t>J</m:t>
              </m:r>
            </m:oMath>
            <w:r>
              <w:t xml:space="preserve"> </w:t>
            </w:r>
            <w:r>
              <w:t xml:space="preserve">per unit offset</w:t>
            </w:r>
          </w:p>
        </w:tc>
        <w:tc>
          <w:tcPr>
            <w:tcW w:type="dxa" w:w="2451"/>
          </w:tcPr>
          <w:p>
            <w:pPr>
              <w:keepNext/>
              <w:pStyle w:val="Compact"/>
              <w:jc w:val="left"/>
            </w:pPr>
            <w:r>
              <w:t xml:space="preserve">only if common-mode during crossings</w:t>
            </w:r>
          </w:p>
        </w:tc>
        <w:tc>
          <w:tcPr>
            <w:tcW w:type="dxa" w:w="2451"/>
          </w:tcPr>
          <w:p>
            <w:pPr>
              <w:keepNext/>
              <w:pStyle w:val="Compact"/>
              <w:jc w:val="left"/>
            </w:pPr>
            <w:r>
              <w:t xml:space="preserve">Table S17; field per-crossing SD of the gauge average predicted 19.8 % (day 2), 5.3 % (day 1)</w:t>
            </w:r>
          </w:p>
        </w:tc>
      </w:tr>
      <w:tr>
        <w:trPr>
          <w:cantSplit/>
        </w:trPr>
        <w:tc>
          <w:tcPr>
            <w:tcW w:type="dxa" w:w="2042"/>
          </w:tcPr>
          <w:p>
            <w:pPr>
              <w:keepNext/>
              <w:pStyle w:val="Compact"/>
              <w:jc w:val="left"/>
            </w:pPr>
            <w:r>
              <w:t xml:space="preserve">Speed effect</w:t>
            </w:r>
          </w:p>
        </w:tc>
        <w:tc>
          <w:tcPr>
            <w:tcW w:type="dxa" w:w="2124"/>
          </w:tcPr>
          <w:p>
            <w:pPr>
              <w:keepNext/>
              <w:pStyle w:val="Compact"/>
              <w:jc w:val="left"/>
            </w:pPr>
            <w:r>
              <w:t xml:space="preserve">1</w:t>
            </w:r>
          </w:p>
        </w:tc>
        <w:tc>
          <w:tcPr>
            <w:tcW w:type="dxa" w:w="2451"/>
          </w:tcPr>
          <w:p>
            <w:pPr>
              <w:keepNext/>
              <w:pStyle w:val="Compact"/>
              <w:jc w:val="left"/>
            </w:pPr>
            <w:r>
              <w:t xml:space="preserve">no</w:t>
            </w:r>
          </w:p>
        </w:tc>
        <w:tc>
          <w:tcPr>
            <w:tcW w:type="dxa" w:w="2451"/>
          </w:tcPr>
          <w:p>
            <w:pPr>
              <w:keepNext/>
              <w:pStyle w:val="Compact"/>
              <w:jc w:val="left"/>
            </w:pPr>
            <w:r>
              <w:t xml:space="preserve">day 2: +6 % per 10 m/s (95 % CI −23 to +35 %), not resolved</w:t>
            </w:r>
          </w:p>
        </w:tc>
      </w:tr>
      <w:tr>
        <w:trPr>
          <w:cantSplit/>
        </w:trPr>
        <w:tc>
          <w:tcPr>
            <w:tcW w:type="dxa" w:w="2042"/>
          </w:tcPr>
          <w:p>
            <w:pPr>
              <w:keepNext/>
              <w:pStyle w:val="Compact"/>
              <w:jc w:val="left"/>
            </w:pPr>
            <w:r>
              <w:t xml:space="preserve">Speed measurement</w:t>
            </w:r>
          </w:p>
        </w:tc>
        <w:tc>
          <w:tcPr>
            <w:tcW w:type="dxa" w:w="2124"/>
          </w:tcPr>
          <w:p>
            <w:pPr>
              <w:keepNext/>
              <w:pStyle w:val="Compact"/>
              <w:jc w:val="left"/>
            </w:pPr>
            <w:r>
              <w:t xml:space="preserve">1</w:t>
            </w:r>
          </w:p>
        </w:tc>
        <w:tc>
          <w:tcPr>
            <w:tcW w:type="dxa" w:w="2451"/>
          </w:tcPr>
          <w:p>
            <w:pPr>
              <w:keepNext/>
              <w:pStyle w:val="Compact"/>
              <w:jc w:val="left"/>
            </w:pPr>
            <w:r>
              <w:t xml:space="preserve">no</w:t>
            </w:r>
          </w:p>
        </w:tc>
        <w:tc>
          <w:tcPr>
            <w:tcW w:type="dxa" w:w="2451"/>
          </w:tcPr>
          <w:p>
            <w:pPr>
              <w:keepNext/>
              <w:pStyle w:val="Compact"/>
              <w:jc w:val="left"/>
            </w:pPr>
            <w:r>
              <w:t xml:space="preserve">1.4 % on average (at most 4.6 %) against the dataset speeds; a second estimator differs by a factor of 1.139 (SD 0.124)</w:t>
            </w:r>
          </w:p>
        </w:tc>
      </w:tr>
      <w:tr>
        <w:trPr>
          <w:cantSplit/>
        </w:trPr>
        <w:tc>
          <w:tcPr>
            <w:tcW w:type="dxa" w:w="2042"/>
          </w:tcPr>
          <w:p>
            <w:pPr>
              <w:keepNext/>
              <w:pStyle w:val="Compact"/>
              <w:jc w:val="left"/>
            </w:pPr>
            <w:r>
              <w:t xml:space="preserve">Dynamics</w:t>
            </w:r>
          </w:p>
        </w:tc>
        <w:tc>
          <w:tcPr>
            <w:tcW w:type="dxa" w:w="2124"/>
          </w:tcPr>
          <w:p>
            <w:pPr>
              <w:keepNext/>
              <w:pStyle w:val="Compact"/>
              <w:jc w:val="left"/>
            </w:pPr>
            <w:r>
              <w:t xml:space="preserve">1</w:t>
            </w:r>
          </w:p>
        </w:tc>
        <w:tc>
          <w:tcPr>
            <w:tcW w:type="dxa" w:w="2451"/>
          </w:tcPr>
          <w:p>
            <w:pPr>
              <w:keepNext/>
              <w:pStyle w:val="Compact"/>
              <w:jc w:val="left"/>
            </w:pPr>
            <w:r>
              <w:t xml:space="preserve">partly</w:t>
            </w:r>
          </w:p>
        </w:tc>
        <w:tc>
          <w:tcPr>
            <w:tcW w:type="dxa" w:w="2451"/>
          </w:tcPr>
          <w:p>
            <w:pPr>
              <w:keepNext/>
              <w:pStyle w:val="Compact"/>
              <w:jc w:val="left"/>
            </w:pPr>
            <w:r>
              <w:t xml:space="preserve">≤ 1 % for</w:t>
            </w:r>
            <w:r>
              <w:t xml:space="preserve"> </w:t>
            </w:r>
            <m:oMath>
              <m:sSub>
                <m:e>
                  <m:r>
                    <m:t>t</m:t>
                  </m:r>
                </m:e>
                <m:sub>
                  <m:r>
                    <m:rPr>
                      <m:sty m:val="p"/>
                      <m:nor/>
                    </m:rPr>
                    <m:t>cr</m:t>
                  </m:r>
                </m:sub>
              </m:sSub>
              <m:r>
                <m:rPr>
                  <m:sty m:val="p"/>
                </m:rPr>
                <m:t>/</m:t>
              </m:r>
              <m:sSub>
                <m:e>
                  <m:r>
                    <m:t>T</m:t>
                  </m:r>
                </m:e>
                <m:sub>
                  <m:r>
                    <m:t>1</m:t>
                  </m:r>
                </m:sub>
              </m:sSub>
              <m:r>
                <m:rPr>
                  <m:sty m:val="p"/>
                </m:rPr>
                <m:t>≥</m:t>
              </m:r>
              <m:r>
                <m:t>8</m:t>
              </m:r>
            </m:oMath>
            <w:r>
              <w:t xml:space="preserve"> </w:t>
            </w:r>
            <w:r>
              <w:t xml:space="preserve">(constant force)</w:t>
            </w:r>
          </w:p>
        </w:tc>
      </w:tr>
      <w:tr>
        <w:trPr>
          <w:cantSplit/>
        </w:trPr>
        <w:tc>
          <w:tcPr>
            <w:tcW w:type="dxa" w:w="2042"/>
          </w:tcPr>
          <w:p>
            <w:pPr>
              <w:keepNext/>
              <w:pStyle w:val="Compact"/>
              <w:jc w:val="left"/>
            </w:pPr>
            <w:r>
              <w:t xml:space="preserve">Transverse position</w:t>
            </w:r>
          </w:p>
        </w:tc>
        <w:tc>
          <w:tcPr>
            <w:tcW w:type="dxa" w:w="2124"/>
          </w:tcPr>
          <w:p>
            <w:pPr>
              <w:keepNext/>
              <w:pStyle w:val="Compact"/>
              <w:jc w:val="left"/>
            </w:pPr>
            <w:r>
              <w:t xml:space="preserve">lane-dependent</w:t>
            </w:r>
            <w:r>
              <w:t xml:space="preserve"> </w:t>
            </w:r>
            <m:oMath>
              <m:r>
                <m:t>C</m:t>
              </m:r>
            </m:oMath>
          </w:p>
        </w:tc>
        <w:tc>
          <w:tcPr>
            <w:tcW w:type="dxa" w:w="2451"/>
          </w:tcPr>
          <w:p>
            <w:pPr>
              <w:keepNext/>
              <w:pStyle w:val="Compact"/>
              <w:jc w:val="left"/>
            </w:pPr>
            <w:r>
              <w:t xml:space="preserve">no, unless lane-specific</w:t>
            </w:r>
          </w:p>
        </w:tc>
        <w:tc>
          <w:tcPr>
            <w:tcW w:type="dxa" w:w="2451"/>
          </w:tcPr>
          <w:p>
            <w:pPr>
              <w:keepNext/>
              <w:pStyle w:val="Compact"/>
              <w:jc w:val="left"/>
            </w:pPr>
            <w:r>
              <w:t xml:space="preserve">field lane ratio 0.79; Mây Bridge range 2.05 mm across a section</w:t>
            </w:r>
          </w:p>
        </w:tc>
      </w:tr>
      <w:tr>
        <w:trPr>
          <w:cantSplit/>
        </w:trPr>
        <w:tc>
          <w:tcPr>
            <w:tcW w:type="dxa" w:w="2042"/>
          </w:tcPr>
          <w:p>
            <w:pPr>
              <w:keepNext/>
              <w:pStyle w:val="Compact"/>
              <w:jc w:val="left"/>
            </w:pPr>
            <w:r>
              <w:t xml:space="preserve">Multiple presence</w:t>
            </w:r>
          </w:p>
        </w:tc>
        <w:tc>
          <w:tcPr>
            <w:tcW w:type="dxa" w:w="2124"/>
          </w:tcPr>
          <w:p>
            <w:pPr>
              <w:keepNext/>
              <w:pStyle w:val="Compact"/>
              <w:jc w:val="left"/>
            </w:pPr>
            <w:r>
              <w:t xml:space="preserve">group weight</w:t>
            </w:r>
          </w:p>
        </w:tc>
        <w:tc>
          <w:tcPr>
            <w:tcW w:type="dxa" w:w="2451"/>
          </w:tcPr>
          <w:p>
            <w:pPr>
              <w:keepNext/>
              <w:pStyle w:val="Compact"/>
              <w:jc w:val="left"/>
            </w:pPr>
            <w:r>
              <w:t xml:space="preserve">–</w:t>
            </w:r>
          </w:p>
        </w:tc>
        <w:tc>
          <w:tcPr>
            <w:tcW w:type="dxa" w:w="2451"/>
          </w:tcPr>
          <w:p>
            <w:pPr>
              <w:keepNext/>
              <w:pStyle w:val="Compact"/>
              <w:jc w:val="left"/>
            </w:pPr>
            <w:r>
              <w:t xml:space="preserve">two-truck events 0.92 of prediction</w:t>
            </w:r>
          </w:p>
        </w:tc>
      </w:tr>
      <w:tr>
        <w:trPr>
          <w:cantSplit/>
        </w:trPr>
        <w:tc>
          <w:tcPr>
            <w:tcW w:type="dxa" w:w="2042"/>
          </w:tcPr>
          <w:p>
            <w:pPr>
              <w:pStyle w:val="Compact"/>
              <w:jc w:val="left"/>
            </w:pPr>
            <w:r>
              <w:t xml:space="preserve">Linearity, seating</w:t>
            </w:r>
          </w:p>
        </w:tc>
        <w:tc>
          <w:tcPr>
            <w:tcW w:type="dxa" w:w="2124"/>
          </w:tcPr>
          <w:p>
            <w:pPr>
              <w:pStyle w:val="Compact"/>
              <w:jc w:val="left"/>
            </w:pPr>
            <w:r>
              <w:t xml:space="preserve">1</w:t>
            </w:r>
          </w:p>
        </w:tc>
        <w:tc>
          <w:tcPr>
            <w:tcW w:type="dxa" w:w="2451"/>
          </w:tcPr>
          <w:p>
            <w:pPr>
              <w:pStyle w:val="Compact"/>
              <w:jc w:val="left"/>
            </w:pPr>
            <w:r>
              <w:t xml:space="preserve">no</w:t>
            </w:r>
          </w:p>
        </w:tc>
        <w:tc>
          <w:tcPr>
            <w:tcW w:type="dxa" w:w="2451"/>
          </w:tcPr>
          <w:p>
            <w:pPr>
              <w:pStyle w:val="Compact"/>
              <w:jc w:val="left"/>
            </w:pPr>
            <w:r>
              <w:t xml:space="preserve">laboratory integral ratio 1.010 → 1.017</w:t>
            </w:r>
          </w:p>
        </w:tc>
      </w:tr>
    </w:tbl>
    <w:p>
      <w:pPr>
        <w:pStyle w:val="BodyText"/>
      </w:pPr>
      <w:r>
        <w:t xml:space="preserve">Design checklist. The results combine into the following procedure for designing load-monitoring channels on a continuous girder before installation.</w:t>
      </w:r>
    </w:p>
    <w:p>
      <w:pPr>
        <w:numPr>
          <w:ilvl w:val="0"/>
          <w:numId w:val="1001"/>
        </w:numPr>
        <w:pStyle w:val="BodyText"/>
      </w:pPr>
      <w:r>
        <w:t xml:space="preserve">Constants. For each candidate channel and position, compute</w:t>
      </w:r>
      <w:r>
        <w:t xml:space="preserve"> </w:t>
      </w:r>
      <m:oMath>
        <m:r>
          <m:t>C</m:t>
        </m:r>
      </m:oMath>
      <w:r>
        <w:t xml:space="preserve"> </w:t>
      </w:r>
      <w:r>
        <w:t xml:space="preserve">from one static analysis under a uniform unit load on each lane, Eq. (2). Use Eqs. (4)–(7), (S1) and (S2) for prismatic two- and three-span beams.</w:t>
      </w:r>
    </w:p>
    <w:p>
      <w:pPr>
        <w:numPr>
          <w:ilvl w:val="0"/>
          <w:numId w:val="1001"/>
        </w:numPr>
        <w:pStyle w:val="BodyText"/>
      </w:pPr>
      <w:r>
        <w:t xml:space="preserve">Blindness. Locate the blind loci of Table 1. Keep strain gauges out of the near-blind band</w:t>
      </w:r>
      <w:r>
        <w:t xml:space="preserve"> </w:t>
      </w:r>
      <m:oMath>
        <m:d>
          <m:dPr>
            <m:begChr m:val="|"/>
            <m:endChr m:val="|"/>
            <m:grow/>
          </m:dPr>
          <m:e>
            <m:sSub>
              <m:e>
                <m:r>
                  <m:t>N</m:t>
                </m:r>
              </m:e>
              <m:sub>
                <m:r>
                  <m:t>M</m:t>
                </m:r>
              </m:sub>
            </m:sSub>
          </m:e>
        </m:d>
        <m:r>
          <m:rPr>
            <m:sty m:val="p"/>
          </m:rPr>
          <m:t>&lt;</m:t>
        </m:r>
        <m:r>
          <m:t>0.2</m:t>
        </m:r>
      </m:oMath>
      <w:r>
        <w:t xml:space="preserve"> </w:t>
      </w:r>
      <w:r>
        <w:t xml:space="preserve">around every zero-moment point, including gauges set back from a pier. Keep deflection gauges out of the near-blind bands</w:t>
      </w:r>
      <w:r>
        <w:t xml:space="preserve"> </w:t>
      </w:r>
      <m:oMath>
        <m:d>
          <m:dPr>
            <m:begChr m:val="|"/>
            <m:endChr m:val="|"/>
            <m:grow/>
          </m:dPr>
          <m:e>
            <m:sSub>
              <m:e>
                <m:r>
                  <m:t>N</m:t>
                </m:r>
              </m:e>
              <m:sub>
                <m:r>
                  <m:t>w</m:t>
                </m:r>
              </m:sub>
            </m:sSub>
          </m:e>
        </m:d>
        <m:r>
          <m:rPr>
            <m:sty m:val="p"/>
          </m:rPr>
          <m:t>&lt;</m:t>
        </m:r>
        <m:r>
          <m:t>0.2</m:t>
        </m:r>
      </m:oMath>
      <w:r>
        <w:t xml:space="preserve">, for example</w:t>
      </w:r>
      <w:r>
        <w:t xml:space="preserve"> </w:t>
      </w:r>
      <m:oMath>
        <m:r>
          <m:t>1.385</m:t>
        </m:r>
        <m:r>
          <m:rPr>
            <m:sty m:val="p"/>
          </m:rPr>
          <m:t>&lt;</m:t>
        </m:r>
        <m:r>
          <m:t>λ</m:t>
        </m:r>
        <m:r>
          <m:rPr>
            <m:sty m:val="p"/>
          </m:rPr>
          <m:t>&lt;</m:t>
        </m:r>
        <m:r>
          <m:t>1.525</m:t>
        </m:r>
      </m:oMath>
      <w:r>
        <w:t xml:space="preserve"> </w:t>
      </w:r>
      <w:r>
        <w:t xml:space="preserve">for a mid-span gauge on two spans and</w:t>
      </w:r>
      <w:r>
        <w:t xml:space="preserve"> </w:t>
      </w:r>
      <m:oMath>
        <m:r>
          <m:t>1.621</m:t>
        </m:r>
        <m:r>
          <m:rPr>
            <m:sty m:val="p"/>
          </m:rPr>
          <m:t>&lt;</m:t>
        </m:r>
        <m:r>
          <m:t>β</m:t>
        </m:r>
        <m:r>
          <m:rPr>
            <m:sty m:val="p"/>
          </m:rPr>
          <m:t>&lt;</m:t>
        </m:r>
        <m:r>
          <m:t>1.775</m:t>
        </m:r>
      </m:oMath>
      <w:r>
        <w:t xml:space="preserve"> </w:t>
      </w:r>
      <w:r>
        <w:t xml:space="preserve">for a mid side-span gauge on three spans.</w:t>
      </w:r>
    </w:p>
    <w:p>
      <w:pPr>
        <w:numPr>
          <w:ilvl w:val="0"/>
          <w:numId w:val="1001"/>
        </w:numPr>
        <w:pStyle w:val="BodyText"/>
      </w:pPr>
      <w:r>
        <w:t xml:space="preserve">Conditioning. Report</w:t>
      </w:r>
      <w:r>
        <w:t xml:space="preserve"> </w:t>
      </w:r>
      <m:oMath>
        <m:sSub>
          <m:e>
            <m:r>
              <m:t>N</m:t>
            </m:r>
          </m:e>
          <m:sub>
            <m:r>
              <m:t>M</m:t>
            </m:r>
          </m:sub>
        </m:sSub>
      </m:oMath>
      <w:r>
        <w:t xml:space="preserve"> </w:t>
      </w:r>
      <w:r>
        <w:t xml:space="preserve">for strain,</w:t>
      </w:r>
      <w:r>
        <w:t xml:space="preserve"> </w:t>
      </w:r>
      <m:oMath>
        <m:sSub>
          <m:e>
            <m:r>
              <m:t>N</m:t>
            </m:r>
          </m:e>
          <m:sub>
            <m:r>
              <m:t>w</m:t>
            </m:r>
          </m:sub>
        </m:sSub>
      </m:oMath>
      <w:r>
        <w:t xml:space="preserve"> </w:t>
      </w:r>
      <w:r>
        <w:t xml:space="preserve">with its</w:t>
      </w:r>
      <w:r>
        <w:t xml:space="preserve"> </w:t>
      </w:r>
      <m:oMath>
        <m:r>
          <m:t>E</m:t>
        </m:r>
        <m:sSub>
          <m:e>
            <m:r>
              <m:t>I</m:t>
            </m:r>
          </m:e>
          <m:sub>
            <m:r>
              <m:rPr>
                <m:sty m:val="p"/>
                <m:nor/>
              </m:rPr>
              <m:t>ref</m:t>
            </m:r>
          </m:sub>
        </m:sSub>
      </m:oMath>
      <w:r>
        <w:t xml:space="preserve"> </w:t>
      </w:r>
      <w:r>
        <w:t xml:space="preserve">for deflection (or the absolute constant), and</w:t>
      </w:r>
      <w:r>
        <w:t xml:space="preserve"> </w:t>
      </w:r>
      <m:oMath>
        <m:r>
          <m:t>R</m:t>
        </m:r>
      </m:oMath>
      <w:r>
        <w:t xml:space="preserve"> </w:t>
      </w:r>
      <w:r>
        <w:t xml:space="preserve">for both. A small indicator with</w:t>
      </w:r>
      <w:r>
        <w:t xml:space="preserve"> </w:t>
      </w:r>
      <m:oMath>
        <m:r>
          <m:t>R</m:t>
        </m:r>
      </m:oMath>
      <w:r>
        <w:t xml:space="preserve"> </w:t>
      </w:r>
      <w:r>
        <w:t xml:space="preserve">near 1 is restraint, not cancellation.</w:t>
      </w:r>
    </w:p>
    <w:p>
      <w:pPr>
        <w:numPr>
          <w:ilvl w:val="0"/>
          <w:numId w:val="1001"/>
        </w:numPr>
        <w:pStyle w:val="BodyText"/>
      </w:pPr>
      <w:r>
        <w:t xml:space="preserve">Boundary robustness. Evaluate</w:t>
      </w:r>
      <w:r>
        <w:t xml:space="preserve"> </w:t>
      </w:r>
      <m:oMath>
        <m:r>
          <m:t>C</m:t>
        </m:r>
      </m:oMath>
      <w:r>
        <w:t xml:space="preserve"> </w:t>
      </w:r>
      <w:r>
        <w:t xml:space="preserve">over the plausible range of pier stiffness; for a symmetric girder, Eq. (13) gives the whole curve from the pinned and fixed constants. Avoid locations with large</w:t>
      </w:r>
      <w:r>
        <w:t xml:space="preserve"> </w:t>
      </w:r>
      <m:oMath>
        <m:sSub>
          <m:e>
            <m:r>
              <m:t>C</m:t>
            </m:r>
          </m:e>
          <m:sub>
            <m:r>
              <m:rPr>
                <m:sty m:val="p"/>
              </m:rPr>
              <m:t>∞</m:t>
            </m:r>
          </m:sub>
        </m:sSub>
        <m:r>
          <m:rPr>
            <m:sty m:val="p"/>
          </m:rPr>
          <m:t>/</m:t>
        </m:r>
        <m:sSub>
          <m:e>
            <m:r>
              <m:t>C</m:t>
            </m:r>
          </m:e>
          <m:sub>
            <m:r>
              <m:t>0</m:t>
            </m:r>
          </m:sub>
        </m:sSub>
      </m:oMath>
      <w:r>
        <w:t xml:space="preserve"> </w:t>
      </w:r>
      <w:r>
        <w:t xml:space="preserve">or</w:t>
      </w:r>
      <w:r>
        <w:t xml:space="preserve"> </w:t>
      </w:r>
      <m:oMath>
        <m:sSub>
          <m:e>
            <m:r>
              <m:t>B</m:t>
            </m:r>
          </m:e>
          <m:sub>
            <m:r>
              <m:t>m</m:t>
            </m:r>
          </m:sub>
        </m:sSub>
      </m:oMath>
      <w:r>
        <w:t xml:space="preserve">, or plan the measurement that identifies</w:t>
      </w:r>
      <w:r>
        <w:t xml:space="preserve"> </w:t>
      </w:r>
      <m:oMath>
        <m:r>
          <m:t>κ</m:t>
        </m:r>
      </m:oMath>
      <w:r>
        <w:t xml:space="preserve">: a tiltmeter on a monolithic pier, an identified first frequency, or an integral ratio between two gauges.</w:t>
      </w:r>
    </w:p>
    <w:p>
      <w:pPr>
        <w:numPr>
          <w:ilvl w:val="0"/>
          <w:numId w:val="1001"/>
        </w:numPr>
        <w:pStyle w:val="BodyText"/>
      </w:pPr>
      <w:r>
        <w:t xml:space="preserve">Placement. Place sensors at the extremes of</w:t>
      </w:r>
      <w:r>
        <w:t xml:space="preserve"> </w:t>
      </w:r>
      <m:oMath>
        <m:r>
          <m:t>C</m:t>
        </m:r>
        <m:d>
          <m:dPr>
            <m:begChr m:val="("/>
            <m:endChr m:val=")"/>
            <m:grow/>
          </m:dPr>
          <m:e>
            <m:r>
              <m:t>x</m:t>
            </m:r>
          </m:e>
        </m:d>
      </m:oMath>
      <w:r>
        <w:t xml:space="preserve"> </w:t>
      </w:r>
      <w:r>
        <w:t xml:space="preserve">of each channel type:</w:t>
      </w:r>
      <w:r>
        <w:t xml:space="preserve"> </w:t>
      </w:r>
      <m:oMath>
        <m:sSub>
          <m:e>
            <m:r>
              <m:t>w</m:t>
            </m:r>
          </m:e>
          <m:sub>
            <m:r>
              <m:t>q</m:t>
            </m:r>
          </m:sub>
        </m:sSub>
      </m:oMath>
      <w:r>
        <w:t xml:space="preserve"> </w:t>
      </w:r>
      <w:r>
        <w:t xml:space="preserve">for deflection and</w:t>
      </w:r>
      <w:r>
        <w:t xml:space="preserve"> </w:t>
      </w:r>
      <m:oMath>
        <m:r>
          <m:t>c</m:t>
        </m:r>
        <m:sSub>
          <m:e>
            <m:r>
              <m:t>M</m:t>
            </m:r>
          </m:e>
          <m:sub>
            <m:r>
              <m:t>q</m:t>
            </m:r>
          </m:sub>
        </m:sSub>
        <m:r>
          <m:rPr>
            <m:sty m:val="p"/>
          </m:rPr>
          <m:t>/</m:t>
        </m:r>
        <m:r>
          <m:t>E</m:t>
        </m:r>
        <m:r>
          <m:t>I</m:t>
        </m:r>
      </m:oMath>
      <w:r>
        <w:t xml:space="preserve"> </w:t>
      </w:r>
      <w:r>
        <w:t xml:space="preserve">for strain.</w:t>
      </w:r>
    </w:p>
    <w:p>
      <w:pPr>
        <w:numPr>
          <w:ilvl w:val="0"/>
          <w:numId w:val="1001"/>
        </w:numPr>
        <w:pStyle w:val="BodyText"/>
      </w:pPr>
      <w:r>
        <w:t xml:space="preserve">Estimator. Use SLM with weighed vehicles of clearly different weights, several reference crossings and lane-specific constants. For GLS or zero-sum weights, vehicle-free windows are not enough to estimate</w:t>
      </w:r>
      <w:r>
        <w:t xml:space="preserve"> </w:t>
      </w:r>
      <m:oMath>
        <m:r>
          <m:t>Σ</m:t>
        </m:r>
      </m:oMath>
      <w:r>
        <w:t xml:space="preserve">; they misled on the field records (Section 4.3). Residuals of calibration crossings are the better basis but were not sufficient on the field records: with eight runs,</w:t>
      </w:r>
      <w:r>
        <w:t xml:space="preserve"> </w:t>
      </w:r>
      <m:oMath>
        <m:r>
          <m:t>Σ</m:t>
        </m:r>
      </m:oMath>
      <w:r>
        <w:t xml:space="preserve"> </w:t>
      </w:r>
      <w:r>
        <w:t xml:space="preserve">estimated from them over-fitted (MAE 8.5 % in sample against 23.4 % out of sample; Section S7). Combine channels only with enough calibration crossings and an out-of-sample check against the gauge average. Use BPM only where the location is well conditioned and the structure is known; on box girders with deck-mounted gauges, a beam model does not give the constant.</w:t>
      </w:r>
    </w:p>
    <w:p>
      <w:pPr>
        <w:numPr>
          <w:ilvl w:val="0"/>
          <w:numId w:val="1001"/>
        </w:numPr>
        <w:pStyle w:val="BodyText"/>
      </w:pPr>
      <w:r>
        <w:t xml:space="preserve">Offset and dynamics. Evaluate</w:t>
      </w:r>
      <w:r>
        <w:t xml:space="preserve"> </w:t>
      </w:r>
      <m:oMath>
        <m:sSub>
          <m:e>
            <m:r>
              <m:t>P</m:t>
            </m:r>
          </m:e>
          <m:sub>
            <m:r>
              <m:t>δ</m:t>
            </m:r>
          </m:sub>
        </m:sSub>
      </m:oMath>
      <w:r>
        <w:t xml:space="preserve">, Eq. (10), for the residual offset that the instrumentation achieves after re-zeroing, and compare it with the lightest vehicle to be screened. Check</w:t>
      </w:r>
      <w:r>
        <w:t xml:space="preserve"> </w:t>
      </w:r>
      <m:oMath>
        <m:sSub>
          <m:e>
            <m:r>
              <m:t>t</m:t>
            </m:r>
          </m:e>
          <m:sub>
            <m:r>
              <m:rPr>
                <m:sty m:val="p"/>
                <m:nor/>
              </m:rPr>
              <m:t>cr</m:t>
            </m:r>
          </m:sub>
        </m:sSub>
        <m:r>
          <m:rPr>
            <m:sty m:val="p"/>
          </m:rPr>
          <m:t>/</m:t>
        </m:r>
        <m:sSub>
          <m:e>
            <m:r>
              <m:t>T</m:t>
            </m:r>
          </m:e>
          <m:sub>
            <m:r>
              <m:t>1</m:t>
            </m:r>
          </m:sub>
        </m:sSub>
        <m:r>
          <m:rPr>
            <m:sty m:val="p"/>
          </m:rPr>
          <m:t>≥</m:t>
        </m:r>
        <m:r>
          <m:t>8</m:t>
        </m:r>
      </m:oMath>
      <w:r>
        <w:t xml:space="preserve"> </w:t>
      </w:r>
      <w:r>
        <w:t xml:space="preserve">with the measured fundamental frequency</w:t>
      </w:r>
      <w:r>
        <w:t xml:space="preserve"> </w:t>
      </w:r>
      <m:oMath>
        <m:sSub>
          <m:e>
            <m:r>
              <m:t>f</m:t>
            </m:r>
          </m:e>
          <m:sub>
            <m:r>
              <m:t>1</m:t>
            </m:r>
          </m:sub>
        </m:sSub>
        <m:r>
          <m:rPr>
            <m:sty m:val="p"/>
          </m:rPr>
          <m:t>=</m:t>
        </m:r>
        <m:r>
          <m:t>1</m:t>
        </m:r>
        <m:r>
          <m:rPr>
            <m:sty m:val="p"/>
          </m:rPr>
          <m:t>/</m:t>
        </m:r>
        <m:sSub>
          <m:e>
            <m:r>
              <m:t>T</m:t>
            </m:r>
          </m:e>
          <m:sub>
            <m:r>
              <m:t>1</m:t>
            </m:r>
          </m:sub>
        </m:sSub>
      </m:oMath>
      <w:r>
        <w:t xml:space="preserve">.</w:t>
      </w:r>
    </w:p>
    <w:p>
      <w:pPr>
        <w:numPr>
          <w:ilvl w:val="0"/>
          <w:numId w:val="1001"/>
        </w:numPr>
        <w:pStyle w:val="BodyText"/>
      </w:pPr>
      <w:r>
        <w:t xml:space="preserve">Processing. Integrate in space over the complete crossing, re-zero before and after each crossing, remove dynamics with a low-pass filter whose cutoff is well below the fundamental frequency</w:t>
      </w:r>
      <w:r>
        <w:t xml:space="preserve"> </w:t>
      </w:r>
      <m:oMath>
        <m:sSub>
          <m:e>
            <m:r>
              <m:t>f</m:t>
            </m:r>
          </m:e>
          <m:sub>
            <m:r>
              <m:t>1</m:t>
            </m:r>
          </m:sub>
        </m:sSub>
      </m:oMath>
      <w:r>
        <w:t xml:space="preserve"> </w:t>
      </w:r>
      <w:r>
        <w:t xml:space="preserve">and never with a high-pass filter, and discard overlapping crossings.</w:t>
      </w:r>
    </w:p>
    <w:p>
      <w:pPr>
        <w:pStyle w:val="FirstParagraph"/>
      </w:pPr>
      <w:r>
        <w:t xml:space="preserve">Influence-area weighing is a simplified alternative to influence-line BWIM, not a competitor. It returns the gross weight of a vehicle or group from one scalar constant per channel and one weighted sum. Its natural role is low-cost screening across many continuous structures, with influence-line BWIM or enforcement weighing for the vehicles it flags.</w:t>
      </w:r>
    </w:p>
    <w:p>
      <w:pPr>
        <w:pStyle w:val="BodyText"/>
      </w:pPr>
      <w:r>
        <w:t xml:space="preserve">Validation test. For the Mây Bridge, a moving-load test with weighed trucks has been designed but not performed; Table S19 gives the predictions that would decide between calibrations A and B (Section S8).</w:t>
      </w:r>
    </w:p>
    <w:p>
      <w:pPr>
        <w:pStyle w:val="BodyText"/>
        <w:keepNext/>
        <w:keepLines/>
      </w:pPr>
      <w:r>
        <w:rPr>
          <w:bCs/>
          <w:b/>
        </w:rPr>
        <w:t xml:space="preserve">Table S19.</w:t>
      </w:r>
      <w:r>
        <w:t xml:space="preserve"> </w:t>
      </w:r>
      <w:r>
        <w:t xml:space="preserve">Predicted discriminating measurements at the Mây Bridge for a 25 t 3-axle truck (predictions, not measured).</w:t>
      </w:r>
    </w:p>
    <w:tbl>
      <w:tblPr>
        <w:tblStyle w:val="Table"/>
        <w:tblW w:type="pct" w:w="5000"/>
        <w:tblLook w:firstRow="1" w:lastRow="0" w:firstColumn="0" w:lastColumn="0" w:noHBand="0" w:noVBand="0" w:val="0020"/>
        <w:jc w:val="center"/>
        <w:tblBorders>
          <w:top w:val="single" w:sz="8" w:space="0" w:color="000000"/>
          <w:left w:val="nil"/>
          <w:bottom w:val="single" w:sz="8" w:space="0" w:color="000000"/>
          <w:right w:val="nil"/>
          <w:insideH w:val="nil"/>
          <w:insideV w:val="nil"/>
        </w:tblBorders>
      </w:tblPr>
      <w:tblGrid>
        <w:gridCol w:w="3796"/>
        <w:gridCol w:w="2636"/>
        <w:gridCol w:w="2636"/>
      </w:tblGrid>
      <w:tr>
        <w:trPr>
          <w:tblHeader w:val="true"/>
          <w:tblHeader w:val="true"/>
          <w:cantSplit/>
        </w:trPr>
        <w:tc>
          <w:tcPr>
            <w:tcW w:type="dxa" w:w="3796"/>
            <w:tcBorders>
              <w:top w:val="nil"/>
              <w:left w:val="nil"/>
              <w:bottom w:val="single" w:sz="6" w:space="0" w:color="000000"/>
              <w:right w:val="nil"/>
            </w:tcBorders>
          </w:tcPr>
          <w:p>
            <w:pPr>
              <w:keepNext/>
              <w:pStyle w:val="Compact"/>
              <w:jc w:val="left"/>
            </w:pPr>
            <w:r>
              <w:t xml:space="preserve">Measured quantity</w:t>
            </w:r>
          </w:p>
        </w:tc>
        <w:tc>
          <w:tcPr>
            <w:tcW w:type="dxa" w:w="2636"/>
            <w:tcBorders>
              <w:top w:val="nil"/>
              <w:left w:val="nil"/>
              <w:bottom w:val="single" w:sz="6" w:space="0" w:color="000000"/>
              <w:right w:val="nil"/>
            </w:tcBorders>
          </w:tcPr>
          <w:p>
            <w:pPr>
              <w:keepNext/>
              <w:pStyle w:val="Compact"/>
              <w:jc w:val="right"/>
            </w:pPr>
            <w:r>
              <w:t xml:space="preserve">Calibration A</w:t>
            </w:r>
          </w:p>
        </w:tc>
        <w:tc>
          <w:tcPr>
            <w:tcW w:type="dxa" w:w="2636"/>
            <w:tcBorders>
              <w:top w:val="nil"/>
              <w:left w:val="nil"/>
              <w:bottom w:val="single" w:sz="6" w:space="0" w:color="000000"/>
              <w:right w:val="nil"/>
            </w:tcBorders>
          </w:tcPr>
          <w:p>
            <w:pPr>
              <w:keepNext/>
              <w:pStyle w:val="Compact"/>
              <w:jc w:val="right"/>
            </w:pPr>
            <w:r>
              <w:t xml:space="preserve">Calibration B</w:t>
            </w:r>
          </w:p>
        </w:tc>
      </w:tr>
      <w:tr>
        <w:trPr>
          <w:cantSplit/>
        </w:trPr>
        <w:tc>
          <w:tcPr>
            <w:tcW w:type="dxa" w:w="3796"/>
          </w:tcPr>
          <w:p>
            <w:pPr>
              <w:keepNext/>
              <w:pStyle w:val="Compact"/>
              <w:jc w:val="left"/>
            </w:pPr>
            <w:r>
              <w:t xml:space="preserve">Integral ratio, N8 at 0.4</w:t>
            </w:r>
            <m:oMath>
              <m:r>
                <m:t>L</m:t>
              </m:r>
            </m:oMath>
            <w:r>
              <w:t xml:space="preserve"> </w:t>
            </w:r>
            <w:r>
              <w:t xml:space="preserve">/ N7 at mid-span</w:t>
            </w:r>
          </w:p>
        </w:tc>
        <w:tc>
          <w:tcPr>
            <w:tcW w:type="dxa" w:w="2636"/>
          </w:tcPr>
          <w:p>
            <w:pPr>
              <w:keepNext/>
              <w:pStyle w:val="Compact"/>
              <w:jc w:val="right"/>
            </w:pPr>
            <w:r>
              <w:t xml:space="preserve">0.121</w:t>
            </w:r>
          </w:p>
        </w:tc>
        <w:tc>
          <w:tcPr>
            <w:tcW w:type="dxa" w:w="2636"/>
          </w:tcPr>
          <w:p>
            <w:pPr>
              <w:keepNext/>
              <w:pStyle w:val="Compact"/>
              <w:jc w:val="right"/>
            </w:pPr>
            <w:r>
              <w:t xml:space="preserve">0.284</w:t>
            </w:r>
          </w:p>
        </w:tc>
      </w:tr>
      <w:tr>
        <w:trPr>
          <w:cantSplit/>
        </w:trPr>
        <w:tc>
          <w:tcPr>
            <w:tcW w:type="dxa" w:w="3796"/>
          </w:tcPr>
          <w:p>
            <w:pPr>
              <w:keepNext/>
              <w:pStyle w:val="Compact"/>
              <w:jc w:val="left"/>
            </w:pPr>
            <w:r>
              <w:t xml:space="preserve">Peak girder rotation over pier T7 (µrad)</w:t>
            </w:r>
          </w:p>
        </w:tc>
        <w:tc>
          <w:tcPr>
            <w:tcW w:type="dxa" w:w="2636"/>
          </w:tcPr>
          <w:p>
            <w:pPr>
              <w:keepNext/>
              <w:pStyle w:val="Compact"/>
              <w:jc w:val="right"/>
            </w:pPr>
            <w:r>
              <w:t xml:space="preserve">−58</w:t>
            </w:r>
          </w:p>
        </w:tc>
        <w:tc>
          <w:tcPr>
            <w:tcW w:type="dxa" w:w="2636"/>
          </w:tcPr>
          <w:p>
            <w:pPr>
              <w:keepNext/>
              <w:pStyle w:val="Compact"/>
              <w:jc w:val="right"/>
            </w:pPr>
            <w:r>
              <w:t xml:space="preserve">−29</w:t>
            </w:r>
          </w:p>
        </w:tc>
      </w:tr>
      <w:tr>
        <w:trPr>
          <w:cantSplit/>
        </w:trPr>
        <w:tc>
          <w:tcPr>
            <w:tcW w:type="dxa" w:w="3796"/>
          </w:tcPr>
          <w:p>
            <w:pPr>
              <w:pStyle w:val="Compact"/>
              <w:jc w:val="left"/>
            </w:pPr>
            <w:r>
              <w:t xml:space="preserve">Strain integral at the zero-moment point of A (171.3 m) / at N7</w:t>
            </w:r>
          </w:p>
        </w:tc>
        <w:tc>
          <w:tcPr>
            <w:tcW w:type="dxa" w:w="2636"/>
          </w:tcPr>
          <w:p>
            <w:pPr>
              <w:pStyle w:val="Compact"/>
              <w:jc w:val="right"/>
            </w:pPr>
            <w:r>
              <w:t xml:space="preserve">0.006</w:t>
            </w:r>
          </w:p>
        </w:tc>
        <w:tc>
          <w:tcPr>
            <w:tcW w:type="dxa" w:w="2636"/>
          </w:tcPr>
          <w:p>
            <w:pPr>
              <w:pStyle w:val="Compact"/>
              <w:jc w:val="right"/>
            </w:pPr>
            <w:r>
              <w:t xml:space="preserve">0.17</w:t>
            </w:r>
          </w:p>
        </w:tc>
      </w:tr>
    </w:tbl>
    <w:bookmarkEnd w:id="80"/>
    <w:bookmarkStart w:id="81" w:name="Xb7946600a14cdf5bbcb26f838b39edad101b220"/>
    <w:p>
      <w:pPr>
        <w:pStyle w:val="Heading2"/>
      </w:pPr>
      <w:r>
        <w:t xml:space="preserve">S11. Scripts, console output and derived data</w:t>
      </w:r>
    </w:p>
    <w:p>
      <w:pPr>
        <w:pStyle w:val="FirstParagraph"/>
      </w:pPr>
      <w:r>
        <w:t xml:space="preserve">The code and data archive on Zenodo (https://doi.org/10.5281/zenodo.23535533, CC BY 4.0) contains the analysis scripts and the console output of every run.</w:t>
      </w:r>
      <w:r>
        <w:t xml:space="preserve"> </w:t>
      </w:r>
      <w:r>
        <w:rPr>
          <w:rStyle w:val="VerbatimChar"/>
        </w:rPr>
        <w:t xml:space="preserve">README.md</w:t>
      </w:r>
      <w:r>
        <w:t xml:space="preserve"> </w:t>
      </w:r>
      <w:r>
        <w:t xml:space="preserve">in the archive maps every table and figure of the article and this document to a script and a log file.</w:t>
      </w:r>
      <w:r>
        <w:t xml:space="preserve"> </w:t>
      </w:r>
      <w:r>
        <w:rPr>
          <w:rStyle w:val="VerbatimChar"/>
        </w:rPr>
        <w:t xml:space="preserve">run_all.sh --all</w:t>
      </w:r>
      <w:r>
        <w:t xml:space="preserve"> </w:t>
      </w:r>
      <w:r>
        <w:t xml:space="preserve">reruns the closed forms and their FE verification, the multi-channel placement study and Monte Carlo simulation, the identifiability analysis of the in-service girder, the processing of the public field records and the laboratory evaluation. The closed forms are checked against finite element evaluations in the same scripts (logs in the archive). The derived data behind the figures and tables are provided as CSV files in the same archive. The raw field records are not redistributed; they are available from the NOR-BWIM dataset (https://doi.org/10.7294/26880898.v1).</w:t>
      </w:r>
    </w:p>
    <w:bookmarkEnd w:id="81"/>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widowControl/>
      <w:spacing w:after="120" w:before="180" w:line="360"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widowControl/>
      <w:spacing w:after="12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widowControl/>
      <w:spacing w:after="300" w:before="100" w:line="360" w:lineRule="auto"/>
      <w:jc w:val="both"/>
    </w:pPr>
    <w:rPr>
      <w:rFonts w:ascii="Times New Roman" w:cs="Times New Roman" w:eastAsia="Times New Roman" w:hAnsi="Times New Roman"/>
      <w:sz w:val="24"/>
      <w:szCs w:val="20"/>
    </w:rPr>
  </w:style>
  <w:style w:styleId="Bibliography" w:type="paragraph">
    <w:name w:val="Bibliography"/>
    <w:basedOn w:val="Normal"/>
    <w:next w:val="Bibliography"/>
    <w:qFormat/>
    <w:pPr>
      <w:widowControl/>
      <w:spacing w:line="360" w:lineRule="auto"/>
      <w:jc w:val="both"/>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jc w:val="left"/>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pPr>
      <w:keepNext/>
      <w:widowControl/>
      <w:spacing w:after="0" w:before="120" w:line="240" w:lineRule="auto"/>
      <w:jc w:val="center"/>
    </w:pPr>
    <w:rPr>
      <w:rFonts w:ascii="Times New Roman" w:cs="Times New Roman" w:eastAsia="Times New Roman" w:hAnsi="Times New Roman"/>
      <w:i w:val="0"/>
      <w:sz w:val="24"/>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Titleblock" w:type="paragraph">
    <w:name w:val="Title block"/>
    <w:basedOn w:val="Normal"/>
    <w:pPr>
      <w:keepNext w:val="0"/>
      <w:widowControl/>
      <w:spacing w:after="120" w:before="0" w:line="360" w:lineRule="auto"/>
      <w:jc w:val="center"/>
    </w:pPr>
    <w:rPr>
      <w:rFonts w:ascii="Times New Roman" w:hAnsi="Times New Roman"/>
      <w:i w:val="0"/>
      <w:sz w:val="24"/>
    </w:rPr>
  </w:style>
  <w:style w:customStyle="1" w:styleId="Captioncentred" w:type="paragraph">
    <w:name w:val="Caption centred"/>
    <w:basedOn w:val="Normal"/>
    <w:pPr>
      <w:keepNext w:val="0"/>
      <w:widowControl/>
      <w:spacing w:after="240" w:before="0" w:line="276" w:lineRule="auto"/>
      <w:jc w:val="center"/>
    </w:pPr>
    <w:rPr>
      <w:rFonts w:ascii="Times New Roman" w:hAnsi="Times New Roman"/>
      <w:i w:val="0"/>
      <w:sz w:val="22"/>
    </w:rPr>
  </w:style>
  <w:style w:customStyle="1" w:styleId="Captionjustified" w:type="paragraph">
    <w:name w:val="Caption justified"/>
    <w:basedOn w:val="Normal"/>
    <w:pPr>
      <w:keepNext w:val="0"/>
      <w:widowControl/>
      <w:spacing w:after="240" w:before="0" w:line="276" w:lineRule="auto"/>
      <w:jc w:val="both"/>
    </w:pPr>
    <w:rPr>
      <w:rFonts w:ascii="Times New Roman" w:hAnsi="Times New Roman"/>
      <w:i w:val="0"/>
      <w:sz w:val="22"/>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6" Type="http://schemas.openxmlformats.org/officeDocument/2006/relationships/image" Target="media/rId66.png"/><Relationship Id="rId69" Type="http://schemas.openxmlformats.org/officeDocument/2006/relationships/image" Target="media/rId69.png"/><Relationship Id="rId73" Type="http://schemas.openxmlformats.org/officeDocument/2006/relationships/image" Target="media/rId73.png"/><Relationship Id="rId76" Type="http://schemas.openxmlformats.org/officeDocument/2006/relationships/image" Target="media/rId76.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2" Type="http://schemas.openxmlformats.org/officeDocument/2006/relationships/image" Target="media/rId42.png"/><Relationship Id="rId46" Type="http://schemas.openxmlformats.org/officeDocument/2006/relationships/image" Target="media/rId46.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2026-10-21T14:41:35Z</dcterms:created>
  <dcterms:modified xsi:type="dcterms:W3CDTF">2026-10-21T14:41:35Z</dcterms:modified>
</cp:coreProperties>
</file>

<file path=docProps/custom.xml><?xml version="1.0" encoding="utf-8"?>
<Properties xmlns="http://schemas.openxmlformats.org/officeDocument/2006/custom-properties" xmlns:vt="http://schemas.openxmlformats.org/officeDocument/2006/docPropsVTypes"/>
</file>