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  <w:highlight w:val="none"/>
          <w:lang w:val="pt-BR"/>
        </w:rPr>
        <w:t xml:space="preserve">Resumo sobres conceitos de bases de dados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Introdução aos Sistemas de Banco de Dados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Um sistema de banco de dados é um sistema computadorizado que mantém registros, funcionando como um repositório para arquivos de dados. Ele permite operações como: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Adição, busca, exclusão e alteração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Gerenciamento de arquivos dentro do banco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Exemplo: o banco de dados ADEGA contém informações sobre vinhos, onde requisições como SELECT, INSERT, DELETE e UPDATE são feitas em SQL (Structured Query Language), uma linguagem padrão internacional usada para manipulação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Componentes de um Sistema de Banco de Dados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sistema é composto por quatro elementos principais: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Dados: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armazenados no banco, podem ser simples (texto, números) ou complexos (fotos, mapas, gravações).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Hardware: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varia desde computadores pequenos até grandes mainframes.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Software: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 sistema gerenciador do banco de dados (DBMS).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Usuários: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os indivíduos ou organizações que interagem com o sistema.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Conceitos Importantes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Tabelas e Estrutura de Dados: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Os dados são organizados em tabelas. Colunas são chamadas de campos, e as linhas, registros. Em SQL, são chamadas de atributos, relações e tuplas.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Chaves Primárias: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Garantem que cada registro seja único (ex.: DEP# na tabela ADEGA).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Operações no Banco de Dados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SQL é a linguagem usada para interagir com bancos de dados, com os principais comandos sendo: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SELECT: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Busca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INSERT: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Inserção de novos registros.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DELETE: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Exclusão de registros existentes.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UPDATE: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Alteração de registros.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Essas operações permitem a manipulação eficiente das informações armazenadas.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Observações sobre SQL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É amplamente adotado comercialmente e essencial para bancos de dados modernos.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Utiliza uma estrutura padrão que facilita a manipulação de dados complexos.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Oferece versatilidade, com suporte a dados simples e avançados como imagens e áudios.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Finalidade dos Bancos de Dados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Um banco de dados existe para armazenar e organizar informações de forma acessível, auxiliando indivíduos e organizações em suas atividades. Ele transforma dados em informações significativas.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Vantagens da Abordagem de Banco de Dados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Compartilhamento de Dados: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Aplicações existentes e novas podem compartilhar informações sem a necessidade de duplicação.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Redução de Redundância: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Combina dados compartilhados para evitar duplicidade e economizar espaço. Quando redundância é necessária, deve ser controlada (propagação de atualizações).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Prevenção de Inconsistências: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A centralização reduz discrepâncias entre entradas duplicadas, garantindo dados corretos e coerentes.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Suporte a Transações: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Garante que operações relacionadas sejam realizadas por completo ou revertidas em casos de falha (ex.: atomicidade em transferências bancárias).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Manutenção de Integridade: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Restrições de integridade evitam erros como dados incorretos ou incoerentes e protegem usuários que compartilham informações.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Reforço de Segurança: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DBA controla acesso aos dados, garantindo segurança para informações confidenciais e prevenindo riscos associados à centralização.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Equilíbrio de Requisitos Contraditórios: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 DBA estrutura o sistema para atender às prioridades da empresa sem comprometer aplicações menos críticas.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Imposição de Padrões: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Garante consistência na representação, nomenclatura e documentação de dados, facilitando compartilhamento e migração.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Independência de Dados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Física: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Refere-se à habilidade de alterar o armazenamento físico dos dados sem impactar o acesso lógico pelos usuários. Isso aumenta a flexibilidade no gerenciamento dos bancos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independência de dados é fundamental para manter a adaptabilidade e eficiência do sistema.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1. Nível Interno (Físico):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Este é o nível mais baixo da arquitetura e está relacionado ao armazenamento real dos dados. Aqui, você está lidando com a forma como os dados são armazenados no hardware (discos, memória, etc.), como são organizados e acessados.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Detalhamento: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nível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descreve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estrutura física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do banco de dados. Ou seja, como os registros de dados, índices e outros objetos são organizados fisicamente. A ideia principal desse nível é otimizar o desempenho de acesso e armazenamento.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No seu exemplo, o tipo de registro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EMP_ARMAZENADO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(com 20 bytes de comprimento) é um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registro físico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que contém dados brutos e prefixos de controle (como ponteiros e flags), usados para garantir que o banco de dados funcione corretamente.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Índice EMPX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É uma estrutura adicional usada para otimizar a busca de registros. O índice mapeia rapidamente os números de empregado (EMP#) para os registros de dados armazenados, sem a necessidade de percorrer toda a tabela. Isso acelera operações de busca, como enc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ontrar um empregado com um número específico.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2. Nível Conceitual (Lógico):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Este é o nível intermediário entre os usuários e o armazenamento físico. Ele descreve o banco de dados de forma lógica e unificada, sem se preocupar com detalhes de armazenamento. A visão conceitual é projetada para refletir as necessidades de todos os usu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ários do banco de dados, sem se concentrar em implementações específicas ou nos detalhes físicos.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Detalhamento: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nível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fornece uma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representação global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 todo o banco de dados, incluindo todos os dados e suas inter-relações, sem focar em como ou onde eles são armazenados fisicamente.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Aqui, o banco de dados é representado por entidades como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empregados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departamentos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fornecedores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peças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O relacionamento entre esses dados, como um empregado trabalhando em um departamento, ou um fornecedor fornecendo peças, é descrito nesse nível.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exemplo mencionado fala de uma visão conceitual em que os dados dos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empregados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são representados por campos como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NÚMERO_EMPREGADO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NÚMERO_DEPARTAMENTO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SALÁRIO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No entanto, as especificidades de como esses dados estão armazenados (como o índice ou a estrutura física do registro) não são descritas no nível conceitual.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não deve incluir qualquer informação sobre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detalhes físicos de armazenamento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como o tipo de índice ou a maneira como os dados são acessados. Ele descreve apenas os dados de forma lógica, como os registros de "empregado" e "departamento", sem vincular isso a como ou onde essas informações são realmente armazenadas.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3. Nível Externo (Visão do Usuário):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Este nível descreve a forma como diferentes usuários interagem com o banco de dados. Cada usuário pode ter uma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personalizada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 acordo com suas necessidades, e essas visões não precisam refletir o banco de dados completo.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Detalhamento: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No nível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externo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o banco de dados é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apresentado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 maneira personalizada para cada usuário ou aplicação, de modo que o usuário veja apenas os dados relevantes para ele. Um usuário pode, por exemplo, ver apenas dados sobre empregados ou departamentos, mas não precisa saber sobre fornecedores ou peças.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externa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uma forma de "abstract" do banco de dados, ou seja, uma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representação adaptada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das informações no banco de dados, com base nas permissões e necessidades de um usuário específico.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Por exemplo, no seu caso, um usuário PL/I pode estar interessado apenas no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número de empregado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salário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enquanto outro usuário, no Departamento de Compras, pode estar mais interessado nos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fornecedores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peças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Essa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externa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implementada usando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externo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que é uma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definição da visão personalizada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 cada usuário. O esquema externo é escrito usando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DDL externa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uma sublinguagem de dados que permite criar essas visões específicas.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visão externa é importante porque ela garante que o usuário só tenha acesso aos dados relevantes e ocultos os detalhes desnecessários ou confidenciais.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Mapeamento Entre os Níveis: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mapeamento entre os três níveis é essencial para garantir que o banco de dados funcione de forma eficiente e consistente, independentemente de como os dados são armazenados ou como cada usuário os vê. A seguir, detalho esse mapeamento: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 e Esquemas Externos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mapeamento entre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(que representa o banco de dados de maneira geral) e os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esquemas externos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(que representam a visão do banco de dados para cada usuário) é feito por um mecanismo chamado de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mapeamento de visões externas para o modelo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Isso garante que as visões externas estejam corretas em relação à visão global dos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 e Esquema 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mapeamento entre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o mapeamento de dados entre o modelo lógico (conceitual) e o modelo físico (interno). Isso ocorre quando as definições de dados conceituais (como atributos de registros de empregados) são mapeadas para uma estrutura física de armazenamento (como registr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os de dados com prefixos de controle, campos e índices). Esse mapeamento é geralmente feito pelo SGBD de forma transparente para os usuários.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Sublinguagens de Dados (DSL):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DDL (Data Definition Language)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No seu exemplo,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DDL externa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DDL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são responsáveis por definir as estruturas de dados e as visões de usuários. A DDL externa descreve como os dados serão vistos por cada usuário, enquanto a DDL conceitual descreve as definições lógicas do banco de dados sem se preocupar com detalhes de ar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mazenamento físico.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DML (Data Manipulation Language)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DML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descreve as operações de manipulação de dados, como inserções, atualizações e consultas. Em PL/I, essas operações podem ser feitas usando instruções que interagem com o SGBD para modificar ou consultar os dados armazenados.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PL/I: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PL/I (Programming Language One) é uma linguagem de programação desenvolvida na década de 1960 pela IBM. Ela foi projetada para ser versátil, combinando características de linguagens como COBOL (voltada para aplicações empresariais) e Fortran (utilizada </w:t>
      </w:r>
      <w:r>
        <w:rPr>
          <w:rFonts w:ascii="Times New Roman" w:hAnsi="Times New Roman" w:eastAsia="Times New Roman" w:cs="Times New Roman"/>
        </w:rPr>
        <w:t xml:space="preserve">em cálculos científicos). Por isso, a PL/I é bem adequada tanto para tarefas administrativas quanto para cálculos científicos complexos.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Algumas das principais características da PL/I incluem: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Multifuncionalidade: Pode ser usada para manipulação de dados comerciais e científicos.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- Suporte a processamento paralelo:** Oferece construções para facilitar a execução simultânea de processos.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Flexibilidade:Admite tipos de dados robustos e uma ampla gama de instruções de controle.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linguagem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PL/I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serve como uma linguagem de programação para a interação com o banco de dados. A PL/I pode ser usada para: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Declarar tipos de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(no contexto da DDL).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Manipular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(usando a DML, por exemplo, invocando funções ou procedimentos do SGBD).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Interagir com o banco de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 forma eficiente, utilizando tanto a parte conceitual quanto a externa de forma abstrata.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Conceitual e Esquema Conceitual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visão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a representação global do banco de dados, englobando todos os dados e suas inter-relações, mas sem se preocupar com o formato de armazenamento físico. Ela reflete como os dados são organizados de maneira lógica e como as informações fluem dentro de um 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istema ou empresa.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a definição dessa visão. Ele descreve todos os dados que o banco de dados irá conter e as relações entre esses dados, mas de forma mais abstrata. Embora seja uma representação lógica, ela não é simples como as definições de um programa COBOL. O esquema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conceitual vai muito além da mera definição de campos e registros: ele pode incluir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restrições de segurança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restrições de integridade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até as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regras de negócio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que regem como os dados podem ser usados e manipulados dentro da organização.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Em muitos sistemas atuais, o esquema conceitual é basicamente uma junção de esquemas externos (visões personalizadas de diferentes usuários) junto com as restrições de integridade e segurança. No entanto, idealmente, ele deveria ser uma descrição mais comp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leta de toda a empresa, incluindo a forma como os dados são utilizados, controlados e auditados. Isso é algo que, no futuro, pode se tornar mais sofisticado, mas que ainda não é amplamente adotado.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Interna (Nível Físico)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nível 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está relacionado à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representação física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do banco de dados. Enquanto o nível conceitual descreve os dados de forma lógica e sem considerar o armazenamento físico, o nível interno está preocupado com a forma como os dados são realmente armazenados e acessados no dispositivo físico.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Interna: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interna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uma representação de baixo nível do banco de dados, onde se especifica como os dados são armazenados fisicamente no sistema (por exemplo, como os registros são organizados e quais índices são usados para otimizar o acesso).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visão interna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está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separada do nível físico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real, ou seja, ela não trata de detalhes específicos do armazenamento como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tamanho de cilindros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trilhas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ou qualquer outra característica de dispositivos de armazenamento. Ela vê os dados como se estivessem armazenados em um espaço de endereçamento linear infinito.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Ela é descrita por meio do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que não apenas define os tipos de registros armazenados, mas também determina como esses registros estão organizados fisicamente, a ordem dos registros, como os índices são usados e outros aspectos da implementação física.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1. Definir o Esquema Conceitual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Uma das primeiras responsabilidades do DBA é criar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que é a implementação técnica das decisões do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administrador de dados (DA)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O DA, como mencionado, decide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quais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são necessários para a empresa e define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estrutura lógica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do banco de dados, enquanto o DBA converte essas decisões em um esquema executável no sistema, utilizando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DDL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Conceitual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Refere-se à estrutura lógica do banco de dados, identificando as entidades e os dados que devem ser armazenados.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Modelo de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DBA usa a DDL para criar essa estrutura no banco de dados, garantindo que os dados estejam organizados de forma eficaz e que o sistema possa fornecer as respostas corretas de acordo com as necessidades da empresa.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2. Definir o Esquema Interno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é a tradução do esquema conceitual para a forma física de armazenamento no sistema. O DBA é responsável por garantir que os dados sejam armazenados de maneira eficiente e que o banco de dados tenha bom desempenho. Isso envolve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projeto físico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que é uma parte do planejamento do banco de dados, relacionado à maneira como os dados serão fisicamente organizados e indexados.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Esquema 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Descreve como os dados são fisicamente armazenados no sistema, incluindo detalhes como a forma dos registros e os índices.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Mapeamento Conceitual/Interno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É uma definição crítica que liga o nível conceitual ao nível interno, garantindo que mudanças no armazenamento não afetem a visão conceitual do banco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3. Conta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  <w:lang w:val="pt-BR"/>
        </w:rPr>
        <w:t xml:space="preserve">c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to com os Usuários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DBA tem o papel crucial de ser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ponto de contato entre o sistema e os usuários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Ele precisa garantir que os dados necessários estejam disponíveis de forma adequada para as operações diárias e, além disso, ele também ajuda os usuários a desenvolver as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visões externas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os mapeamentos correspondentes.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Mapeamentos Externos/Conceituais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DBA deve definir como os dados serão vistos por diferentes usuários, criando esquemas personalizados para diferentes grupos dentro da empresa.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Consultoria e Treinamento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DBA também deve ajudar os usuários no desenvolvimento de aplicativos, treinando-os e resolvendo problemas de banco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4. Definir Restrições de Segurança e Integridade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Uma das funções do DBA é garantir que o banco de dados esteja protegido e que os dados mantidos nele sejam consistentes. O DBA define e implementa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restrições de segurança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restrições de integridade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para evitar acesso não autorizado e garantir que os dados sigam regras lógicas de consistência.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Segurança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Garantir que apenas usuários autorizados possam acessar ou modificar os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Integridade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Garantir que os dados sejam consistentes, seguindo regras definidas para a validação de entradas no banco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5. Definir Normas de Descarga e Recarga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Outro aspecto essencial da administração de banco de dados é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controle de falhas e backup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O DBA deve implementar um sistema de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descarga (dump)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recarga (restore)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de dados para garantir que, caso ocorra um erro ou falha de hardware, o banco de dados possa ser rapidamente restaurado a um estado consistente, minimizando o impacto para os usuários.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Backup e Recuperação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DBA deve planejar e implementar procedimentos regulares de backup, assegurando que a recuperação de dados seja rápida e eficiente.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Sistemas de Alta Disponibilidade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Para grandes sistemas de banco de dados, como bancos de dados multiterabytes, a recuperação rápida e sem perda de dados torna-se ainda mais crítica.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6. Monitorar o Desempenho e Responder a Requisitos de Mudanças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DBA é responsável por garantir que o banco de dados esteja operando com o melhor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desempenho possível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 Isso envolve o processo de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tuning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ou afinação do banco de dados, para otimizar a velocidade de acesso aos dados e garantir que ele atenda aos requisitos da empresa.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Tuning de Banco de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DBA monitora a performance do banco de dados e ajusta a organização dos dados (por exemplo, reorganizando o banco de dados ou ajustando índices) para garantir que ele permaneça eficiente à medida que as demandas da empresa mudam.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Adaptação a Mudanças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: O DBA deve garantir que qualquer mudança na estrutura interna do banco de dados seja refletida nos mapeamentos conceituais, mantendo a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independência lógica de dados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Conceito e Processo Geral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SGBD é um software responsável por gerenciar o acesso e as operações no banco de dados. De forma resumida, ele segue estas etapas: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Pedido de acesso: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 usuário utiliza uma sublinguagem de dados (exemplo: SQL) para fazer a solicitação.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Análise do pedido: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O SGBD intercepta e analisa o pedido.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Inspeção de esquemas e mapeamentos: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Ele consulta o esquema externo, o mapeamento externo/conceitual, o esquema conceitual, o mapeamento conceitual/interno e a definição do banco de dados armazenado.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Execução: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Realiza as operações necessárias no banco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Para operações mais complexas, como buscar registros externos, o SGBD faz múltiplas conversões e construções em etapas: registros armazenados → registros conceituais → registros externos. Isso pode incluir conversões de tipo de dados.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Funções Principais do SGBD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1. Definição de Dados (Data Definition):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O SGBD aceita definições de dados (esquemas externos, conceituais, internos, mapeamentos) e converte-as em formatos apropriados.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Inclui componentes como 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processador de DDL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, que interpreta e compila definições feitas em linguagens de definição de dados (DDLs).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Exemplo: Para registros externos de "EMPREGADO", o SGBD "entende" campos como "SALÁRIO" e pode processar consultas como "obter empregados com salário &lt; R$ 50.000,00".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2. Manipulação de Dados (Data Manipulation):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Processa requisições de busca, atualização, exclusão ou inserção de dados usando a linguagem de manipulação de dados (DML).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As requisições podem ser: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Planejadas: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Previstas antecipadamente e otimizadas pelo administrador de banco de dados (DBA).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Não Planejadas: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 Consultas ad hoc feitas de forma interativa, sem planejamento prévio.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Exemplos de uso incluem sistemas operacionais (requisições planejadas) e suporte à decisão (requisições não planejadas).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3. Otimização e Execução: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Um otimizador determina a forma mais eficiente de executar as requisições.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Após otimizar, o gerenciador em tempo de execução (run time) executa os pedidos, possivelmente chamando um gerenciador de arquivos para acessar os dados armazenados.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4. Segurança e Integridade de Dados: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Monitora e bloqueia ações que violam restrições de segurança ou integridade definidas pelo DBA. Pode fazer isso tanto em tempo de compilação quanto de execução.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5. Recuperação de Dados e Controle de Concorrência: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Garantia de consistência e recuperação em caso de falhas. Normalmente é gerenciado por um componente adicional chamado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gerenciador de transações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6. Dicionário de Dados (Metadados):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Funciona como um banco de dados especial contendo informações sobre os dados (metadados), incluindo esquemas, mapeamentos e restrições.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Permite consultas para saber, por exemplo, quais programas ou usuários serão afetados por alterações no sistema.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  <w:szCs w:val="24"/>
        </w:rPr>
        <w:t xml:space="preserve">7. Desempenho: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Style w:val="899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 xml:space="preserve">Todas as funções do SGBD devem ser executadas com eficiência, minimizando atrasos e sobrecargas.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2025-03-26T15:37:52Z</dcterms:modified>
</cp:coreProperties>
</file>