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военная энциклопедия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словарь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урок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внешняя баллистика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Понятие баллистического коэффициента вводится при вычислении аналитического выражения для ускорения силы сопротивления воздуха, которая отрицательным образом сказывается на скорости снаряда. Очень часто его представляют в виде</w:t>
      </w:r>
      <w:r w:rsidDel="00000000" w:rsidR="00000000" w:rsidRPr="00000000">
        <w:rPr/>
        <w:drawing>
          <wp:inline distB="114300" distT="114300" distL="114300" distR="114300">
            <wp:extent cx="1057275" cy="428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 — баллистический коэффициент,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 — калибр снаряда в метрах,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 — масса снаряда в килограммах,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— коэффициент аэродинамической формы снаряда, который дается отношением аэродинамических функций рассматриваемой пули и пули, принятой в качестве эталона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Существует ряд эмпирических формул для выражения силы сопротивления воздуха R.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85875" cy="561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 - баллистический коэффициент,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 - площадь поперечного сечения снаряда.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При движении снаряда в атмосфере силы аэродинамического сопротивления складываются из сил давления воздуха, направленных по нормали к поверхности, и сил трения, направленных по касательной к поверхности. Равнодействующая сила (если она существует) приложена к центру давления снаряда. Система аэродинамических сил, действующих на снаряд, сводится к главному вектору аэродинамических сил , построенному в центре масс, и главному моменту , относительно центра масс, который в зависимости от направления может быть либо опрокидывающим, либо стабилизирующим моментом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Расчёты внешней баллистики в исследованиях эффективности стрельбы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76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Исходными данными для расчёта являются: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V0 - начальная скорость начальная скорость снаряда;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 - диаметр снаряда;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q - масса снаряда;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 - коэффициент формы к закону сопротивления воздуха 1943 г. (или коэффициент формы к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закону Сиаччи, приведенный к закону 1943 г.,);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x - горизонтальная дальность.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Результатами расчёта являются: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V(x) - текущая скорость снаряда;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y(x) - превышение траектории над горизонтом оружия;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t(x) - полетное время;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θ(x) - угол наклона траектории к горизонту.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33825" cy="3552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95775" cy="3114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где F - сила аэродинамического сопротивления,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Cx(M) - коэффициент лобового сопротивления,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 - число Маха,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 - скорость звука,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H(y) - функция плотности атмосферы,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ρ - плотность воздуха,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 - коэффициент формы к закону сопротивления воздуха 1943 г.,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Cx(M)43 , Cx(M)сиаччи - табличные функции законов сопротивления воздуха 1943 г. и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Сиаччи соответственно (рис. 4).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Для расчетов таблиц стрельбы и некоторых других удобнее интегрировать систему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уравнений по x, так как расчет параметров траектории необходимо вести до некоторой заданной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горизонтальной дальности, поэтому уравнения системы записаны в функциях от x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пневматика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09800" cy="1219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firstLine="300"/>
        <w:jc w:val="both"/>
        <w:rPr/>
      </w:pPr>
      <w:r w:rsidDel="00000000" w:rsidR="00000000" w:rsidRPr="00000000">
        <w:rPr>
          <w:rtl w:val="0"/>
        </w:rPr>
        <w:t xml:space="preserve">Где:</w:t>
      </w:r>
    </w:p>
    <w:p w:rsidR="00000000" w:rsidDel="00000000" w:rsidP="00000000" w:rsidRDefault="00000000" w:rsidRPr="00000000" w14:paraId="00000032">
      <w:pPr>
        <w:pageBreakBefore w:val="0"/>
        <w:ind w:firstLine="300"/>
        <w:jc w:val="both"/>
        <w:rPr/>
      </w:pPr>
      <w:r w:rsidDel="00000000" w:rsidR="00000000" w:rsidRPr="00000000">
        <w:rPr>
          <w:i w:val="1"/>
          <w:rtl w:val="0"/>
        </w:rPr>
        <w:t xml:space="preserve">BCb</w:t>
      </w:r>
      <w:r w:rsidDel="00000000" w:rsidR="00000000" w:rsidRPr="00000000">
        <w:rPr>
          <w:rtl w:val="0"/>
        </w:rPr>
        <w:t xml:space="preserve"> – Баллистический коэффициент пули,</w:t>
      </w:r>
    </w:p>
    <w:p w:rsidR="00000000" w:rsidDel="00000000" w:rsidP="00000000" w:rsidRDefault="00000000" w:rsidRPr="00000000" w14:paraId="00000033">
      <w:pPr>
        <w:pageBreakBefore w:val="0"/>
        <w:ind w:firstLine="300"/>
        <w:jc w:val="both"/>
        <w:rPr/>
      </w:pPr>
      <w:r w:rsidDel="00000000" w:rsidR="00000000" w:rsidRPr="00000000">
        <w:rPr>
          <w:i w:val="1"/>
          <w:rtl w:val="0"/>
        </w:rPr>
        <w:t xml:space="preserve">SD</w:t>
      </w:r>
      <w:r w:rsidDel="00000000" w:rsidR="00000000" w:rsidRPr="00000000">
        <w:rPr>
          <w:rtl w:val="0"/>
        </w:rPr>
        <w:t xml:space="preserve"> – отношение массы пули к площади её поперечного сечения,</w:t>
      </w:r>
    </w:p>
    <w:p w:rsidR="00000000" w:rsidDel="00000000" w:rsidP="00000000" w:rsidRDefault="00000000" w:rsidRPr="00000000" w14:paraId="00000034">
      <w:pPr>
        <w:pageBreakBefore w:val="0"/>
        <w:ind w:firstLine="300"/>
        <w:jc w:val="both"/>
        <w:rPr/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– форм фактор пули, равный отношению коэффициента сопротивления аэродинамических сил пули к коэффициенту сопротивления аэродинамических сил "Cтандартной" пули.</w:t>
      </w:r>
    </w:p>
    <w:p w:rsidR="00000000" w:rsidDel="00000000" w:rsidP="00000000" w:rsidRDefault="00000000" w:rsidRPr="00000000" w14:paraId="00000035">
      <w:pPr>
        <w:pageBreakBefore w:val="0"/>
        <w:ind w:firstLine="300"/>
        <w:jc w:val="both"/>
        <w:rPr/>
      </w:pPr>
      <w:r w:rsidDel="00000000" w:rsidR="00000000" w:rsidRPr="00000000">
        <w:rPr>
          <w:rtl w:val="0"/>
        </w:rPr>
        <w:t xml:space="preserve">По этой формуле определяется БК пуль и снарядов относительно "Cтандартной" пули. "Cтандартной" считается пуля, которую использовал немецкий оружейник Крупп. "Cтандартная" пуля имеет БК=1, форма пули – плоское основание со скруглённым концом, длинна равна трём калибрам, кривизна двум.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Зная тип пули (d - диаметр снаряда, m - масса снаряда), расстояние до мишени (S1) и высоту расположения мишени (h) вычислить точку прицеливания, чтобы попасть точно в цель, учитывая силу тяжести, лобовое сопротивление и боковое сопротивление.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Сила тяжести убывает обратно пропорционально квадрату расстояния от центра Земли.</w:t>
        <w:br w:type="textWrapping"/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mg</w:t>
        <w:br w:type="textWrapping"/>
        <w:t xml:space="preserve">G</w:t>
        <w:tab/>
        <w:t xml:space="preserve">Сила тяжести, Ньютон</w:t>
        <w:br w:type="textWrapping"/>
        <w:t xml:space="preserve">m</w:t>
        <w:tab/>
        <w:t xml:space="preserve">масса тела, кг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ускорение свободного падения на поверхности Земли 9.81</w:t>
        <w:tab/>
        <w:t xml:space="preserve">метр / секунда2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7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7335"/>
        <w:tblGridChange w:id="0">
          <w:tblGrid>
            <w:gridCol w:w="735"/>
            <w:gridCol w:w="7335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Georgia" w:cs="Georgia" w:eastAsia="Georgia" w:hAnsi="Georg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33"/>
                <w:szCs w:val="33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rPr>
                <w:rFonts w:ascii="Georgia" w:cs="Georgia" w:eastAsia="Georgia" w:hAnsi="Georgia"/>
                <w:b w:val="1"/>
                <w:color w:val="cccccc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36"/>
                <w:szCs w:val="36"/>
                <w:rtl w:val="0"/>
              </w:rPr>
              <w:t xml:space="preserve">h</w:t>
            </w:r>
            <w:r w:rsidDel="00000000" w:rsidR="00000000" w:rsidRPr="00000000">
              <w:rPr>
                <w:rFonts w:ascii="Georgia" w:cs="Georgia" w:eastAsia="Georgia" w:hAnsi="Georgia"/>
                <w:b w:val="1"/>
                <w:i w:val="1"/>
                <w:sz w:val="21"/>
                <w:szCs w:val="21"/>
                <w:rtl w:val="0"/>
              </w:rPr>
              <w:t xml:space="preserve">max</w:t>
            </w:r>
            <w:r w:rsidDel="00000000" w:rsidR="00000000" w:rsidRPr="00000000">
              <w:rPr>
                <w:rFonts w:ascii="Georgia" w:cs="Georgia" w:eastAsia="Georgia" w:hAnsi="Georgia"/>
                <w:b w:val="1"/>
                <w:color w:val="cccccc"/>
                <w:sz w:val="36"/>
                <w:szCs w:val="36"/>
                <w:rtl w:val="0"/>
              </w:rPr>
              <w:t xml:space="preserve">=</w:t>
            </w:r>
          </w:p>
          <w:tbl>
            <w:tblPr>
              <w:tblStyle w:val="Table2"/>
              <w:tblW w:w="205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55"/>
              <w:tblGridChange w:id="0">
                <w:tblGrid>
                  <w:gridCol w:w="2055"/>
                </w:tblGrid>
              </w:tblGridChange>
            </w:tblGrid>
            <w:tr>
              <w:trPr>
                <w:cantSplit w:val="0"/>
                <w:trHeight w:val="10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jc w:val="left"/>
                    <w:rPr>
                      <w:rFonts w:ascii="Verdana" w:cs="Verdana" w:eastAsia="Verdana" w:hAnsi="Verdana"/>
                      <w:b w:val="1"/>
                      <w:color w:val="00aa33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cccccc"/>
                      <w:sz w:val="36"/>
                      <w:szCs w:val="36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1"/>
                      <w:sz w:val="36"/>
                      <w:szCs w:val="36"/>
                      <w:rtl w:val="0"/>
                    </w:rPr>
                    <w:t xml:space="preserve">u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aa33"/>
                      <w:sz w:val="21"/>
                      <w:szCs w:val="21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1"/>
                      <w:color w:val="cc0000"/>
                      <w:sz w:val="36"/>
                      <w:szCs w:val="36"/>
                      <w:rtl w:val="0"/>
                    </w:rPr>
                    <w:t xml:space="preserve">sin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cccccc"/>
                      <w:sz w:val="36"/>
                      <w:szCs w:val="36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1"/>
                      <w:sz w:val="36"/>
                      <w:szCs w:val="36"/>
                      <w:rtl w:val="0"/>
                    </w:rPr>
                    <w:t xml:space="preserve">α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color w:val="cccccc"/>
                      <w:sz w:val="36"/>
                      <w:szCs w:val="36"/>
                      <w:rtl w:val="0"/>
                    </w:rPr>
                    <w:t xml:space="preserve">))</w:t>
                  </w: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aa33"/>
                      <w:sz w:val="21"/>
                      <w:szCs w:val="21"/>
                      <w:rtl w:val="0"/>
                    </w:rPr>
                    <w:t xml:space="preserve">2</w:t>
                  </w:r>
                </w:p>
                <w:p w:rsidR="00000000" w:rsidDel="00000000" w:rsidP="00000000" w:rsidRDefault="00000000" w:rsidRPr="00000000" w14:paraId="00000042">
                  <w:pPr>
                    <w:pageBreakBefore w:val="0"/>
                    <w:jc w:val="center"/>
                    <w:rPr>
                      <w:rFonts w:ascii="Georgia" w:cs="Georgia" w:eastAsia="Georgia" w:hAnsi="Georgia"/>
                      <w:b w:val="1"/>
                      <w:i w:val="1"/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b w:val="1"/>
                      <w:color w:val="00aa33"/>
                      <w:sz w:val="36"/>
                      <w:szCs w:val="36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Georgia" w:cs="Georgia" w:eastAsia="Georgia" w:hAnsi="Georgia"/>
                      <w:b w:val="1"/>
                      <w:i w:val="1"/>
                      <w:sz w:val="36"/>
                      <w:szCs w:val="36"/>
                      <w:rtl w:val="0"/>
                    </w:rPr>
                    <w:t xml:space="preserve">g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Georgia" w:cs="Georgia" w:eastAsia="Georgia" w:hAnsi="Georg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u0 — начальная скорость тела (м/с),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α — угол, под которым брошено тело к горизонту (°),</w:t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 — ускорение свободного падения 9.81 (м/c2),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thmax — время подъема на максимальную высоту (c)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hyperlink" Target="http://engsi.ru/file/out/812419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vo.unn.ru/ovp/3.5.htm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hyperlink" Target="http://airguners.ru/article/bc.php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xn----7sbfkccucpkracijq8iofobm.xn--p1ai/%D1%81%D0%BE%D0%B2%D0%B5%D1%82%D1%81%D0%BA%D0%B0%D1%8F-%D0%B2%D0%BE%D0%B5%D0%BD%D0%BD%D0%B0%D1%8F-%D1%8D%D0%BD%D1%86%D0%B8%D0%BA%D0%BB%D0%BE%D0%BF%D0%B5%D0%B4%D0%B8%D1%8F/%D0%91/%D0%91%D0%B0%D0%BB%D0%BB%D0%B8%D1%81%D1%82%D0%B8%D1%87%D0%B5%D1%81%D0%BA%D0%B8%D0%B9-%D0%BA%D0%BE%D1%8D%D1%84%D1%84%D0%B8%D1%86%D0%B8%D0%B5%D0%BD%D1%82" TargetMode="External"/><Relationship Id="rId18" Type="http://schemas.openxmlformats.org/officeDocument/2006/relationships/image" Target="media/image4.png"/><Relationship Id="rId7" Type="http://schemas.openxmlformats.org/officeDocument/2006/relationships/hyperlink" Target="http://encyclopedia.mil.ru/encyclopedia/dictionary/details.htm?id=12622@morfDictionary" TargetMode="External"/><Relationship Id="rId8" Type="http://schemas.openxmlformats.org/officeDocument/2006/relationships/hyperlink" Target="https://www.youtube.com/watch?v=zrDVeky3n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