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B8D" w:rsidRPr="00367B83" w:rsidRDefault="00F4128E" w:rsidP="00367B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7B83">
        <w:rPr>
          <w:rFonts w:ascii="Times New Roman" w:hAnsi="Times New Roman" w:cs="Times New Roman"/>
          <w:b/>
          <w:sz w:val="28"/>
          <w:szCs w:val="28"/>
        </w:rPr>
        <w:t>3. ГОСТ на написание блок-схем.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4026"/>
        <w:gridCol w:w="7794"/>
      </w:tblGrid>
      <w:tr w:rsidR="00F4128E" w:rsidRPr="00367B83" w:rsidTr="00B42E91">
        <w:tc>
          <w:tcPr>
            <w:tcW w:w="3794" w:type="dxa"/>
            <w:vAlign w:val="center"/>
          </w:tcPr>
          <w:p w:rsidR="00F4128E" w:rsidRPr="00367B83" w:rsidRDefault="00F4128E" w:rsidP="00367B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b/>
                <w:sz w:val="28"/>
                <w:szCs w:val="28"/>
              </w:rPr>
              <w:t>Блок</w:t>
            </w:r>
          </w:p>
        </w:tc>
        <w:tc>
          <w:tcPr>
            <w:tcW w:w="4026" w:type="dxa"/>
            <w:vAlign w:val="center"/>
          </w:tcPr>
          <w:p w:rsidR="00F4128E" w:rsidRPr="00367B83" w:rsidRDefault="00F4128E" w:rsidP="00367B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b/>
                <w:sz w:val="28"/>
                <w:szCs w:val="28"/>
              </w:rPr>
              <w:t>Обозначение</w:t>
            </w:r>
          </w:p>
        </w:tc>
        <w:tc>
          <w:tcPr>
            <w:tcW w:w="7794" w:type="dxa"/>
            <w:vAlign w:val="center"/>
          </w:tcPr>
          <w:p w:rsidR="00F4128E" w:rsidRPr="00367B83" w:rsidRDefault="00F4128E" w:rsidP="00367B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4128E" w:rsidRPr="00367B83" w:rsidTr="00B42E91">
        <w:tc>
          <w:tcPr>
            <w:tcW w:w="3794" w:type="dxa"/>
          </w:tcPr>
          <w:p w:rsidR="00F4128E" w:rsidRPr="00367B83" w:rsidRDefault="00F4128E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Терминатор начала и конца работы функции</w:t>
            </w:r>
          </w:p>
        </w:tc>
        <w:tc>
          <w:tcPr>
            <w:tcW w:w="4026" w:type="dxa"/>
          </w:tcPr>
          <w:p w:rsidR="00F4128E" w:rsidRPr="00367B83" w:rsidRDefault="005D0213" w:rsidP="00367B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040465C" wp14:editId="7CD8027F">
                  <wp:extent cx="1981200" cy="14192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3964" t="-1" r="4406" b="-9558"/>
                          <a:stretch/>
                        </pic:blipFill>
                        <pic:spPr bwMode="auto">
                          <a:xfrm>
                            <a:off x="0" y="0"/>
                            <a:ext cx="1981200" cy="141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4" w:type="dxa"/>
          </w:tcPr>
          <w:p w:rsidR="00F4128E" w:rsidRPr="00367B83" w:rsidRDefault="009863A4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Терминатором начинается и заканчивается любая функция.</w:t>
            </w:r>
          </w:p>
        </w:tc>
      </w:tr>
      <w:tr w:rsidR="00F4128E" w:rsidRPr="00367B83" w:rsidTr="00B42E91">
        <w:tc>
          <w:tcPr>
            <w:tcW w:w="3794" w:type="dxa"/>
          </w:tcPr>
          <w:p w:rsidR="00F4128E" w:rsidRPr="00367B83" w:rsidRDefault="00F4128E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Операции ввода и вывода данных</w:t>
            </w:r>
          </w:p>
        </w:tc>
        <w:tc>
          <w:tcPr>
            <w:tcW w:w="4026" w:type="dxa"/>
          </w:tcPr>
          <w:p w:rsidR="00F4128E" w:rsidRPr="00367B83" w:rsidRDefault="005D0213" w:rsidP="00367B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2D47B8D" wp14:editId="3C94B9A6">
                  <wp:extent cx="1981200" cy="12477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964" r="4406"/>
                          <a:stretch/>
                        </pic:blipFill>
                        <pic:spPr bwMode="auto">
                          <a:xfrm>
                            <a:off x="0" y="0"/>
                            <a:ext cx="1981200" cy="1247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4" w:type="dxa"/>
          </w:tcPr>
          <w:p w:rsidR="00F4128E" w:rsidRPr="00367B83" w:rsidRDefault="009863A4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В ГОСТ определено множество символов ввода/вывода, например вывод на магнитные ленты, дисплеи и т.п. Если источник данных не принципиален, обычно используется символ параллелограмма. Подробности ввода/вывода могут быть указаны в комментариях.</w:t>
            </w:r>
          </w:p>
        </w:tc>
      </w:tr>
      <w:tr w:rsidR="00F4128E" w:rsidRPr="00367B83" w:rsidTr="00B42E91">
        <w:tc>
          <w:tcPr>
            <w:tcW w:w="3794" w:type="dxa"/>
          </w:tcPr>
          <w:p w:rsidR="00F4128E" w:rsidRPr="00367B83" w:rsidRDefault="00F4128E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Выполнение операций над данными</w:t>
            </w:r>
          </w:p>
        </w:tc>
        <w:tc>
          <w:tcPr>
            <w:tcW w:w="4026" w:type="dxa"/>
          </w:tcPr>
          <w:p w:rsidR="00F4128E" w:rsidRPr="00367B83" w:rsidRDefault="005D0213" w:rsidP="00367B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9D7825C" wp14:editId="7BB0C3EF">
                  <wp:extent cx="2019300" cy="14382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2304"/>
                          <a:stretch/>
                        </pic:blipFill>
                        <pic:spPr bwMode="auto">
                          <a:xfrm>
                            <a:off x="0" y="0"/>
                            <a:ext cx="2019300" cy="1438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4" w:type="dxa"/>
          </w:tcPr>
          <w:p w:rsidR="00F4128E" w:rsidRPr="00367B83" w:rsidRDefault="009863A4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В блоке операций обычно размещают одно или несколько (ГОСТ не запрещает) операций присваивания, не требующих вызова внешних функций.</w:t>
            </w:r>
          </w:p>
        </w:tc>
      </w:tr>
      <w:tr w:rsidR="00F4128E" w:rsidRPr="00367B83" w:rsidTr="00B42E91">
        <w:tc>
          <w:tcPr>
            <w:tcW w:w="3794" w:type="dxa"/>
          </w:tcPr>
          <w:p w:rsidR="00F4128E" w:rsidRPr="00367B83" w:rsidRDefault="00F4128E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Блок, иллюстрирующий ветвление алгоритма</w:t>
            </w:r>
          </w:p>
        </w:tc>
        <w:tc>
          <w:tcPr>
            <w:tcW w:w="4026" w:type="dxa"/>
          </w:tcPr>
          <w:p w:rsidR="00F4128E" w:rsidRPr="00367B83" w:rsidRDefault="005D0213" w:rsidP="00367B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21BA9A8" wp14:editId="4A485F95">
                  <wp:extent cx="1971675" cy="14001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4" w:type="dxa"/>
          </w:tcPr>
          <w:p w:rsidR="00F4128E" w:rsidRPr="00367B83" w:rsidRDefault="009863A4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Блок в виде ромба имеет один вход и несколько подписанных выходов. В случае</w:t>
            </w:r>
            <w:proofErr w:type="gramStart"/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Pr="00367B83">
              <w:rPr>
                <w:rFonts w:ascii="Times New Roman" w:hAnsi="Times New Roman" w:cs="Times New Roman"/>
                <w:sz w:val="28"/>
                <w:szCs w:val="28"/>
              </w:rPr>
              <w:t xml:space="preserve"> если блок имеет 2 выхода (соответствует оператору ветвления), на них подписывается результат сравнения — «да/нет». Если из блока выходит большее число линий (оператор выбора), внутри него записывается имя переменной, а на выходящих дугах — значения этой переменной.</w:t>
            </w:r>
          </w:p>
        </w:tc>
      </w:tr>
      <w:tr w:rsidR="00F4128E" w:rsidRPr="00367B83" w:rsidTr="00B42E91">
        <w:tc>
          <w:tcPr>
            <w:tcW w:w="3794" w:type="dxa"/>
          </w:tcPr>
          <w:p w:rsidR="00F4128E" w:rsidRPr="00367B83" w:rsidRDefault="00F4128E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Вызов внешней процедуры</w:t>
            </w:r>
          </w:p>
        </w:tc>
        <w:tc>
          <w:tcPr>
            <w:tcW w:w="4026" w:type="dxa"/>
          </w:tcPr>
          <w:p w:rsidR="00F4128E" w:rsidRPr="00367B83" w:rsidRDefault="005D0213" w:rsidP="00367B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0AEB9CC" wp14:editId="2A1AA7D8">
                  <wp:extent cx="2009775" cy="14192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242" r="3139"/>
                          <a:stretch/>
                        </pic:blipFill>
                        <pic:spPr bwMode="auto">
                          <a:xfrm>
                            <a:off x="0" y="0"/>
                            <a:ext cx="2009775" cy="141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4" w:type="dxa"/>
          </w:tcPr>
          <w:p w:rsidR="00F4128E" w:rsidRPr="00367B83" w:rsidRDefault="009863A4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Вызов внешних процедур и функций помещается в прямоугольник с дополнительными вертикальными линиями.</w:t>
            </w:r>
          </w:p>
        </w:tc>
      </w:tr>
      <w:tr w:rsidR="0000516F" w:rsidRPr="00367B83" w:rsidTr="00B42E91">
        <w:tc>
          <w:tcPr>
            <w:tcW w:w="3794" w:type="dxa"/>
          </w:tcPr>
          <w:p w:rsidR="0000516F" w:rsidRPr="0000516F" w:rsidRDefault="0000516F" w:rsidP="000051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516F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4026" w:type="dxa"/>
          </w:tcPr>
          <w:p w:rsidR="0000516F" w:rsidRPr="0000516F" w:rsidRDefault="0000516F" w:rsidP="000051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F84249" wp14:editId="2C590909">
                  <wp:extent cx="2038350" cy="12858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t="4762" r="3167" b="3401"/>
                          <a:stretch/>
                        </pic:blipFill>
                        <pic:spPr bwMode="auto">
                          <a:xfrm>
                            <a:off x="0" y="0"/>
                            <a:ext cx="2038350" cy="128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4" w:type="dxa"/>
          </w:tcPr>
          <w:p w:rsidR="0000516F" w:rsidRPr="0000516F" w:rsidRDefault="0000516F" w:rsidP="000051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516F"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  <w:t>Символ отображает данные, представленные на носителе в удобочитаемой форме (</w:t>
            </w:r>
            <w:proofErr w:type="spellStart"/>
            <w:r w:rsidRPr="0000516F"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  <w:t>машинограмма</w:t>
            </w:r>
            <w:proofErr w:type="spellEnd"/>
            <w:r w:rsidRPr="0000516F">
              <w:rPr>
                <w:rFonts w:ascii="Times New Roman" w:hAnsi="Times New Roman" w:cs="Times New Roman"/>
                <w:color w:val="2D2D2D"/>
                <w:spacing w:val="2"/>
                <w:sz w:val="28"/>
                <w:szCs w:val="28"/>
                <w:shd w:val="clear" w:color="auto" w:fill="FFFFFF"/>
              </w:rPr>
              <w:t>, документ для оптического или магнитного считывания, микрофильм, рулон ленты с итоговыми данными, бланки ввода данных).</w:t>
            </w:r>
          </w:p>
        </w:tc>
      </w:tr>
      <w:tr w:rsidR="00F4128E" w:rsidRPr="00367B83" w:rsidTr="00B42E91">
        <w:tc>
          <w:tcPr>
            <w:tcW w:w="3794" w:type="dxa"/>
          </w:tcPr>
          <w:p w:rsidR="00F4128E" w:rsidRPr="00367B83" w:rsidRDefault="00B42E91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Ручной ввод</w:t>
            </w:r>
          </w:p>
        </w:tc>
        <w:tc>
          <w:tcPr>
            <w:tcW w:w="4026" w:type="dxa"/>
          </w:tcPr>
          <w:p w:rsidR="00F4128E" w:rsidRPr="00367B83" w:rsidRDefault="00B42E91" w:rsidP="00367B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31F8C5E" wp14:editId="6C58B68E">
                  <wp:extent cx="2076450" cy="1352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3112"/>
                          <a:stretch/>
                        </pic:blipFill>
                        <pic:spPr bwMode="auto">
                          <a:xfrm>
                            <a:off x="0" y="0"/>
                            <a:ext cx="2076450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4" w:type="dxa"/>
          </w:tcPr>
          <w:p w:rsidR="00F4128E" w:rsidRPr="00367B83" w:rsidRDefault="009863A4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Символ отображает данные, вводимые вручную во время обработки с устройства любого типа.</w:t>
            </w:r>
          </w:p>
        </w:tc>
      </w:tr>
      <w:tr w:rsidR="00F4128E" w:rsidRPr="00367B83" w:rsidTr="00B42E91">
        <w:tc>
          <w:tcPr>
            <w:tcW w:w="3794" w:type="dxa"/>
          </w:tcPr>
          <w:p w:rsidR="00F4128E" w:rsidRPr="00367B83" w:rsidRDefault="00F4128E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Подготовка данных</w:t>
            </w:r>
          </w:p>
        </w:tc>
        <w:tc>
          <w:tcPr>
            <w:tcW w:w="4026" w:type="dxa"/>
          </w:tcPr>
          <w:p w:rsidR="00F4128E" w:rsidRPr="00367B83" w:rsidRDefault="005D0213" w:rsidP="00367B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9E65970" wp14:editId="7501F56D">
                  <wp:extent cx="1962150" cy="13716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2272" t="5264" r="4091"/>
                          <a:stretch/>
                        </pic:blipFill>
                        <pic:spPr bwMode="auto">
                          <a:xfrm>
                            <a:off x="0" y="0"/>
                            <a:ext cx="1962150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4" w:type="dxa"/>
          </w:tcPr>
          <w:p w:rsidR="00F4128E" w:rsidRPr="00367B83" w:rsidRDefault="009863A4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Символ «подготовка данных» в произвольной форме (в ГОСТ нет ни пояснений, ни примеров), задает входные значения. Используется обычно для задания циклов со счетчиком.</w:t>
            </w:r>
          </w:p>
        </w:tc>
      </w:tr>
      <w:tr w:rsidR="00F4128E" w:rsidRPr="00367B83" w:rsidTr="00B42E91">
        <w:tc>
          <w:tcPr>
            <w:tcW w:w="3794" w:type="dxa"/>
          </w:tcPr>
          <w:p w:rsidR="00F4128E" w:rsidRPr="00367B83" w:rsidRDefault="00F4128E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Соединитель</w:t>
            </w:r>
          </w:p>
        </w:tc>
        <w:tc>
          <w:tcPr>
            <w:tcW w:w="4026" w:type="dxa"/>
          </w:tcPr>
          <w:p w:rsidR="00F4128E" w:rsidRPr="00367B83" w:rsidRDefault="005D0213" w:rsidP="00367B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2209003" wp14:editId="76418ED7">
                  <wp:extent cx="1400175" cy="14192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5161"/>
                          <a:stretch/>
                        </pic:blipFill>
                        <pic:spPr bwMode="auto">
                          <a:xfrm>
                            <a:off x="0" y="0"/>
                            <a:ext cx="1400175" cy="141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4" w:type="dxa"/>
          </w:tcPr>
          <w:p w:rsidR="00F4128E" w:rsidRPr="00367B83" w:rsidRDefault="009863A4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В случае</w:t>
            </w:r>
            <w:proofErr w:type="gramStart"/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Pr="00367B83">
              <w:rPr>
                <w:rFonts w:ascii="Times New Roman" w:hAnsi="Times New Roman" w:cs="Times New Roman"/>
                <w:sz w:val="28"/>
                <w:szCs w:val="28"/>
              </w:rPr>
              <w:t xml:space="preserve"> если блок-схема не умещается на лист, используется символ соединителя, отражающий переход потока управления между листами. Символ может использоваться и на одном листе, если по каки</w:t>
            </w:r>
            <w:r w:rsidR="00367B83" w:rsidRPr="00367B83">
              <w:rPr>
                <w:rFonts w:ascii="Times New Roman" w:hAnsi="Times New Roman" w:cs="Times New Roman"/>
                <w:sz w:val="28"/>
                <w:szCs w:val="28"/>
              </w:rPr>
              <w:t>м-либо причинам тянуть линию не</w:t>
            </w: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удобно.</w:t>
            </w:r>
          </w:p>
        </w:tc>
      </w:tr>
      <w:tr w:rsidR="00F72E2A" w:rsidRPr="00367B83" w:rsidTr="00B42E91">
        <w:tc>
          <w:tcPr>
            <w:tcW w:w="3794" w:type="dxa"/>
          </w:tcPr>
          <w:p w:rsidR="00F72E2A" w:rsidRPr="00F72E2A" w:rsidRDefault="00F72E2A" w:rsidP="00F72E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2E2A">
              <w:rPr>
                <w:rFonts w:ascii="Times New Roman" w:hAnsi="Times New Roman" w:cs="Times New Roman"/>
                <w:sz w:val="28"/>
                <w:szCs w:val="28"/>
              </w:rPr>
              <w:t>Оперативное запоминающее устройство</w:t>
            </w:r>
          </w:p>
        </w:tc>
        <w:tc>
          <w:tcPr>
            <w:tcW w:w="4026" w:type="dxa"/>
          </w:tcPr>
          <w:p w:rsidR="00F72E2A" w:rsidRPr="00F72E2A" w:rsidRDefault="00F72E2A" w:rsidP="00F72E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F074E6" wp14:editId="3136CD9B">
                  <wp:extent cx="2009775" cy="13620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l="3084" t="5128" r="3965" b="3205"/>
                          <a:stretch/>
                        </pic:blipFill>
                        <pic:spPr bwMode="auto">
                          <a:xfrm>
                            <a:off x="0" y="0"/>
                            <a:ext cx="2009775" cy="1362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4" w:type="dxa"/>
          </w:tcPr>
          <w:p w:rsidR="00F72E2A" w:rsidRPr="00F72E2A" w:rsidRDefault="00F72E2A" w:rsidP="00F72E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2E2A">
              <w:rPr>
                <w:rFonts w:ascii="Times New Roman" w:hAnsi="Times New Roman" w:cs="Times New Roman"/>
                <w:sz w:val="28"/>
                <w:szCs w:val="28"/>
              </w:rPr>
              <w:t>Символ отображает данные, хранящиеся в оперативном запомина</w:t>
            </w:r>
            <w:bookmarkStart w:id="0" w:name="_GoBack"/>
            <w:bookmarkEnd w:id="0"/>
            <w:r w:rsidRPr="00F72E2A">
              <w:rPr>
                <w:rFonts w:ascii="Times New Roman" w:hAnsi="Times New Roman" w:cs="Times New Roman"/>
                <w:sz w:val="28"/>
                <w:szCs w:val="28"/>
              </w:rPr>
              <w:t>ющем устройстве.</w:t>
            </w:r>
          </w:p>
        </w:tc>
      </w:tr>
      <w:tr w:rsidR="00F4128E" w:rsidRPr="00367B83" w:rsidTr="00B42E91">
        <w:tc>
          <w:tcPr>
            <w:tcW w:w="3794" w:type="dxa"/>
          </w:tcPr>
          <w:p w:rsidR="00F4128E" w:rsidRPr="00367B83" w:rsidRDefault="00F4128E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4026" w:type="dxa"/>
          </w:tcPr>
          <w:p w:rsidR="00F4128E" w:rsidRPr="00367B83" w:rsidRDefault="005D0213" w:rsidP="00367B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A9C8368" wp14:editId="616A2D22">
                  <wp:extent cx="2419350" cy="13620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4" w:type="dxa"/>
          </w:tcPr>
          <w:p w:rsidR="00F4128E" w:rsidRPr="00367B83" w:rsidRDefault="009863A4" w:rsidP="00367B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B83">
              <w:rPr>
                <w:rFonts w:ascii="Times New Roman" w:hAnsi="Times New Roman" w:cs="Times New Roman"/>
                <w:sz w:val="28"/>
                <w:szCs w:val="28"/>
              </w:rPr>
              <w:t>Комментарий может быть соединен как с одним блоком, так и группой. Группа блоков выделяется на схеме пунктирной линией.</w:t>
            </w:r>
          </w:p>
        </w:tc>
      </w:tr>
    </w:tbl>
    <w:p w:rsidR="00F4128E" w:rsidRPr="00367B83" w:rsidRDefault="00F4128E" w:rsidP="00367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4128E" w:rsidRPr="00367B83" w:rsidSect="00F4128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AD"/>
    <w:rsid w:val="0000516F"/>
    <w:rsid w:val="00367B83"/>
    <w:rsid w:val="00497749"/>
    <w:rsid w:val="005D0213"/>
    <w:rsid w:val="006B25AD"/>
    <w:rsid w:val="008230A8"/>
    <w:rsid w:val="00847B8D"/>
    <w:rsid w:val="009863A4"/>
    <w:rsid w:val="00B42E91"/>
    <w:rsid w:val="00CB035C"/>
    <w:rsid w:val="00E84F98"/>
    <w:rsid w:val="00F4128E"/>
    <w:rsid w:val="00F7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1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B0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3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1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B0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2018-09-09T18:06:00Z</dcterms:created>
  <dcterms:modified xsi:type="dcterms:W3CDTF">2018-09-09T19:17:00Z</dcterms:modified>
</cp:coreProperties>
</file>