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№9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Изучить методы реинжиниринг бизнес-процессов при построении модели TO - BE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7163" cy="354007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163" cy="354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7600" cy="3667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6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Части 2 и 3.</w:t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07980" cy="37720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980" cy="37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31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822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4.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886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5.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289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Ответы на вопросы: 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С какой целью проводится реинжиниринг бизнес-процессов?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Реинжиниринг бизнес-процессов проводится если требуется сформировать новый отдел, изменить корпоративные стандарты, разработать новые инструкции, рассмотреть новые роли персонала.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0" w:after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 каким формальным признакам может проводиться реинжиниринг бизнес-процессов?</w:t>
        <w:br w:type="textWrapping"/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  <w:t xml:space="preserve">Отсутствие выходов или управление у работ;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rtl w:val="0"/>
        </w:rPr>
        <w:t xml:space="preserve">Отсутствие обратных связей.</w:t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 каким неформальным признакам может проводиться реинжиниринг бизнес-процессов?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Реинжиниринг бизнес-процессов проводится по неформальным признакам: например на основе знаний предметной области.</w:t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