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методы слияния и расщепления моделей, которые необходимы для обеспечения коллективной работы над проектом.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Отчет: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0186" cy="4753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186" cy="47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используют слияния и расщепления моделей?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Можно ли отщепить недекомпозированную работу?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отщепления ветви от модели работа не должна иметь диагональной черты в левом верхнем углу, т.е не должна быть недекомпозированной.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условия необходимо выполнить для слияния моделей?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Чтобы произвести слияние моделей необходимо выполнить следующие условия: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 сливаемые модели должны быть открыты в BPwin;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модели-источника, которое присоединяют к модели-цели, должно совпадать с именем стрелки вызова работы в модели-цели;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стрелка вызова должна исходить из недекомпозируемой работы (работа должна иметь диагональную черту в левом верхнем углу);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модель-источник должна иметь, по крайней мере, одну диаграмму декомпозиции.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Может ли стрелка вызова выходить из декомпозированной работы?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Стрелка вызова должна исходить из недекомпозируемой работы (работа должна иметь диагональную черту в левом верхнем углу)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Может ли модель-источника быть недекомпозированной?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После подтверждения слияния  модель-источник подсоединяется к модели-цели, стрелка вызова исчезает, а работа, от которой отходила стрелка вызова, становится декомпозируемой – к ней подсоединяется диаграмма декомпозиции первого уровня модели-источника.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