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Список литературы: 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Алексей Каптерев “Мастерство презентации”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Интернет ресурс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http://tilda.education/articles-how-to-create-presentation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Интернет ресурс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https://pcpro100.info/kak-sdelat-prezentatsiyu/?sign=143100618408038%2C545996134033534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Вопросы к аудитории: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три кита презентации были названы в презентации?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части презентации запомнит аудитория?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Каковы главные принципы презентации?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необходимо поддерживать в аудитории на протяжении всего выступления?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чего лучше начать создавать презентацию?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ilda.education/articles-how-to-create-presentation" TargetMode="External"/><Relationship Id="rId7" Type="http://schemas.openxmlformats.org/officeDocument/2006/relationships/hyperlink" Target="https://pcpro100.info/kak-sdelat-prezentatsiyu/?sign=143100618408038%2C5459961340335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