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Лабораторная работа №6. </w:t>
        <w:br w:type="textWrapping"/>
        <w:t xml:space="preserve">Чтобы затраты были минимальными, необходимо из пункта 1 двигаться в пункт 4, оттуда в пункт 7, далее  в пункты 10 и 11.</w:t>
        <w:br w:type="textWrapping"/>
      </w:r>
      <w:r w:rsidDel="00000000" w:rsidR="00000000" w:rsidRPr="00000000">
        <w:rPr/>
        <w:drawing>
          <wp:inline distB="114300" distT="114300" distL="114300" distR="114300">
            <wp:extent cx="7440113" cy="509159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5852" l="-23036" r="-22910" t="16140"/>
                    <a:stretch>
                      <a:fillRect/>
                    </a:stretch>
                  </pic:blipFill>
                  <pic:spPr>
                    <a:xfrm>
                      <a:off x="0" y="0"/>
                      <a:ext cx="7440113" cy="5091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6" w:w="16838" w:orient="landscape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