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№17. Викторина.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Одна из самых консервативных частей футбольных правил — та, в которой описывается футбольное поле. Последнее изменение в неё было внесено в 1937 году и добавляло ещё один элемент разметки. Какой именно?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Центральный круг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Дуги у угловых флажков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Дугу у штрафной площади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Одиннадцатиметровую отметку.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 правилах ФИФА содержится классификация мячей по размерам. Сколько размеров мячей официально используется для разных видов соревнований?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Три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Пять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Семь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Девять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Представьте себе ситуацию: игрок удаляется с поля до фактического начала матча. Например, за нападение на футболиста команды соперников при выходе из раздевалки. Как регламентируется правилами подобная ситуация?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Игрок удаляется без права замены. То есть его команда начинает матч в меньшинстве.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Игрок удаляется, но его можно заменить. При этом количество замен уменьшится на одну.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Игрок удаляется, но его можно заменить. При этом количество замен сохраняется.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Какое удаление? Матч же ещё не начался. Игроку делается устное предупреждение и игра начинается в обычном режиме.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Не секрет, что почти всё, что в футбольных правилах связано с размерами, «растёт» из ярдов и футов, то есть из английской системы мер. Особенно красиво в этой связи выглядит размер футбольных ворот: ширина и высота у них на самом деле одинаковые по значению. Но только ширина берётся в ярдах, а высота — в футах. А чему равно значение?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7 ярдов на 7 футов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8 ярдов на 8 футов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9 ярдов на 9 футов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10 ярдов на 10 футов.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Поговорим о том, что вызывает обычно массу споров — о положении «вне игры». По правилам, игрок атакующей команды находится в положении «вне игры», если в момент передачи мяча он находится к воротам команды соперника ближе, чем все её полевые игроки. Однако иногда такая позиция не считается нарушением правил и игра должна быть продолжена. Когда именно?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атакующий игрок получает мяч непосредственно после ввода мяча руками из-за боковой.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атакующий игрок получает мяч непосредственно после удара от ворот.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атакующий игрок получает мяч непосредственно после углового удара.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 каждом из трёх вышеперечисленных случаев.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Игрока удалили с поля. Что он должен сделать?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Покинуть поле и больше на него не выходить.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Покинуть поле, сесть на скамейку запасных и не подниматься с неё до окончания матча.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Покинуть поле и любое прилегающее к нему пространство, включая технические зоны, скамейки запасных и трибуны.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Покинуть поле и отправиться к столику инспектора матча, который фиксирует удаление и проводит воспитательную беседу.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Представим себе фантастическую ситуацию: команда прямым ударом со штрафного (при участии, например, удивительного по силе и направлению порыва ветра) забивает гол в свои ворота. Какими должны быть действия судьи?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Гол не засчитывать. Команде соперников предоставить право на угловой удар.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 засчитывать. Продолжить игру ударом пропустившей гол команды с центра поля.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 не засчитывать. Предоставить команде право на повторное пробитие штрафного удара.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 засчитывать. После чего прервать матч и увести команду в раздевалку в связи с неблагоприятными погодным условиями.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Ну и последний вопрос про последнюю возможную стадию футбольного матча — послематчевые пенальти. Каким образом определяются ворота, в которые будет производиться серия послематчевых 11-метровых?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Ворота определяются главным судьёй перед началом матча.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Ворота определяются главным судьёй по окончании дополнительного времени.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Ворота определяются жребием. Жребий бросают капитаны команд.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Ворота определяются жребием. Жребий бросают вратари команд.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