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3225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3225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3225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3225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322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95850" cy="3619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Теоретические вопросы: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Вопрос 5: Приведите список 10 наиболее распространенных типовых конфигураций на платформе 1С-предприятие 8.3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Программа «1С:Бухгалтерия»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Программа«1С:Зарплата и управление персоналом» («1С:ЗУП»)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Программа «1С:Управление торговлей» («1С:УТ»)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Программа «1С:Розница»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Программа «1С:CRM» («1С:CRM»)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Программа «1С:Управление нашей фирмой» («1С:УНФ»)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Программа «1С:Документооборот» («1С:ДО»)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Программа «1С:ERP Управление предприятием 2» («1С:ERP»)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Программа «1С:Управление холдингом» («1С:УХ»)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Программа «1С:Корпорация»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Вопрос 7: В каких режимах могут работать конфигурации на платформе 1Спредприятие 8.3?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 В пользовательском режиме, а также в режиме исполнения и режиме конфигуратора. Изменения  разработка, т.е описание и создании конфигурации в режиме Конфигуратор, и исполнение - обработка данных предметной области. в режиме 1С:Предприятие.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Вопрос 12: Зачем нужен объект конфигурации Подсистема?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 Подсистемы позволяют структурировать конфигурацию по видам решаемых с ее помощью задач. При создании новых объектов можно "привязывать" их к подсистемам в зависимости от их предназначения. Использование подсистем облегчает работу с большими конфигурациями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Вопрос 20: Какие стандартные реквизиты и с какими параметрами заданы для любого справочника?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 Стандартные реквизиты: код, ссылка, наименование.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rPr>
        <w:i w:val="1"/>
      </w:rPr>
    </w:pPr>
    <w:r w:rsidDel="00000000" w:rsidR="00000000" w:rsidRPr="00000000">
      <w:rPr>
        <w:i w:val="1"/>
        <w:rtl w:val="0"/>
      </w:rPr>
      <w:t xml:space="preserve">Логинова Софья Андреевна 2 группа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