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6. Протокол TCP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HTTP (HyperText Transfer Protocol</w:t>
      </w:r>
      <w:r w:rsidDel="00000000" w:rsidR="00000000" w:rsidRPr="00000000">
        <w:rPr>
          <w:sz w:val="28"/>
          <w:szCs w:val="28"/>
          <w:rtl w:val="0"/>
        </w:rPr>
        <w:t xml:space="preserve">) — это основная схема для WWW. В схеме указывается ее идентификатор, адрес машины, TCP порт, путь в директории сервера, поисковый критерий и метка.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Заголовки HTTP (англ. HTTP Headers)</w:t>
      </w:r>
      <w:r w:rsidDel="00000000" w:rsidR="00000000" w:rsidRPr="00000000">
        <w:rPr>
          <w:sz w:val="28"/>
          <w:szCs w:val="28"/>
          <w:rtl w:val="0"/>
        </w:rPr>
        <w:t xml:space="preserve"> — это строки в HTTP-сообщении, содержащие разделённую двоеточием пару имя-значение. Формат заголовков соответствует общему формату заголовков текстовых сетевых сообщений ARPA. Заголовки должны отделяться от тела сообщения хотя бы одной пустой строкой.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заголовки разделяются на четыре основных группы: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General Headers (рус. Основные заголовки) — должны включаться в любое сообщение клиента и сервера.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Headers (рус. Заголовки запроса) — используются только в запросах клиента.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Response Headers (рус. Заголовки ответа) — только для ответов от сервера.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Entity Headers (рус. Заголовки сущности) — сопровождают каждую сущность сообщения.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Именно в таком порядке рекомендуется посылать заголовки получателю.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Доменное имя</w:t>
      </w:r>
      <w:r w:rsidDel="00000000" w:rsidR="00000000" w:rsidRPr="00000000">
        <w:rPr>
          <w:sz w:val="28"/>
          <w:szCs w:val="28"/>
          <w:rtl w:val="0"/>
        </w:rPr>
        <w:t xml:space="preserve">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 таких областей называется доме́ном. Общее пространство имён Интернета функционирует благодаря DNS — системе доменных имён. Доменные имена дают возможность адресации интернет-узлов и расположенным на них сетевым ресурсам (веб-сайтам, серверам электронной почты, другим службам) быть представленными в удобной для человека форме.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является протоколом с установлением соединения. Перед пересылкой любого трафика протокол с установлением соединения согласовывает и настраивает постоянное соединение (или сеанс) между устройством источника и устройством назначения. Сеанс позволяет устройствам согласовать объем трафика, который можно переслать в заданный момент времени, а также тщательно контролировать передачу данных между этими двумя устройствами.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