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Лекция 2. Технические средства информационных технологий.</w:t>
      </w:r>
    </w:p>
    <w:p w:rsidR="00000000" w:rsidDel="00000000" w:rsidP="00000000" w:rsidRDefault="00000000" w:rsidRPr="00000000" w14:paraId="00000002">
      <w:pPr>
        <w:pageBreakBefore w:val="0"/>
        <w:spacing w:after="0" w:before="200" w:line="360" w:lineRule="auto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Технические средства (хентика)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совокупность средств человеческой деятельности создаваемых и используемых для осуществления процессов производства и обслуживания непроизводственных потребностей общества.</w:t>
      </w:r>
    </w:p>
    <w:p w:rsidR="00000000" w:rsidDel="00000000" w:rsidP="00000000" w:rsidRDefault="00000000" w:rsidRPr="00000000" w14:paraId="00000003">
      <w:pPr>
        <w:pageBreakBefore w:val="0"/>
        <w:spacing w:after="0" w:before="200" w:line="360" w:lineRule="auto"/>
        <w:ind w:left="0" w:firstLine="0"/>
        <w:jc w:val="left"/>
        <w:rPr>
          <w:sz w:val="28"/>
          <w:szCs w:val="28"/>
        </w:rPr>
        <w:sectPr>
          <w:pgSz w:h="16838" w:w="11906" w:orient="portrait"/>
          <w:pgMar w:bottom="850.3937007874016" w:top="850.3937007874016" w:left="850.3937007874016" w:right="850.3937007874016" w:header="720" w:footer="720"/>
          <w:pgNumType w:start="1"/>
        </w:sectPr>
      </w:pPr>
      <w:r w:rsidDel="00000000" w:rsidR="00000000" w:rsidRPr="00000000">
        <w:rPr>
          <w:i w:val="1"/>
          <w:sz w:val="28"/>
          <w:szCs w:val="28"/>
          <w:rtl w:val="0"/>
        </w:rPr>
        <w:t xml:space="preserve">Основное назначение техники: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облегчение и повышение уровня эффективности трудовых усилий человека;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расширение его возможностей в процессе трудовой деятельности;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освобождение (полное или частичное) человека от работы в условиях, опасных для здоровья.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Классификация, учитывающая назначение техники: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доступность;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машины и механизмы;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приспособления и инструменты.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Автоматы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sz w:val="28"/>
          <w:szCs w:val="28"/>
          <w:rtl w:val="0"/>
        </w:rPr>
        <w:t xml:space="preserve"> устройства, самостоятельно, под управлением некоторой программы, выполняющими ряд заданных операций.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left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Выполнение вычислений предполагает: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восприятие и фиксацию исходных чисел;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выполнение действий над ними (арифметических операций) с кратковременным (оперативным) хранением промежуточных результатов;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before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(представление) итоговых значений.</w:t>
      </w:r>
    </w:p>
    <w:p w:rsidR="00000000" w:rsidDel="00000000" w:rsidP="00000000" w:rsidRDefault="00000000" w:rsidRPr="00000000" w14:paraId="00000010">
      <w:pPr>
        <w:pageBreakBefore w:val="0"/>
        <w:spacing w:after="0" w:before="200"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Функциональная группировка технических средств: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организационной техники;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коммуникационной техники;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средства вычислительной (компьютерной) техники.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shd w:fill="ead1dc" w:val="clear"/>
          <w:rtl w:val="0"/>
        </w:rPr>
        <w:t xml:space="preserve">Компьютерная техника</w:t>
      </w:r>
      <w:r w:rsidDel="00000000" w:rsidR="00000000" w:rsidRPr="00000000">
        <w:rPr>
          <w:sz w:val="28"/>
          <w:szCs w:val="28"/>
          <w:rtl w:val="0"/>
        </w:rPr>
        <w:t xml:space="preserve"> включает в себя различные виды автоматических средств выполнения разнообразной обработки информации.</w:t>
      </w:r>
    </w:p>
    <w:p w:rsidR="00000000" w:rsidDel="00000000" w:rsidP="00000000" w:rsidRDefault="00000000" w:rsidRPr="00000000" w14:paraId="00000015">
      <w:pPr>
        <w:pageBreakBefore w:val="0"/>
        <w:spacing w:after="0"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Жизненный цикл комплекса технических средств: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состава (проектирование) комплекса технических средств;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установка комплекса технических средств;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after="0" w:afterAutospacing="0" w:line="36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эксплуатация комплекса технических средств;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эффективности функционирования комплекса технических средств и принятие решения о его модернизации.</w:t>
      </w:r>
    </w:p>
    <w:p w:rsidR="00000000" w:rsidDel="00000000" w:rsidP="00000000" w:rsidRDefault="00000000" w:rsidRPr="00000000" w14:paraId="0000001A">
      <w:pPr>
        <w:pageBreakBefore w:val="0"/>
        <w:spacing w:after="0" w:line="360" w:lineRule="auto"/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Стадии функционирования технических средств: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517612" cy="55406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198"/>
                    <a:stretch>
                      <a:fillRect/>
                    </a:stretch>
                  </pic:blipFill>
                  <pic:spPr>
                    <a:xfrm>
                      <a:off x="0" y="0"/>
                      <a:ext cx="2517612" cy="5540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50.3937007874016" w:top="1417.3228346456694" w:left="850.3937007874016" w:right="850.3937007874016" w:header="720" w:footer="720"/>
      <w:cols w:equalWidth="0" w:num="1">
        <w:col w:space="0" w:w="10204.7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