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Лекция 4.2. Средства коммуникационной техники.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i w:val="1"/>
          <w:shd w:fill="ead1dc" w:val="clear"/>
          <w:rtl w:val="0"/>
        </w:rPr>
        <w:t xml:space="preserve">Радиотелефоны</w:t>
      </w:r>
      <w:r w:rsidDel="00000000" w:rsidR="00000000" w:rsidRPr="00000000">
        <w:rPr>
          <w:rtl w:val="0"/>
        </w:rPr>
        <w:t xml:space="preserve"> – это телефонные аппараты, имеющие обычную проводную связь с телефонной АТС, в которых шнур к телефонной трубке заменен на радиолинию.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Дальность действия их составляет от ста метров до нескольких километров. Внутри помещений, особенно при металлических перегородках (в гаражах, например), и вне помещений при наличии объемных радио – экранирующих конструкций, железобетонных зданий и сооружений дальность действия их может существенно снижаться.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i w:val="1"/>
          <w:shd w:fill="ead1dc" w:val="clear"/>
          <w:rtl w:val="0"/>
        </w:rPr>
        <w:t xml:space="preserve">Локальные системы</w:t>
      </w:r>
      <w:r w:rsidDel="00000000" w:rsidR="00000000" w:rsidRPr="00000000">
        <w:rPr>
          <w:rtl w:val="0"/>
        </w:rPr>
        <w:t xml:space="preserve"> применяются на территории одного предприятия или организации и используют, как правило, низкочастотные радиоканалы (антенна в этом случае представляет собой петлевой вибратор, охватывающий только территорию предприятия и не создающий радиопомех вне этой территории).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i w:val="1"/>
          <w:shd w:fill="ead1dc" w:val="clear"/>
          <w:rtl w:val="0"/>
        </w:rPr>
        <w:t xml:space="preserve">Региональные системы</w:t>
      </w:r>
      <w:r w:rsidDel="00000000" w:rsidR="00000000" w:rsidRPr="00000000">
        <w:rPr>
          <w:rtl w:val="0"/>
        </w:rPr>
        <w:t xml:space="preserve"> используют высокочастотные каналы, работающие в диапазоне нескольких десятков и сотен мегагерц, и охватывают значительно большие территории. Высокочастотные системы бывают двухсторонними (аналог радиотелефонной связи), но чаще всего односторонними.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i w:val="1"/>
          <w:shd w:fill="ead1dc" w:val="clear"/>
          <w:rtl w:val="0"/>
        </w:rPr>
        <w:t xml:space="preserve">Телеграфные сети</w:t>
      </w:r>
      <w:r w:rsidDel="00000000" w:rsidR="00000000" w:rsidRPr="00000000">
        <w:rPr>
          <w:rtl w:val="0"/>
        </w:rPr>
        <w:t xml:space="preserve">, к числу которых относятся: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внутригосударственная сеть общего пользования для передачи телеграмм между отделениями телеграфной связи (ОП);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внутригосударственная сеть, предназначенная для телеграфной связи между различными предприятиями и организациями (АТ50);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международная сеть телеграфной связи общего пользования между отделениями связи нашей страны и зарубежных стран;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международная телеграфная сеть для передачи сообщений между предприятиями и организациями во всем мире (TELEX – teleprinter exchange service). 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Под факсимильной связью</w:t>
      </w:r>
      <w:r w:rsidDel="00000000" w:rsidR="00000000" w:rsidRPr="00000000">
        <w:rPr>
          <w:sz w:val="28"/>
          <w:szCs w:val="28"/>
          <w:rtl w:val="0"/>
        </w:rPr>
        <w:t xml:space="preserve"> понимают метод передачи на расстояние графической и буквенно-цифрово</w:t>
      </w:r>
      <w:r w:rsidDel="00000000" w:rsidR="00000000" w:rsidRPr="00000000">
        <w:rPr>
          <w:rtl w:val="0"/>
        </w:rPr>
        <w:t xml:space="preserve">й информации, а также рукописных сообщений с воспроизведением на приним</w:t>
      </w:r>
      <w:r w:rsidDel="00000000" w:rsidR="00000000" w:rsidRPr="00000000">
        <w:rPr>
          <w:sz w:val="28"/>
          <w:szCs w:val="28"/>
          <w:rtl w:val="0"/>
        </w:rPr>
        <w:t xml:space="preserve">ающем устройстве в форме, аналогичной переданной.</w:t>
      </w:r>
    </w:p>
    <w:p w:rsidR="00000000" w:rsidDel="00000000" w:rsidP="00000000" w:rsidRDefault="00000000" w:rsidRPr="00000000" w14:paraId="0000000C">
      <w:pPr>
        <w:pageBreakBefore w:val="0"/>
        <w:spacing w:after="0" w:before="200" w:line="36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Факсимиле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– </w:t>
      </w:r>
      <w:r w:rsidDel="00000000" w:rsidR="00000000" w:rsidRPr="00000000">
        <w:rPr>
          <w:sz w:val="28"/>
          <w:szCs w:val="28"/>
          <w:rtl w:val="0"/>
        </w:rPr>
        <w:t xml:space="preserve">точное воспроизведение фиксированного плоского изображения на твердом носителе (чаще всего бумаге) фотоэлектрическим способом.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