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5. Средства вычислительной техники.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Средства вычислительной техники возникли и развивались в ответ на потребности человеческого общества в счете сначала в торговле, а затем в научной деятельности. Они прошли свой собственный путь развития от простейших счетных приспособлений (кучек однотипных предметов) до сложнейших компьютерных комплексов нашего времени.</w:t>
      </w:r>
    </w:p>
    <w:p w:rsidR="00000000" w:rsidDel="00000000" w:rsidP="00000000" w:rsidRDefault="00000000" w:rsidRPr="00000000" w14:paraId="00000003">
      <w:pPr>
        <w:pageBreakBefore w:val="0"/>
        <w:spacing w:after="0" w:before="200" w:line="360" w:lineRule="auto"/>
        <w:ind w:left="0" w:firstLine="0"/>
        <w:jc w:val="both"/>
        <w:rPr>
          <w:sz w:val="28"/>
          <w:szCs w:val="28"/>
        </w:rPr>
        <w:sectPr>
          <w:pgSz w:h="16838" w:w="11906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Существуют различные классификации компьютерной техники: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этапам развития (по поколениям);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условиям эксплуатации: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универсальные;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специальные.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производительности: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микрокомпьютеры: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spacing w:after="0" w:afterAutospacing="0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микроконтроллеры;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after="0" w:afterAutospacing="0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персональные компьютеры.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мини-компьютеры;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мэйнфреймы (универсальные компьютеры);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суперкомпьютеры.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потребительским свойствам.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Микроконтроллер</w:t>
      </w:r>
      <w:r w:rsidDel="00000000" w:rsidR="00000000" w:rsidRPr="00000000">
        <w:rPr>
          <w:i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это основанное на микропроцессоре специализированное устройство, встраиваемое в систему управления или технологическую линию.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Персональные компьютеры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собой вычислительные системы, все ресурсы которых полностью направлены на обеспечение деятельности одного рабочего места.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Мини-компьютер и супермини-компьютер</w:t>
      </w:r>
      <w:r w:rsidDel="00000000" w:rsidR="00000000" w:rsidRPr="00000000">
        <w:rPr>
          <w:i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машины, конструктивно выполненные в одной стойке, т. е. занимающие объем порядка половины кубометра.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Мэйнфреймы</w:t>
      </w:r>
      <w:r w:rsidDel="00000000" w:rsidR="00000000" w:rsidRPr="00000000">
        <w:rPr>
          <w:sz w:val="28"/>
          <w:szCs w:val="28"/>
          <w:rtl w:val="0"/>
        </w:rPr>
        <w:t xml:space="preserve"> – это  многопользовательские вычислительные системы, имеющие центральный блок с большой вычислительной мощностью и значительными информационными ресурсами, к которому подсоединяется большое количество рабочих мест с минимальной оснащенностью.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Суперкомпьютеры</w:t>
      </w:r>
      <w:r w:rsidDel="00000000" w:rsidR="00000000" w:rsidRPr="00000000">
        <w:rPr>
          <w:sz w:val="28"/>
          <w:szCs w:val="28"/>
          <w:rtl w:val="0"/>
        </w:rPr>
        <w:t xml:space="preserve"> представляют собой вычислительные системы с предельными характеристиками вычислительной мощности и информационных ресурсов.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Любой IBM РС-совместимый компьютер представляет собой реализацию так называемой фон-неймановской архитектуры вычислительных машин. Эта архитектура была представлена Джорджем фон Нейманом еще в 1945 г.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состав персонального компьютера </w:t>
      </w:r>
      <w:r w:rsidDel="00000000" w:rsidR="00000000" w:rsidRPr="00000000">
        <w:rPr>
          <w:sz w:val="28"/>
          <w:szCs w:val="28"/>
          <w:rtl w:val="0"/>
        </w:rPr>
        <w:t xml:space="preserve">как правило входят: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системный блок;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клавиатура;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видеомонитор;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манипулятор «мышь»;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 печати.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0"/>
        <w:jc w:val="both"/>
        <w:rPr>
          <w:i w:val="1"/>
          <w:sz w:val="28"/>
          <w:szCs w:val="28"/>
          <w:shd w:fill="ead1dc" w:val="clear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Глобальная (крупномасштабная) вычислительная сеть WAN (Wide Area Network) </w:t>
      </w:r>
      <w:r w:rsidDel="00000000" w:rsidR="00000000" w:rsidRPr="00000000">
        <w:rPr>
          <w:sz w:val="28"/>
          <w:szCs w:val="28"/>
          <w:rtl w:val="0"/>
        </w:rPr>
        <w:t xml:space="preserve">представляет собой множество географически удаленных друг от друга компьютеров, совместное взаимодействие которых обеспечивается  коммуникационной сетью передачи данных и сетевым программным обеспечением.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Интернет</w:t>
      </w:r>
      <w:r w:rsidDel="00000000" w:rsidR="00000000" w:rsidRPr="00000000">
        <w:rPr>
          <w:sz w:val="28"/>
          <w:szCs w:val="28"/>
          <w:rtl w:val="0"/>
        </w:rPr>
        <w:t xml:space="preserve"> – вычислительная сеть, объединяющая миллионы компьютеров по всему миру, фактически является конгломератом многих глобальных, региональных, университетских и учрежденческих сетей, а также сетей коммерческих фирм (провайдеров), которые предоставляют доступ к Интернету индивидуальным клиентам.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Локальные вычислительные сети (ЛВС)</w:t>
      </w:r>
      <w:r w:rsidDel="00000000" w:rsidR="00000000" w:rsidRPr="00000000">
        <w:rPr>
          <w:sz w:val="28"/>
          <w:szCs w:val="28"/>
          <w:rtl w:val="0"/>
        </w:rPr>
        <w:t xml:space="preserve"> или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LAN (Local Area Network)</w:t>
      </w:r>
      <w:r w:rsidDel="00000000" w:rsidR="00000000" w:rsidRPr="00000000">
        <w:rPr>
          <w:sz w:val="28"/>
          <w:szCs w:val="28"/>
          <w:rtl w:val="0"/>
        </w:rPr>
        <w:t xml:space="preserve">, обеспечивают взаимодействие небольшого количества однородных компьютеров на небольшой территории, имеют по сравнению с WAN менее развитую архитектуру и используют более простые методы управления взаимодействием узлов сети.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internet</w:t>
      </w:r>
      <w:r w:rsidDel="00000000" w:rsidR="00000000" w:rsidRPr="00000000">
        <w:rPr>
          <w:sz w:val="28"/>
          <w:szCs w:val="28"/>
          <w:rtl w:val="0"/>
        </w:rPr>
        <w:t xml:space="preserve"> –  локальная или региональная сетевая среда, объединенная с помощью средств маршрутизации, которые управляют пересылкой данных на основе общего пространства логических адресов узлов, т. е. обеспечения основных сетевых сервисов Интернета в пределах локальной или региональной сети.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intranet</w:t>
      </w:r>
      <w:r w:rsidDel="00000000" w:rsidR="00000000" w:rsidRPr="00000000">
        <w:rPr>
          <w:sz w:val="28"/>
          <w:szCs w:val="28"/>
          <w:rtl w:val="0"/>
        </w:rPr>
        <w:t xml:space="preserve"> – изолированное пределами одной организации обеспечение сетевого доступа к общим данным при поддержке их разделения между отдельными подразделениями.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extranet</w:t>
      </w:r>
      <w:r w:rsidDel="00000000" w:rsidR="00000000" w:rsidRPr="00000000">
        <w:rPr>
          <w:sz w:val="28"/>
          <w:szCs w:val="28"/>
          <w:rtl w:val="0"/>
        </w:rPr>
        <w:t xml:space="preserve"> –  сетевое объединение нескольких организаций, обеспечивающее прямой доступ к приложениям каждой из сторон.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Городские (региональные) сети</w:t>
      </w:r>
      <w:r w:rsidDel="00000000" w:rsidR="00000000" w:rsidRPr="00000000">
        <w:rPr>
          <w:sz w:val="28"/>
          <w:szCs w:val="28"/>
          <w:rtl w:val="0"/>
        </w:rPr>
        <w:t xml:space="preserve"> (или сети мегаполисов) –</w:t>
      </w: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 Metropolitan Area Networks (MAN)</w:t>
      </w:r>
      <w:r w:rsidDel="00000000" w:rsidR="00000000" w:rsidRPr="00000000">
        <w:rPr>
          <w:sz w:val="28"/>
          <w:szCs w:val="28"/>
          <w:rtl w:val="0"/>
        </w:rPr>
        <w:t xml:space="preserve"> используют цифровые магистральные линии связи, часто оптоволоконные, со скоростями от 45 Мбит/с, и предназначены для связи локальных сетей в масштабах города и соединения локальных сетей с глобальными.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.3937007874016" w:top="1417.3228346456694" w:left="850.3937007874016" w:right="850.3937007874016" w:header="720" w:footer="720"/>
      <w:cols w:equalWidth="0" w:num="1">
        <w:col w:space="0" w:w="10204.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