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юзабилити-тестирования Aliexpress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Бриф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Сайт:</w:t>
      </w:r>
      <w:r w:rsidDel="00000000" w:rsidR="00000000" w:rsidRPr="00000000">
        <w:rPr>
          <w:rtl w:val="0"/>
        </w:rPr>
        <w:t xml:space="preserve"> Сайт интернет-магазина различных категорий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https://best.aliexpress.ru/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Проанализировать, насколько корректными и понятными являются категории продуктов на сайте. (Пользователи находят продукт в той категории, которую выбирают первой).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Исполняющие: </w:t>
      </w:r>
      <w:r w:rsidDel="00000000" w:rsidR="00000000" w:rsidRPr="00000000">
        <w:rPr>
          <w:rtl w:val="0"/>
        </w:rPr>
        <w:t xml:space="preserve">Елкина Галина, Логинова Софья, Чернявка Никита, Шульман Эмиль.</w:t>
        <w:br w:type="textWrapping"/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Методы: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Юзабилити-тестирование в формате “thick aloud” (пользователя просят вслух комментировать все свои действия).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Опросник субъективной удовлетворенности.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Задания: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Пожалуйста, при выполнении заданий не пользуйтесь полем быстрого поиска.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Метрики: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Время выполнения каждого задания (с момента, когда пользователь прочитал задание и приступил к выполнению до момента нажатия кнопки “в корзину”);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Количество удачных/неудачных попаданий в категорию для каждого задания;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Количество выполненных/невыполненных заданий.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Задание 1.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Необходимо найти и положить в корзину робот-пылесос Xiaomi с бесплатной доставкой. 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2.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Необходимо собрать полноценный костюм на Хэллоуин, используя только графу “похожие товары”. 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3.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Необходимо найти и положить в корзину чехол на телефон Galaxy S20 FE. 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4.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Необходимо найти и положить в корзину flash-накопитель на 32GB в Tmall.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выполнения задания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найден робот-пылесос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фирма Xiaomi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доставка бесплатная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товар положен в корзину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найдены все нужные детали костюма (по 1 “баллу” за каждую деталь одежды):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головной убор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верх костюма (кофта, майка и тд)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низ костюма (штаны, юбка и тд)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обувь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были использованы только “рекомендованные” или “похожие” товары (исключая поиск в категориях, кроме первоначальной вещи)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товары оказались в корзине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3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найден чехол на телефон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фирма телефона Samsung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модель телефона Galaxy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“номер” модели S20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“серия” - FE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товар положен в корзину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4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найден флеш-накопитель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размер флешки 32Гб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магазин Tmail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товар оказался в корзине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st.aliexpres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