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В чем состоит суть разделения общественного труда в первобытном обществе?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Первое разделение труда:</w:t>
      </w:r>
      <w:r w:rsidDel="00000000" w:rsidR="00000000" w:rsidRPr="00000000">
        <w:rPr>
          <w:rtl w:val="0"/>
        </w:rPr>
        <w:br w:type="textWrapping"/>
        <w:tab/>
        <w:t xml:space="preserve">Приручение и одомашнивание человеком диких животных, а также сознательное выращивание полезных растений означали не только победу человека в борьбе за физиологическое выживание (поскольку разрывалась прямая зависимость человека от природных и климатических условий), но и являлись причиной начавшегося расслоения общества, так как в результате единая социальная организация распадается на несколько относительно самостоятельных подгрупп: земледельцев, скотоводов, охотников и т. д.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Появляются предпосылки для возникновения права собственности, которое понимается как право владеть, пользоваться и распоряжаться определенным имуществом и является одним из важнейших субъективных прав.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Второе разделение труда: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Появление ремесел и разделение человеческого общества на тех, кто производит орудия труда, и тех, кто этими орудиями пользуется. Переход от универсальной системы жизнеобеспечения к специализированной характеризуется тем, что люди начинают производить такие вещи, которые непосредственно для самих производителей жизненно важного значения не имеют, а изготавливаются с единственной целью – обменять на другие предметы труда, необходимые в хозяйстве.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Третье разделение труда: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Выделение из социальной среды особой группы людей, которые своим основным занятием избрали посредническую деятельность между производителями орудий труда и их пользователями. Процесс товарного обмена представлял целую отрасль общественно полезной деятельности.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