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Содержание правовой нормы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shd w:fill="d9ead3" w:val="clear"/>
          <w:rtl w:val="0"/>
        </w:rPr>
        <w:t xml:space="preserve">Гипотеза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f2cc" w:val="clear"/>
          <w:rtl w:val="0"/>
        </w:rPr>
        <w:t xml:space="preserve">диспозиция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4cccc" w:val="clear"/>
          <w:rtl w:val="0"/>
        </w:rPr>
        <w:t xml:space="preserve">санкция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pacing w:after="0" w:lineRule="auto"/>
        <w:ind w:left="283.464566929133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Ст. 215 Уголовного кодекса РФ: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shd w:fill="d9ead3" w:val="clear"/>
          <w:rtl w:val="0"/>
        </w:rPr>
        <w:t xml:space="preserve">Нарушение правил безопасности при размещении, проектировании, строительстве и эксплуатации объектов атомной энергетики,</w:t>
      </w:r>
      <w:r w:rsidDel="00000000" w:rsidR="00000000" w:rsidRPr="00000000">
        <w:rPr>
          <w:shd w:fill="fff2cc" w:val="clear"/>
          <w:rtl w:val="0"/>
        </w:rPr>
        <w:t xml:space="preserve"> если это могло повлечь смерть человека или радиоактивное заражение окружающей среды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shd w:fill="f4cccc" w:val="clear"/>
          <w:rtl w:val="0"/>
        </w:rPr>
        <w:t xml:space="preserve">наказывается штрафом в размере до двух тысяч рублей или в размере заработной платы или иного дохода осужденного за период до восемнадцати месяцев, либо ограничением свободы на срок до трех лет, либо принудительными работами до трех лет, с лишением права занимать определенные должности или заниматься определенной деятельностью на срок до трех лет или без такового,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lineRule="auto"/>
        <w:ind w:left="283.464566929133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Статья 192. Трудового кодекса РФ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ind w:left="0" w:firstLine="0"/>
        <w:jc w:val="both"/>
        <w:rPr>
          <w:shd w:fill="f4cccc" w:val="clear"/>
        </w:rPr>
      </w:pPr>
      <w:r w:rsidDel="00000000" w:rsidR="00000000" w:rsidRPr="00000000">
        <w:rPr>
          <w:shd w:fill="fff2cc" w:val="clear"/>
          <w:rtl w:val="0"/>
        </w:rPr>
        <w:t xml:space="preserve">За совершение дисциплинарного проступка, то есть неисполнение или ненадлежащее исполнение работником по его вине возложенных на него трудовых обязанностей,</w:t>
      </w:r>
      <w:r w:rsidDel="00000000" w:rsidR="00000000" w:rsidRPr="00000000">
        <w:rPr>
          <w:shd w:fill="f4cccc" w:val="clear"/>
          <w:rtl w:val="0"/>
        </w:rPr>
        <w:t xml:space="preserve"> работодатель имеет право применить следующие дисциплинарные взыскания: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замечание;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выговор;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увольнение по соответствующим основаниям.</w:t>
      </w:r>
    </w:p>
    <w:p w:rsidR="00000000" w:rsidDel="00000000" w:rsidP="00000000" w:rsidRDefault="00000000" w:rsidRPr="00000000" w14:paraId="0000000A">
      <w:pPr>
        <w:pageBreakBefore w:val="0"/>
        <w:spacing w:after="0" w:lineRule="auto"/>
        <w:ind w:left="0" w:firstLine="0"/>
        <w:jc w:val="both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Федеральными законами, уставами и положениями о дисциплине для отдельных категорий работников могут быть предусмотрены также и другие дисциплинарные взыскания.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lineRule="auto"/>
        <w:ind w:left="283.464566929133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Статья 572 Гражданского кодекса РФ (извлечение)</w:t>
      </w:r>
    </w:p>
    <w:p w:rsidR="00000000" w:rsidDel="00000000" w:rsidP="00000000" w:rsidRDefault="00000000" w:rsidRPr="00000000" w14:paraId="0000000C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shd w:fill="d9ead3" w:val="clear"/>
          <w:rtl w:val="0"/>
        </w:rPr>
        <w:t xml:space="preserve">Обещание подарить все свое имущество или часть всего своего имущества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без указания на конкретный предмет дарения в виде вещи, права или освобождения от обязанности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4cccc" w:val="clear"/>
          <w:rtl w:val="0"/>
        </w:rPr>
        <w:t xml:space="preserve">ничтожно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lineRule="auto"/>
        <w:ind w:left="283.464566929133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Статья 21 Конституции РФ. (для 2 главы Конституции РФ действует одна гипотеза «‎Если некто является человеком», далее следуют диспозиции)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Достоинство личности охраняется государством. Ничто не может быть основанием для его умаления.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Никто не должен подвергаться пыткам, насилию, другому жестокому или унижающему человеческое достоинство обращению или наказанию. Никто не может быть без добровольного согласия подвергнут медицинским, научным или иным опытам.</w:t>
      </w:r>
    </w:p>
    <w:p w:rsidR="00000000" w:rsidDel="00000000" w:rsidP="00000000" w:rsidRDefault="00000000" w:rsidRPr="00000000" w14:paraId="00000011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3.4645669291337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