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Вариативное задание №5.1. Электронные ресурсы. Перечень стандартов при разработке ПО, спецификаций и прочей документации: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54593-2011. Информационные технологии. Свободное программное обеспечение. Общие положения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ИСО/МЭК ТО 9294-93.</w:t>
          <w:tab/>
          <w:t xml:space="preserve">Информационная технология. Руководство по управлению документированием программного обеспечения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ИСО/МЭК 15026-1-2016.</w:t>
          <w:tab/>
          <w:t xml:space="preserve">Системная и программная инженерия. Гарантирование систем и программного обеспечения. Часть 1. Понятия и словарь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56921-2016</w:t>
          <w:tab/>
          <w:t xml:space="preserve">Системная и программная инженерия. Тестирование программного обеспечения. Часть 2. Процессы тестирования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56922-2016</w:t>
          <w:tab/>
          <w:t xml:space="preserve">Системная и программная инженерия. Тестирование программного обеспечения. Часть 3. Документация тестирования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ИСО/МЭК 15026-4-2016.</w:t>
          <w:tab/>
          <w:t xml:space="preserve">Системная и программная инженерия. Гарантирование систем и программного обеспечения. Часть 4. Гарантии жизненного цикла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57193-2016.</w:t>
          <w:tab/>
          <w:t xml:space="preserve">Системная и программная инженерия. Процессы жизненного цикла систем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ИСО/МЭК ТО 9294-93</w:t>
          <w:tab/>
          <w:t xml:space="preserve">Информационная технология. Руководство по управлению документированием программного обеспечения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ИСО/МЭК 18045-2013. Информационная технология. Методы и средства обеспечения безопасности. Методология оценки безопасности информационных технологий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ГОСТ Р ИСО/МЭК 33001-2017.</w:t>
          <w:tab/>
          <w:t xml:space="preserve">Информационные технологии. Оценка процесса. Понятия и терминология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ODk2AAdfX0VPRl9f" TargetMode="External"/><Relationship Id="rId10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E4AAdfX0VPRl9f" TargetMode="External"/><Relationship Id="rId13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NTMxAAdfX0VPRl9f" TargetMode="External"/><Relationship Id="rId12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1OTQ4AAdfX0VPRl9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E5AAdfX0VPRl9f" TargetMode="External"/><Relationship Id="rId15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NzA3AAdfX0VPRl9f" TargetMode="External"/><Relationship Id="rId14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ODIzAAdfX0VPRl9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4NzE4AAdfX0VPRl9f" TargetMode="External"/><Relationship Id="rId7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NTMxAAdfX0VPRl9f" TargetMode="External"/><Relationship Id="rId8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xODk4AAdfX0VPRl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