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Co-inhabiting the dry line — deliverables &amp; goals</w:t>
      </w:r>
    </w:p>
    <w:p>
      <w:pPr>
        <w:spacing w:after="120" w:before="80"/>
      </w:pPr>
      <w:r>
        <w:rPr>
          <w:i/>
          <w:iCs/>
          <w:color w:val="555555"/>
          <w:sz w:val="20"/>
          <w:szCs w:val="20"/>
        </w:rPr>
        <w:t xml:space="preserve">Candasnos · Barranco de Valcuerna · Los Monegros. Reference species: Iberian lynx. What each panel item argues (its goal) and where it stands.</w:t>
      </w:r>
    </w:p>
    <w:p>
      <w:pPr>
        <w:spacing w:after="120" w:before="80"/>
      </w:pPr>
      <w:r>
        <w:rPr>
          <w:i/>
          <w:iCs/>
          <w:color w:val="777777"/>
          <w:sz w:val="17"/>
          <w:szCs w:val="17"/>
        </w:rPr>
        <w:t xml:space="preserve">Status key: Data = analysis complete, compose in QGIS · Staged/Draft = built, needs design/edit · Needs 2 m DEM = blocked on the fine terrain data.</w:t>
      </w:r>
    </w:p>
    <w:p>
      <w:pPr>
        <w:pStyle w:val="Heading2"/>
      </w:pPr>
      <w:r>
        <w:t xml:space="preserve">Panel A0-1 — Context &amp; Territory (§3–§4)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76"/>
        <w:gridCol w:w="200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 — what it argues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3.1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 the study area is a link in a Spain-wide ecological corridor network, not an isolated site; locate it and highlight the corridor running through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(confirm name)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3.2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Place the work area among its Cataluña–Aragón regional territorial units and the connections it serves.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3.3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 and quantify (ID, name, ha) the protected Natura 2000 cores the corridor must reconnect.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3.4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Expose exactly where the corridor breaks (canals, roads, rail) and which protected sites are cut off.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4.1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Draw the water skeleton, foregrounding the dry Barranco de Valcuerna as the spine to reactivate.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4.2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 the substrate — gypsum/mudstone badlands and saladas — that governs growth and erosion.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4.3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 where runoff and erosion concentrate and where floods reach, to target water-harvesting.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4.4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 human pressure and the barriers that fragment the corridor; catalogue the crossings (14 of 16 open cuts).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4.5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Replace generic land cover with the real agricultural fabric — permeable dryland vs hostile irrigated crops.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4.6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Prove the real woody/scrub/natural cover so habitat is evidenced, not overstated.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4.x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 the public cañada network as the no-expropriation backbone for corridor, hedgerows and ecotourism.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</w:tbl>
    <w:p>
      <w:pPr>
        <w:pStyle w:val="Heading2"/>
      </w:pPr>
      <w:r>
        <w:t xml:space="preserve">Panel A0-2 — Diagnosis &amp; Strategy (§5–§6)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76"/>
        <w:gridCol w:w="200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 — what it argues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5.1a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 where lynx and its rabbit prey can actually live — core cover, the shared ecotone, and the hostile matrix.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Upgrading (WorldCover 10 m)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5.1b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Narrate the lynx's journey along the corridor as classified views — analysis becomes a story.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5.1c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Cut sections showing terrain change and tree/scrub heights, so the corridor reads in section.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Needs 2 m DEM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5.2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landscape friction, trace the least-cost corridor, validate against WWF, locate bottlenecks.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6a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Assemble the strategy: reactivate the Valcuerna spine and stitch fragments with low-cost public-land interventions.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Staged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6b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 the regenerative feedback loop that makes the restoration self-sustaining and fundable.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6c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Argue each intervention type in section, each with its case for public spending.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</w:t>
            </w:r>
          </w:p>
        </w:tc>
      </w:tr>
    </w:tbl>
    <w:p>
      <w:pPr>
        <w:pStyle w:val="Heading2"/>
      </w:pPr>
      <w:r>
        <w:t xml:space="preserve">Panel A0-3 — Interventions &amp; Time (§7–§8)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76"/>
        <w:gridCol w:w="200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 — what it argues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Detail five representative sites (1:5000), existing vs proposed in plan + section.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Needs 2 m DEM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8a/8b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 cohabitation unfolding over time — barranco, fauna and people across phases.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Sections need 2 m DEM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8c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 the process correctly (surface runoff · sheet → rill → gully) and target the fix.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8d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Specify the low-tech method: rock-detention (check dams / one-rock dams / gully plugs) + seed pelleting + flood-timed sowing.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8e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Give a verified native xeroriparian palette × month, arid-honest and deep-rooted.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</w:t>
            </w:r>
          </w:p>
        </w:tc>
      </w:tr>
    </w:tbl>
    <w:p>
      <w:pPr>
        <w:pStyle w:val="Heading2"/>
      </w:pPr>
      <w:r>
        <w:t xml:space="preserve">Cross-cutting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676"/>
        <w:gridCol w:w="200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 — what it argues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4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A4 text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Tell the whole arid-honest cohabitation story and make the stakeholder/funding case in words.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Panels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Assemble the maps into three A0 panels + bound A3 dossier at 300 dpi.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Compose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5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the title (La Espina Seca / El Pulso del Barranco / Contrato Valcuerna).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Sonya</w:t>
            </w:r>
          </w:p>
        </w:tc>
      </w:tr>
    </w:tbl>
    <w:p>
      <w:pPr>
        <w:pBdr>
          <w:top w:val="single" w:color="3A5A40" w:sz="6" w:space="6"/>
        </w:pBdr>
        <w:spacing w:before="220"/>
      </w:pPr>
      <w:r>
        <w:rPr>
          <w:b/>
          <w:bCs/>
          <w:sz w:val="20"/>
          <w:szCs w:val="20"/>
        </w:rPr>
        <w:t xml:space="preserve">Bottom line: </w:t>
      </w:r>
      <w:r>
        <w:rPr>
          <w:color w:val="333333"/>
          <w:sz w:val="20"/>
          <w:szCs w:val="20"/>
        </w:rPr>
        <w:t xml:space="preserve">the GIS analysis for §3–§5 is data-complete. The hard blockers are the 2 m DEM + LiDAR (5.1c, §7, §8 sections) and composition (turning 33 styled layers into the panels). The rest is Sonya's design decisions.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LANDSCAPE / Co-inhabiting — deliverables &amp; goals   ·   p.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2E40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A5A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2026-07-05T19:30:00.402Z</dcterms:created>
  <dcterms:modified xsi:type="dcterms:W3CDTF">2026-07-05T19:30:00.402Z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