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Knowledge Content Health — and Beyond</w:t>
      </w:r>
    </w:p>
    <w:p>
      <w:pPr>
        <w:spacing w:after="160"/>
      </w:pPr>
      <w:r>
        <w:rPr>
          <w:b w:val="false"/>
          <w:bCs w:val="false"/>
          <w:i/>
          <w:iCs/>
        </w:rPr>
        <w:t xml:space="preserve">From content health to the end-customer outcome — an accurate, easy-to-consume answer on every channel</w:t>
      </w:r>
    </w:p>
    <w:p>
      <w:pPr>
        <w:spacing w:after="160"/>
      </w:pPr>
      <w:r>
        <w:rPr>
          <w:b w:val="false"/>
          <w:bCs w:val="false"/>
          <w:i w:val="false"/>
          <w:iCs w:val="false"/>
        </w:rPr>
        <w:t xml:space="preserve">July 2026 · Version 2.2</w:t>
      </w:r>
    </w:p>
    <w:p>
      <w:pPr>
        <w:pStyle w:val="Heading2"/>
      </w:pPr>
      <w:r>
        <w:t xml:space="preserve">The broader vision: the customer’s outcome</w:t>
      </w:r>
    </w:p>
    <w:p>
      <w:pPr>
        <w:spacing w:after="160"/>
      </w:pPr>
      <w:r>
        <w:rPr>
          <w:b w:val="false"/>
          <w:bCs w:val="false"/>
          <w:i w:val="false"/>
          <w:iCs w:val="false"/>
        </w:rPr>
        <w:t xml:space="preserve">The vision is bigger than any single support team. It is about the end customer who reaches out to support and needs their problem solved. Content health is the input that makes the answer accurate; it is not the goal. The goal is the customer’s resolved query — reached on whatever channel they used, and understood using the intelligence we already have about their problem.</w:t>
      </w:r>
    </w:p>
    <w:p>
      <w:pPr>
        <w:spacing w:after="160"/>
      </w:pPr>
      <w:r>
        <w:rPr>
          <w:i/>
          <w:iCs/>
        </w:rPr>
        <w:t xml:space="preserve">Figure 1 — The broader vision: every customer who reaches support gets an accurate, easy-to-consume answer, on any channel, understood through existing intelligence.</w:t>
      </w:r>
    </w:p>
    <w:p>
      <w:pPr>
        <w:spacing w:after="160"/>
      </w:pPr>
      <w:r>
        <w:rPr>
          <w:b/>
          <w:bCs/>
          <w:i w:val="false"/>
          <w:iCs w:val="false"/>
        </w:rPr>
        <w:t xml:space="preserve">North Star. </w:t>
      </w:r>
      <w:r>
        <w:rPr>
          <w:b w:val="false"/>
          <w:bCs w:val="false"/>
          <w:i w:val="false"/>
          <w:iCs w:val="false"/>
        </w:rPr>
        <w:t xml:space="preserve">Every customer who reaches support gets an accurate, easy-to-consume answer — understood through the intelligence we already have, delivered on their channel, and made better by every question that came before.</w:t>
      </w:r>
    </w:p>
    <w:p>
      <w:pPr>
        <w:spacing w:after="160"/>
      </w:pPr>
      <w:r>
        <w:rPr>
          <w:b w:val="false"/>
          <w:bCs w:val="false"/>
          <w:i w:val="false"/>
          <w:iCs w:val="false"/>
        </w:rPr>
        <w:t xml:space="preserve">Reframed around the customer, the same loop reads as a five-step journey (Figure 1): the customer reaches out; we understand their problem; we resolve it accurately; we deliver it easy to consume on their channel; and the outcome — plus the ask itself — feeds the next answer.</w:t>
      </w:r>
    </w:p>
    <w:p>
      <w:pPr>
        <w:pStyle w:val="Heading3"/>
      </w:pPr>
      <w:r>
        <w:t xml:space="preserve">Understand the problem — reuse the intelligence we already have</w:t>
      </w:r>
    </w:p>
    <w:p>
      <w:pPr>
        <w:spacing w:after="160"/>
      </w:pPr>
      <w:r>
        <w:rPr>
          <w:b w:val="false"/>
          <w:bCs w:val="false"/>
          <w:i w:val="false"/>
          <w:iCs w:val="false"/>
        </w:rPr>
        <w:t xml:space="preserve">We do not start from a blank page. Existing intelligence already carries context about the customer’s situation — existing work-context signals, the customer discovery context (voice, notes, case) gathered at the point of contact, and case and product telemetry. Using these to understand the problem before we search means the system retrieves the right answer for this customer’s environment and symptoms, not a generic article. The design principle is simple: reuse the intelligence we already have — don’t rebuild it.</w:t>
      </w:r>
    </w:p>
    <w:p>
      <w:pPr>
        <w:pStyle w:val="Heading3"/>
      </w:pPr>
      <w:r>
        <w:t xml:space="preserve">One accurate answer, every channel</w:t>
      </w:r>
    </w:p>
    <w:p>
      <w:pPr>
        <w:spacing w:after="160"/>
      </w:pPr>
      <w:r>
        <w:rPr>
          <w:b w:val="false"/>
          <w:bCs w:val="false"/>
          <w:i w:val="false"/>
          <w:iCs w:val="false"/>
        </w:rPr>
        <w:t xml:space="preserve">The answer has to be both accurate and easy to consume, and it has to arrive on the channel the customer chose — spoken on a phone call, structured in a support case, concise in self-serve, or grounded for an AI agent. The knowledge loop produces one grounded, cited answer; the delivery layer shapes it to the channel. Accuracy is non-negotiable — every answer traceable to an authoritative source — while ease-of-consumption is what makes it actually resolve the query rather than merely appear.</w:t>
      </w:r>
    </w:p>
    <w:p>
      <w:pPr>
        <w:pStyle w:val="Heading3"/>
      </w:pPr>
      <w:r>
        <w:t xml:space="preserve">Insight into what customers ask</w:t>
      </w:r>
    </w:p>
    <w:p>
      <w:pPr>
        <w:spacing w:after="160"/>
      </w:pPr>
      <w:r>
        <w:rPr>
          <w:b w:val="false"/>
          <w:bCs w:val="false"/>
          <w:i w:val="false"/>
          <w:iCs w:val="false"/>
        </w:rPr>
        <w:t xml:space="preserve">Every customer ask is a signal. Aggregated, customer questions reveal what people actually need — the trending intents, the recurring gaps, the “no answer found” moments. That insight is the demand side of the loop: it tells us which content to create or fix next, ranked by how many customers it will resolve. The customer’s question is not just a query to answer once — it is the input that sharpens every future answer.</w:t>
      </w:r>
    </w:p>
    <w:p>
      <w:pPr>
        <w:spacing w:after="160"/>
      </w:pPr>
      <w:r>
        <w:rPr>
          <w:b/>
          <w:bCs/>
          <w:i w:val="false"/>
          <w:iCs w:val="false"/>
        </w:rPr>
        <w:t xml:space="preserve">Open idea. </w:t>
      </w:r>
      <w:r>
        <w:rPr>
          <w:b w:val="false"/>
          <w:bCs w:val="false"/>
          <w:i w:val="false"/>
          <w:iCs w:val="false"/>
        </w:rPr>
        <w:t xml:space="preserve">Add mechanisms that crawl community portals to learn which questions are being asked on a weekly basis, then scan the existing knowledge corpus: if adequate content exists, verify it; if not, create new content or update existing content that addresses the emerging FAQ. Where the question relates to a product release, route a notification to the product team.</w:t>
      </w:r>
    </w:p>
    <w:p>
      <w:pPr>
        <w:pStyle w:val="Heading2"/>
      </w:pPr>
      <w:r>
        <w:t xml:space="preserve">What changed in this version</w:t>
      </w:r>
    </w:p>
    <w:p>
      <w:pPr>
        <w:spacing w:after="160"/>
      </w:pPr>
      <w:r>
        <w:rPr>
          <w:b/>
          <w:bCs/>
          <w:i w:val="false"/>
          <w:iCs w:val="false"/>
        </w:rPr>
        <w:t xml:space="preserve">Alignment with the next-generation knowledge vision.</w:t>
      </w:r>
    </w:p>
    <w:p>
      <w:pPr>
        <w:pStyle w:val="Heading2"/>
      </w:pPr>
      <w:r>
        <w:t xml:space="preserve">The thesis, in one line</w:t>
      </w:r>
    </w:p>
    <w:p>
      <w:pPr>
        <w:spacing w:after="160"/>
      </w:pPr>
      <w:r>
        <w:rPr>
          <w:b w:val="false"/>
          <w:bCs w:val="false"/>
          <w:i w:val="false"/>
          <w:iCs w:val="false"/>
        </w:rPr>
        <w:t xml:space="preserve">Context turns raw content into the </w:t>
      </w:r>
      <w:r>
        <w:rPr>
          <w:b/>
          <w:bCs/>
          <w:i w:val="false"/>
          <w:iCs w:val="false"/>
        </w:rPr>
        <w:t xml:space="preserve">correct</w:t>
      </w:r>
      <w:r>
        <w:rPr>
          <w:b w:val="false"/>
          <w:bCs w:val="false"/>
          <w:i w:val="false"/>
          <w:iCs w:val="false"/>
        </w:rPr>
        <w:t xml:space="preserve"> content; correct content resolves the customer; resolution reduces the next touch. The next-generation vision names the same chain from the other end: </w:t>
      </w:r>
      <w:r>
        <w:rPr>
          <w:b/>
          <w:bCs/>
          <w:i w:val="false"/>
          <w:iCs w:val="false"/>
        </w:rPr>
        <w:t xml:space="preserve">resolution is the new unit of value.</w:t>
      </w:r>
    </w:p>
    <w:p>
      <w:pPr>
        <w:spacing w:after="160"/>
      </w:pPr>
      <w:r>
        <w:rPr>
          <w:b w:val="false"/>
          <w:bCs w:val="false"/>
          <w:i w:val="false"/>
          <w:iCs w:val="false"/>
        </w:rPr>
        <w:t xml:space="preserve">The planning notes worked the problem as a sequence of questions — why customers want content, how it is created, why they still reach out, and whether coverage matches demand. Read together, those are the four stages of one continuous loop. The vision makes the same move explicitly: it reframes knowledge “from a static content repository into a self-evolving, AI-native operating system.”</w:t>
      </w:r>
    </w:p>
    <w:p>
      <w:pPr>
        <w:pStyle w:val="Heading2"/>
      </w:pPr>
      <w:r>
        <w:t xml:space="preserve">The framework at a glance</w:t>
      </w:r>
    </w:p>
    <w:p>
      <w:pPr>
        <w:spacing w:after="160"/>
      </w:pPr>
      <w:r>
        <w:rPr>
          <w:b w:val="false"/>
          <w:bCs w:val="false"/>
          <w:i w:val="false"/>
          <w:iCs w:val="false"/>
        </w:rPr>
        <w:t xml:space="preserve">Under the customer-facing vision sits the engine: a closed loop with four stages. Customer Demand tells us what content is needed; Coverage measures whether we actually have it; Supply creates and maintains it; and Impact measures what the content moved — which reshapes Demand. Coverage sits between Demand and Supply as the hinge.</w:t>
      </w:r>
    </w:p>
    <w:p>
      <w:pPr>
        <w:spacing w:after="160"/>
      </w:pPr>
      <w:r>
        <w:rPr>
          <w:i/>
          <w:iCs/>
        </w:rPr>
        <w:t xml:space="preserve">Figure 2 — The closed-loop content health model. Coverage / Gap Rate is the hinge between demand and supply.</w:t>
      </w:r>
    </w:p>
    <w:p>
      <w:pPr>
        <w:pStyle w:val="Heading2"/>
      </w:pPr>
      <w:r>
        <w:t xml:space="preserve">The causal spine</w:t>
      </w:r>
    </w:p>
    <w:p>
      <w:pPr>
        <w:spacing w:after="160"/>
      </w:pPr>
      <w:r>
        <w:rPr>
          <w:b w:val="false"/>
          <w:bCs w:val="false"/>
          <w:i w:val="false"/>
          <w:iCs w:val="false"/>
        </w:rPr>
        <w:t xml:space="preserve">Before the stages, there is a spine that everything hangs on:</w:t>
      </w:r>
    </w:p>
    <w:p>
      <w:pPr>
        <w:spacing w:after="160"/>
      </w:pPr>
      <w:r>
        <w:rPr>
          <w:b/>
          <w:bCs/>
          <w:i w:val="false"/>
          <w:iCs w:val="false"/>
        </w:rPr>
        <w:t xml:space="preserve">Context → Correct Content → Resolution → Fewer Touches</w:t>
      </w:r>
    </w:p>
    <w:p>
      <w:pPr>
        <w:spacing w:after="160"/>
      </w:pPr>
      <w:r>
        <w:rPr>
          <w:b w:val="false"/>
          <w:bCs w:val="false"/>
          <w:i w:val="false"/>
          <w:iCs w:val="false"/>
        </w:rPr>
        <w:t xml:space="preserve">Content alone does not resolve anything — context is what turns a pile of articles into the one correct answer for this customer, in this situation. This is exactly why the intelligence layer matters: work-context signals and the customer discovery context are how the system gets the context right. The vision reaches the same conclusion from the cost side: a human routing every question means cost scales with volume and hits a hard ceiling, and “knowledge is scattered and often stale.”</w:t>
      </w:r>
    </w:p>
    <w:p>
      <w:pPr>
        <w:pStyle w:val="Heading2"/>
      </w:pPr>
      <w:r>
        <w:t xml:space="preserve">A supply-and-demand system</w:t>
      </w:r>
    </w:p>
    <w:p>
      <w:pPr>
        <w:spacing w:after="160"/>
      </w:pPr>
      <w:r>
        <w:rPr>
          <w:b w:val="false"/>
          <w:bCs w:val="false"/>
          <w:i w:val="false"/>
          <w:iCs w:val="false"/>
        </w:rPr>
        <w:t xml:space="preserve">The clearest way to read the engine is as an economy with two sides and a bridge between them.</w:t>
      </w:r>
    </w:p>
    <w:p>
      <w:pPr>
        <w:pStyle w:val="Heading3"/>
      </w:pPr>
      <w:r>
        <w:t xml:space="preserve">The demand side</w:t>
      </w:r>
    </w:p>
    <w:p>
      <w:pPr>
        <w:spacing w:after="160"/>
      </w:pPr>
      <w:r>
        <w:rPr>
          <w:b w:val="false"/>
          <w:bCs w:val="false"/>
          <w:i w:val="false"/>
          <w:iCs w:val="false"/>
        </w:rPr>
        <w:t xml:space="preserve">The demand stage begins with the end customer’s ask on any channel, enriched by existing intelligence — work-context signals and the customer discovery context — so the problem is understood before content is searched. Aggregated, these asks are the most-asked questions, the content surfaced during a contact, and the cases handled by autonomous or assisted agents. There is also an upstream demand signal most systems ignore: the product change itself (New Product Introduction) — covered on its own below.</w:t>
      </w:r>
    </w:p>
    <w:p>
      <w:pPr>
        <w:pStyle w:val="Heading3"/>
      </w:pPr>
      <w:r>
        <w:t xml:space="preserve">The supply side</w:t>
      </w:r>
    </w:p>
    <w:p>
      <w:pPr>
        <w:spacing w:after="160"/>
      </w:pPr>
      <w:r>
        <w:rPr>
          <w:b w:val="false"/>
          <w:bCs w:val="false"/>
          <w:i w:val="false"/>
          <w:iCs w:val="false"/>
        </w:rPr>
        <w:t xml:space="preserve">How content comes into being and stays alive: the Managed Content → SME → Evergreen pipeline, case notes, New Product Introduction and product-team contributions, and community content. The model formalizes this as the Knowledge Asset Lifecycle and assigns a tool to each phase.</w:t>
      </w:r>
    </w:p>
    <w:p>
      <w:pPr>
        <w:pStyle w:val="Heading3"/>
      </w:pPr>
      <w:r>
        <w:t xml:space="preserve">The bridge</w:t>
      </w:r>
    </w:p>
    <w:p>
      <w:pPr>
        <w:spacing w:after="160"/>
      </w:pPr>
      <w:r>
        <w:rPr>
          <w:b w:val="false"/>
          <w:bCs w:val="false"/>
          <w:i w:val="false"/>
          <w:iCs w:val="false"/>
        </w:rPr>
        <w:t xml:space="preserve">Coverage is where supply is tested against demand. The table below maps each stage to the question it answers and the signals that measure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460"/>
      </w:tblGrid>
      <w:tr>
        <w:tc>
          <w:tcPr>
            <w:tcW w:type="dxa" w:w="15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Stage</w:t>
            </w:r>
          </w:p>
        </w:tc>
        <w:tc>
          <w:tcPr>
            <w:tcW w:type="dxa" w:w="3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Question it answers</w:t>
            </w:r>
          </w:p>
        </w:tc>
        <w:tc>
          <w:tcPr>
            <w:tcW w:type="dxa" w:w="44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Primary signals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1 · Demand</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Why does the customer reach out?</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Customer asks by channel; work-context + discovery context; most-asked questions; agent-handled cases</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2 · Coverage</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Do we have the content they need?</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Coverage Rate; Gap Rate; the Demand ↔ Supply match</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3 · Supply</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Who creates and maintains it?</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Managed Content → SME → Evergreen; case notes; New Product Introduction / product team; Community</w:t>
            </w:r>
          </w:p>
        </w:tc>
      </w:tr>
      <w:tr>
        <w:tc>
          <w:tcPr>
            <w:tcW w:type="dxa" w:w="15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4 · Impact</w:t>
            </w:r>
          </w:p>
        </w:tc>
        <w:tc>
          <w:tcPr>
            <w:tcW w:type="dxa" w:w="3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Did the customer’s problem get solved?</w:t>
            </w:r>
          </w:p>
        </w:tc>
        <w:tc>
          <w:tcPr>
            <w:tcW w:type="dxa" w:w="44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Resolution across channels; deflection; AHT / TTC; CSAT</w:t>
            </w:r>
          </w:p>
        </w:tc>
      </w:tr>
    </w:tbl>
    <w:p>
      <w:pPr>
        <w:pStyle w:val="Heading2"/>
      </w:pPr>
      <w:r>
        <w:t xml:space="preserve">The hinge: Coverage Rate and Gap Rate</w:t>
      </w:r>
    </w:p>
    <w:p>
      <w:pPr>
        <w:spacing w:after="160"/>
      </w:pPr>
      <w:r>
        <w:rPr>
          <w:b w:val="false"/>
          <w:bCs w:val="false"/>
          <w:i w:val="false"/>
          <w:iCs w:val="false"/>
        </w:rPr>
        <w:t xml:space="preserve">This deserves to be the centerpiece. Coverage Rate answers “of what customers are asking, how much do we have good content for?” Its inverse, the Gap Rate, is the share of customer demand with no adequate content behind it. In this model the measurement frame is the primary self-serve surfaces, and the case-associated asset log turns coverage from a guess into a query: high-value assets — and the gaps between them — can be pulled by business unit / line of business / product category, date range, or surface. That converts a vague “write more articles” into a ranked, demand-weighted backlog. If the program instruments one thing first, it should be this hinge; that measurement is, in effect, the content-health dashboard.</w:t>
      </w:r>
    </w:p>
    <w:p>
      <w:pPr>
        <w:pStyle w:val="Heading2"/>
      </w:pPr>
      <w:r>
        <w:t xml:space="preserve">The metric ladder: leading → lagging</w:t>
      </w:r>
    </w:p>
    <w:p>
      <w:pPr>
        <w:spacing w:after="160"/>
      </w:pPr>
      <w:r>
        <w:rPr>
          <w:b w:val="false"/>
          <w:bCs w:val="false"/>
          <w:i w:val="false"/>
          <w:iCs w:val="false"/>
        </w:rPr>
        <w:t xml:space="preserve">The metrics form a causal ladder. Read left to right: fix the leading indicator and the lagging one follows. Reporting them in this order turns a metrics dump into an argument.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5060"/>
      </w:tblGrid>
      <w:tr>
        <w:tc>
          <w:tcPr>
            <w:tcW w:type="dxa" w:w="19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Metric</w:t>
            </w:r>
          </w:p>
        </w:tc>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Role</w:t>
            </w:r>
          </w:p>
        </w:tc>
        <w:tc>
          <w:tcPr>
            <w:tcW w:type="dxa" w:w="50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Why it sits here</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Gap Rate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Leading indicator</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Unmet customer demand you can see today — the earliest warning that the loop is slipping.</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Deflection Rate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Mechanism</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How much demand self-serves once coverage improves — the lever between content and cost.</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AHT / TTC</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Efficiency</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Effort to resolve what still reaches an agent — falls as the right content is found faster.</w:t>
            </w:r>
          </w:p>
        </w:tc>
      </w:tr>
      <w:tr>
        <w:tc>
          <w:tcPr>
            <w:tcW w:type="dxa" w:w="19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CSAT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Experience (lagging)</w:t>
            </w:r>
          </w:p>
        </w:tc>
        <w:tc>
          <w:tcPr>
            <w:tcW w:type="dxa" w:w="50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How the resolution felt for the customer — the outcome that follows once the upstream metrics move.</w:t>
            </w:r>
          </w:p>
        </w:tc>
      </w:tr>
    </w:tbl>
    <w:p>
      <w:pPr>
        <w:spacing w:after="160"/>
      </w:pPr>
      <w:r>
        <w:rPr>
          <w:b/>
          <w:bCs/>
          <w:i w:val="false"/>
          <w:iCs w:val="false"/>
        </w:rPr>
        <w:t xml:space="preserve">The discipline this enforces: </w:t>
      </w:r>
      <w:r>
        <w:rPr>
          <w:b w:val="false"/>
          <w:bCs w:val="false"/>
          <w:i w:val="false"/>
          <w:iCs w:val="false"/>
        </w:rPr>
        <w:t xml:space="preserve">do not celebrate a CSAT move without a Gap-Rate move behind it. A lagging metric that improves without its leading driver is either noise or borrowed from elsewhere in the system.</w:t>
      </w:r>
    </w:p>
    <w:p>
      <w:pPr>
        <w:pStyle w:val="Heading2"/>
      </w:pPr>
      <w:r>
        <w:t xml:space="preserve">From model to operating system</w:t>
      </w:r>
    </w:p>
    <w:p>
      <w:pPr>
        <w:spacing w:after="160"/>
      </w:pPr>
      <w:r>
        <w:rPr>
          <w:b w:val="false"/>
          <w:bCs w:val="false"/>
          <w:i w:val="false"/>
          <w:iCs w:val="false"/>
        </w:rPr>
        <w:t xml:space="preserve">The next-generation architecture describes a seven-step flow — case request, ask questions, discover, evolve, publish knowledge, distill/compile/publish, and retrieve — that is the same loop rendered as an agentic operating system. Figure 3 maps each stage of the model onto the platform capabilities.</w:t>
      </w:r>
    </w:p>
    <w:p>
      <w:pPr>
        <w:spacing w:after="160"/>
      </w:pPr>
      <w:r>
        <w:rPr>
          <w:i/>
          <w:iCs/>
        </w:rPr>
        <w:t xml:space="preserve">Figure 3 — The four loop stages, realized as concrete next-generation capabilities, over the knowledge operating system.</w:t>
      </w:r>
    </w:p>
    <w:p>
      <w:pPr>
        <w:spacing w:after="160"/>
      </w:pPr>
      <w:r>
        <w:rPr>
          <w:b w:val="false"/>
          <w:bCs w:val="false"/>
          <w:i w:val="false"/>
          <w:iCs w:val="false"/>
        </w:rPr>
        <w:t xml:space="preserve">The alignment is summarized as:</w:t>
      </w:r>
    </w:p>
    <w:p>
      <w:pPr>
        <w:pStyle w:val="ListParagraph"/>
        <w:numPr>
          <w:ilvl w:val="0"/>
          <w:numId w:val="2"/>
        </w:numPr>
        <w:spacing w:after="160"/>
      </w:pPr>
      <w:r>
        <w:rPr>
          <w:b/>
          <w:bCs/>
          <w:i w:val="false"/>
          <w:iCs w:val="false"/>
        </w:rPr>
        <w:t xml:space="preserve">Demand — </w:t>
      </w:r>
      <w:r>
        <w:rPr>
          <w:b w:val="false"/>
          <w:bCs w:val="false"/>
          <w:i w:val="false"/>
          <w:iCs w:val="false"/>
        </w:rPr>
        <w:t xml:space="preserve">The customer’s ask on any channel, understood via work-context + discovery context; case-associated asset logging; AI background search; plus the upstream product/code change (New Product Introduction). Capabilities: work-context signals; customer discovery context; the primary self-serve surfaces; guided diagnostic case; the support assistant; engineering code-change listener.</w:t>
      </w:r>
    </w:p>
    <w:p>
      <w:pPr>
        <w:pStyle w:val="ListParagraph"/>
        <w:numPr>
          <w:ilvl w:val="0"/>
          <w:numId w:val="2"/>
        </w:numPr>
        <w:spacing w:after="160"/>
      </w:pPr>
      <w:r>
        <w:rPr>
          <w:b/>
          <w:bCs/>
          <w:i w:val="false"/>
          <w:iCs w:val="false"/>
        </w:rPr>
        <w:t xml:space="preserve">Coverage — </w:t>
      </w:r>
      <w:r>
        <w:rPr>
          <w:b w:val="false"/>
          <w:bCs w:val="false"/>
          <w:i w:val="false"/>
          <w:iCs w:val="false"/>
        </w:rPr>
        <w:t xml:space="preserve">“Discover”; turn gaps into reusable knowledge; identify high-value assets by business unit / line of business / product category. Capabilities: data-driven content-gap analysis; continuous monitoring across 100% of assets.</w:t>
      </w:r>
    </w:p>
    <w:p>
      <w:pPr>
        <w:pStyle w:val="ListParagraph"/>
        <w:numPr>
          <w:ilvl w:val="0"/>
          <w:numId w:val="2"/>
        </w:numPr>
        <w:spacing w:after="160"/>
      </w:pPr>
      <w:r>
        <w:rPr>
          <w:b/>
          <w:bCs/>
          <w:i w:val="false"/>
          <w:iCs w:val="false"/>
        </w:rPr>
        <w:t xml:space="preserve">Supply — </w:t>
      </w:r>
      <w:r>
        <w:rPr>
          <w:b w:val="false"/>
          <w:bCs w:val="false"/>
          <w:i w:val="false"/>
          <w:iCs w:val="false"/>
        </w:rPr>
        <w:t xml:space="preserve">“Evolve → Publish → Distill &amp; compile”; the Knowledge Asset Lifecycle (Idea → Draft → Review → Published → Fresh → Stale → Retire). Capabilities: agentic content maintenance (code → content · the New Product Introduction pipeline).</w:t>
      </w:r>
    </w:p>
    <w:p>
      <w:pPr>
        <w:pStyle w:val="ListParagraph"/>
        <w:numPr>
          <w:ilvl w:val="0"/>
          <w:numId w:val="2"/>
        </w:numPr>
        <w:spacing w:after="160"/>
      </w:pPr>
      <w:r>
        <w:rPr>
          <w:b/>
          <w:bCs/>
          <w:i w:val="false"/>
          <w:iCs w:val="false"/>
        </w:rPr>
        <w:t xml:space="preserve">Impact — </w:t>
      </w:r>
      <w:r>
        <w:rPr>
          <w:b w:val="false"/>
          <w:bCs w:val="false"/>
          <w:i w:val="false"/>
          <w:iCs w:val="false"/>
        </w:rPr>
        <w:t xml:space="preserve">“Retrieve → Resolve”; the customer’s query solved on their channel; route friction to product. Capabilities: omnichannel delivery (phone, case, self-serve, agent); case deflection; cost held flat; “pre-release notes” + product signal.</w:t>
      </w:r>
    </w:p>
    <w:p>
      <w:pPr>
        <w:pStyle w:val="Heading2"/>
      </w:pPr>
      <w:r>
        <w:t xml:space="preserve">Engineering · Agentic Content Maintenance &amp; the New Product Introduction pipeline</w:t>
      </w:r>
    </w:p>
    <w:p>
      <w:pPr>
        <w:spacing w:after="160"/>
      </w:pPr>
      <w:r>
        <w:rPr>
          <w:b w:val="false"/>
          <w:bCs w:val="false"/>
          <w:i w:val="false"/>
          <w:iCs w:val="false"/>
        </w:rPr>
        <w:t xml:space="preserve">The engineering section contributes the sharpest single capability in the whole vision, and it deserves to be called out on its own rather than folded into one line of the Supply stage. It is an agentic, code-triggered content pipeline — and it is the concrete form of the New Product Introduction (NPI) idea: source code becomes support content, before the change reaches customers.</w:t>
      </w:r>
    </w:p>
    <w:p>
      <w:pPr>
        <w:spacing w:after="160"/>
      </w:pPr>
      <w:r>
        <w:rPr>
          <w:i/>
          <w:iCs/>
        </w:rPr>
        <w:t xml:space="preserve">Figure 4 — The agentic content-maintenance flow: a code commit drives an auto-drafted, SME-validated content update published to the deploy date.</w:t>
      </w:r>
    </w:p>
    <w:p>
      <w:pPr>
        <w:spacing w:after="160"/>
      </w:pPr>
      <w:r>
        <w:rPr>
          <w:b w:val="false"/>
          <w:bCs w:val="false"/>
          <w:i w:val="false"/>
          <w:iCs w:val="false"/>
        </w:rPr>
        <w:t xml:space="preserve">The flow: a production-bound code commit raises a change signal; an always-on listener detects it and evaluates the change; it crawls the primary self-serve surfaces to find every asset the change could impact; it auto-generates a work-item ticket with an AI draft of each affected asset, assigned to the right product and support SMEs; the SMEs review and iterate the drafts; and publishing is scheduled to the product deploy date. Two AI-generated outputs fall out of it — a “pre-release notes” summary (the support organization’s first-ever forward view of what is launching) and a training video of the changes and how customers will use them.</w:t>
      </w:r>
    </w:p>
    <w:p>
      <w:pPr>
        <w:pStyle w:val="Heading3"/>
      </w:pPr>
      <w:r>
        <w:t xml:space="preserve">Where New Product Introduction sits in the loop</w:t>
      </w:r>
    </w:p>
    <w:p>
      <w:pPr>
        <w:spacing w:after="160"/>
      </w:pPr>
      <w:r>
        <w:rPr>
          <w:b w:val="false"/>
          <w:bCs w:val="false"/>
          <w:i w:val="false"/>
          <w:iCs w:val="false"/>
        </w:rPr>
        <w:t xml:space="preserve">New Product Introduction closes the loop from the top. Most of the model is reactive — customers ask, we measure coverage, we supply and retire. The NPI pipeline is proactive Supply: it creates and updates content from an upstream product signal so the answer exists before the customer even asks. It is the same “route friction to product” arrow from the Impact stage, run in reverse — the product change itself becomes the trigger for content, not a customer contact. That makes NPI both the earliest demand signal and the fastest supply path, and the reason the loop can stay ahead of a release instead of catching up after it.</w:t>
      </w:r>
    </w:p>
    <w:p>
      <w:pPr>
        <w:pStyle w:val="ListParagraph"/>
        <w:numPr>
          <w:ilvl w:val="0"/>
          <w:numId w:val="2"/>
        </w:numPr>
        <w:spacing w:after="160"/>
      </w:pPr>
      <w:r>
        <w:rPr>
          <w:b w:val="false"/>
          <w:bCs w:val="false"/>
          <w:i w:val="false"/>
          <w:iCs w:val="false"/>
        </w:rPr>
        <w:t xml:space="preserve">An upstream code / release listener that maps a change to the impacted self-serve assets — the demand trigger.</w:t>
      </w:r>
    </w:p>
    <w:p>
      <w:pPr>
        <w:pStyle w:val="ListParagraph"/>
        <w:numPr>
          <w:ilvl w:val="0"/>
          <w:numId w:val="2"/>
        </w:numPr>
        <w:spacing w:after="160"/>
      </w:pPr>
      <w:r>
        <w:rPr>
          <w:b w:val="false"/>
          <w:bCs w:val="false"/>
          <w:i w:val="false"/>
          <w:iCs w:val="false"/>
        </w:rPr>
        <w:t xml:space="preserve">Auto-drafted, SME-validated updates via a work-item ticket, published to the deploy date — the supply path, human-validated.</w:t>
      </w:r>
    </w:p>
    <w:p>
      <w:pPr>
        <w:pStyle w:val="ListParagraph"/>
        <w:numPr>
          <w:ilvl w:val="0"/>
          <w:numId w:val="2"/>
        </w:numPr>
        <w:spacing w:after="160"/>
      </w:pPr>
      <w:r>
        <w:rPr>
          <w:b w:val="false"/>
          <w:bCs w:val="false"/>
          <w:i w:val="false"/>
          <w:iCs w:val="false"/>
        </w:rPr>
        <w:t xml:space="preserve">Pre-release notes for the support team as a first-class deliverable — the proactive-readiness output that no reactive pipeline produces.</w:t>
      </w:r>
    </w:p>
    <w:p>
      <w:pPr>
        <w:pStyle w:val="Heading2"/>
      </w:pPr>
      <w:r>
        <w:t xml:space="preserve">The economic reframe: capability compounds, cost stays flat</w:t>
      </w:r>
    </w:p>
    <w:p>
      <w:pPr>
        <w:spacing w:after="160"/>
      </w:pPr>
      <w:r>
        <w:rPr>
          <w:b w:val="false"/>
          <w:bCs w:val="false"/>
          <w:i w:val="false"/>
          <w:iCs w:val="false"/>
        </w:rPr>
        <w:t xml:space="preserve">The vision adds a dimension the notes only implied. Today, support cost is linear — every additional question needs a person, so cost scales with volume. The bet is to break that line: “capability compounds while cost stays flat.” Reused articles improve and regenerate when their source changes (never stale), curation and governance are automated rather than staffed, and the goal is stated bluntly in the architecture as “keep the cost of the article constant.”</w:t>
      </w:r>
    </w:p>
    <w:p>
      <w:pPr>
        <w:spacing w:after="160"/>
      </w:pPr>
      <w:r>
        <w:rPr>
          <w:b/>
          <w:bCs/>
          <w:i w:val="false"/>
          <w:iCs w:val="false"/>
        </w:rPr>
        <w:t xml:space="preserve">This reframes the Impact stage. </w:t>
      </w:r>
      <w:r>
        <w:rPr>
          <w:b w:val="false"/>
          <w:bCs w:val="false"/>
          <w:i w:val="false"/>
          <w:iCs w:val="false"/>
        </w:rPr>
        <w:t xml:space="preserve">The outcome is not only a better CSAT number — it is decoupling support cost from customer question volume. Deflection and self-evolving content are the mechanism; a flat cost curve under rising demand is the win.</w:t>
      </w:r>
    </w:p>
    <w:p>
      <w:pPr>
        <w:pStyle w:val="Heading2"/>
      </w:pPr>
      <w:r>
        <w:t xml:space="preserve">Agent-native: knowledge that serves humans and agents</w:t>
      </w:r>
    </w:p>
    <w:p>
      <w:pPr>
        <w:spacing w:after="160"/>
      </w:pPr>
      <w:r>
        <w:rPr>
          <w:b w:val="false"/>
          <w:bCs w:val="false"/>
          <w:i w:val="false"/>
          <w:iCs w:val="false"/>
        </w:rPr>
        <w:t xml:space="preserve">The v1 model implicitly assumed human readers. The next-generation vision names the shift directly: today’s knowledge is “built for humans, not agents,” and the move is to re-architect it so knowledge serves both people and AI agents — “knowledge as AI fuel” that lets agents resolve outcomes, exposed through MCP services and consumed by M365 and VS Code agents.</w:t>
      </w:r>
    </w:p>
    <w:p>
      <w:pPr>
        <w:spacing w:after="160"/>
      </w:pPr>
      <w:r>
        <w:rPr>
          <w:b w:val="false"/>
          <w:bCs w:val="false"/>
          <w:i w:val="false"/>
          <w:iCs w:val="false"/>
        </w:rPr>
        <w:t xml:space="preserve">AI agents as both consumer and producer of content — promoted to the center of the design. It also connects the content-health loop to answer quality: it includes a reflection step to “remediate the inaccurate or false information generated by LLMs.” That is the guardrail that keeps the agent loop from silently degrading coverage, and it is where content health meets answer-quality evaluation — the same accuracy bar the customer feels.</w:t>
      </w:r>
    </w:p>
    <w:p>
      <w:pPr>
        <w:pStyle w:val="Heading2"/>
      </w:pPr>
      <w:r>
        <w:t xml:space="preserve">Open tensions — revisited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Tension raised in v1</w:t>
            </w:r>
          </w:p>
        </w:tc>
        <w:tc>
          <w:tcPr>
            <w:tcW w:type="dxa" w:w="2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Status now</w:t>
            </w:r>
          </w:p>
        </w:tc>
        <w:tc>
          <w:tcPr>
            <w:tcW w:type="dxa" w:w="4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b/>
                <w:bCs/>
                <w:color w:val="FFFFFF"/>
              </w:rPr>
              <w:t xml:space="preserve">How the vision addresses it</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Freshness vs. coverage</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Largely addressed</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The Knowledge Asset Lifecycle makes decay a first-class state (Fresh → Near-Stale → Stale).</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AI agents as both consumer and producer</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Now the centerpiece</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Knowledge is explicitly “re-architected for agents” and treated as AI fuel.</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Diffuse ownership of the gap</w:t>
            </w:r>
          </w:p>
        </w:tc>
        <w:tc>
          <w:tcPr>
            <w:tcW w:type="dxa" w:w="220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Still open</w:t>
            </w:r>
          </w:p>
        </w:tc>
        <w:tc>
          <w:tcPr>
            <w:tcW w:type="dxa" w:w="4160"/>
            <w:tcBorders>
              <w:top w:val="single" w:color="BBBBBB" w:sz="1"/>
              <w:left w:val="single" w:color="BBBBBB" w:sz="1"/>
              <w:bottom w:val="single" w:color="BBBBBB" w:sz="1"/>
              <w:right w:val="single" w:color="BBBBBB" w:sz="1"/>
            </w:tcBorders>
            <w:shd w:fill="FFFFFF" w:val="clear"/>
            <w:tcMar>
              <w:top w:type="dxa" w:w="80"/>
              <w:left w:type="dxa" w:w="120"/>
              <w:bottom w:type="dxa" w:w="80"/>
              <w:right w:type="dxa" w:w="120"/>
            </w:tcMar>
          </w:tcPr>
          <w:p>
            <w:r>
              <w:rPr>
                <w:b w:val="false"/>
                <w:bCs w:val="false"/>
                <w:color w:val="000000"/>
              </w:rPr>
              <w:t xml:space="preserve">Lines of tooling / internal / public / assistant content are named, but no single owner is accountable for Gap Rate as a number.</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Confidential — Internal Draft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120"/>
    </w:pPr>
    <w:rPr>
      <w:rFonts w:ascii="Arial" w:cs="Arial" w:eastAsia="Arial" w:hAnsi="Arial"/>
      <w:b/>
      <w:bCs/>
      <w:color w:val="1F4E79"/>
      <w:sz w:val="40"/>
      <w:szCs w:val="40"/>
    </w:rPr>
  </w:style>
  <w:style w:type="paragraph" w:styleId="Heading1">
    <w:name w:val="Heading 1"/>
    <w:basedOn w:val="Normal"/>
    <w:next w:val="Normal"/>
    <w:qFormat/>
    <w:pPr>
      <w:spacing w:after="120" w:before="24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5F8A"/>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2026-07-24T18:15:29.658Z</dcterms:created>
  <dcterms:modified xsi:type="dcterms:W3CDTF">2026-07-24T18:15:29.659Z</dcterms:modified>
</cp:coreProperties>
</file>

<file path=docProps/custom.xml><?xml version="1.0" encoding="utf-8"?>
<Properties xmlns="http://schemas.openxmlformats.org/officeDocument/2006/custom-properties" xmlns:vt="http://schemas.openxmlformats.org/officeDocument/2006/docPropsVTypes"/>
</file>