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b/>
          <w:bCs/>
          <w:color w:val="2E75B6"/>
          <w:sz w:val="44"/>
          <w:szCs w:val="44"/>
        </w:rPr>
        <w:t xml:space="preserve">CCS Content Authoring Tool</w:t>
      </w:r>
    </w:p>
    <w:p>
      <w:pPr>
        <w:spacing w:after="480"/>
        <w:jc w:val="center"/>
      </w:pPr>
      <w:r>
        <w:rPr>
          <w:b/>
          <w:bCs/>
          <w:sz w:val="36"/>
          <w:szCs w:val="36"/>
        </w:rPr>
        <w:t xml:space="preserve">User Discovery Template</w:t>
      </w:r>
    </w:p>
    <w:p>
      <w:pPr>
        <w:spacing w:after="120"/>
        <w:jc w:val="center"/>
      </w:pPr>
      <w:r>
        <w:rPr>
          <w:i/>
          <w:iCs/>
          <w:color w:val="595959"/>
          <w:sz w:val="24"/>
          <w:szCs w:val="24"/>
        </w:rPr>
        <w:t xml:space="preserve">Persona-led intake to shape the unified content lifecycle vision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 (PM)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Interviewer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Participant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 type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/ POC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v1.0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 / In Review / Final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Purpose &amp; Vision</w:t>
      </w:r>
    </w:p>
    <w:p>
      <w:pPr>
        <w:spacing w:after="80"/>
      </w:pPr>
      <w:r>
        <w:t xml:space="preserve">This Discovery template guides 1:1 conversations with each CCS persona to capture the user requirements, journeys, signals, pain points, and tooling gaps that will shape a single unified content authoring tool and the end-to-end content management strategy.</w:t>
      </w:r>
    </w:p>
    <w:p>
      <w:pPr>
        <w:pStyle w:val="Heading2"/>
        <w:spacing w:after="120" w:before="240"/>
      </w:pPr>
      <w:r>
        <w:t xml:space="preserve">Discovery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the four reference personas and surface any missing personas or use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the why, what, where, when, and how of content creation for each persona.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the as-is content lifecycle from ideation to retirement and identify friction at each stage.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Quantify volume, frequency, tone, format, structure, and metadata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signals (search failures, support cases, customer demand, trends, business strategy) feeding the content idea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success metrics, golden datasets, and AI-readiness criteria across the six pillars.</w:t>
      </w:r>
    </w:p>
    <w:p>
      <w:pPr>
        <w:pStyle w:val="Heading2"/>
        <w:spacing w:after="120" w:before="240"/>
      </w:pPr>
      <w:r>
        <w:t xml:space="preserve">Vision Statement (working)</w:t>
      </w:r>
    </w:p>
    <w:p>
      <w:pPr>
        <w:spacing w:after="80"/>
        <w:rPr>
          <w:i/>
          <w:iCs/>
        </w:rPr>
      </w:pPr>
      <w:r>
        <w:rPr>
          <w:i/>
          <w:iCs/>
        </w:rPr>
        <w:t xml:space="preserve">“One unified authoring experience that enables every CCS persona to ideate, draft, govern, publish, and improve content across internal and external surfaces — with AI assistance, shared metadata, and closed-loop performance signals.”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2. Reference Personas</w:t>
      </w:r>
    </w:p>
    <w:p>
      <w:pPr>
        <w:spacing w:after="80"/>
      </w:pPr>
      <w:r>
        <w:t xml:space="preserve">The four personas below are the starting set. Use Section 4 to confirm, extend, or split them based on the participant’s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900"/>
        <w:gridCol w:w="2360"/>
        <w:gridCol w:w="1400"/>
      </w:tblGrid>
      <w:tr>
        <w:trPr>
          <w:tblHeader/>
        </w:trP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Consumption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Publishing Tool → Destination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Team / POC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CSS Tech SE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Tech Support Engineer (SE) / EEE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content for SE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Rubik etc. → Evergreen, CSS Wiki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A&amp;I Winncomm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CSS KM Lead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Tech Support Engineer / EEE (KM lens)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content for SE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 Wiki → CSS Wiki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MW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Content Publish Manager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creator &amp; publishing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External content for end customers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Mentor / VS Code → LMC and SMC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S&amp;O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an AI Content Creator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Knowledge harvested from post-case-closure notes by SE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repo / source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Automation → Internal Cornerstone AAQ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(confirm)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t xml:space="preserve">Personas / use cases not yet captured (fill during interview)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Proposed persona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 / scope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they matter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3. Pillars of the E2E Content Lifecycle</w:t>
      </w:r>
    </w:p>
    <w:p>
      <w:pPr>
        <w:spacing w:after="80"/>
      </w:pPr>
      <w:r>
        <w:t xml:space="preserve">Every question in this template ladders back to one of the six pillars. Tag participant responses to a pillar to make synthesis faster.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Health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Inventory, freshness, quality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Creation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drafting, KMA harvesting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Idea Engine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Customer demand, support cases, search failures, trends, business strategy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Performance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Analytics, golden datasets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Maintenance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Updates, ownership, lifecycle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Governance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Metadata, standards, AI readiness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4. Participant Profile</w:t>
      </w:r>
    </w:p>
    <w:p>
      <w:pPr>
        <w:spacing w:after="80"/>
      </w:pPr>
      <w:r>
        <w:t xml:space="preserve">Confirm role-mapping and current tooling before going into deep-dive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 / alias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Title &amp; team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 mapping (from §2)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Tenure in role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content surface (internal / external / both)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Tools used today (authoring)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Tools used today (publishing)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Tools used today (analytics / feedback)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Languages / locales authored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 zone &amp; working hours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5. Section A — Context &amp; Current State</w:t>
      </w:r>
    </w:p>
    <w:p>
      <w:pPr>
        <w:pStyle w:val="Heading2"/>
        <w:spacing w:after="120" w:before="240"/>
      </w:pPr>
      <w:r>
        <w:t xml:space="preserve">A1. Day in the life</w:t>
      </w:r>
    </w:p>
    <w:p>
      <w:pPr>
        <w:spacing w:after="80"/>
      </w:pPr>
      <w:r>
        <w:t xml:space="preserve">Walk me through the last full week of content work. What did you spend the most time on? What was easy, what was painful?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spent / week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Friction (1–5) &amp; notes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A2. Tools currently in your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love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hate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6. Section B — Content Creation Intent (5 Whys)</w:t>
      </w:r>
    </w:p>
    <w:p>
      <w:pPr>
        <w:spacing w:after="80"/>
      </w:pPr>
      <w:r>
        <w:t xml:space="preserve">Use the 5-Why mechanism to surface the true business outcome the content is driving. Start with the participant’s stated trigger and keep asking “Why?” until you reach a customer or business outcome.</w:t>
      </w:r>
    </w:p>
    <w:p>
      <w:pPr>
        <w:pStyle w:val="Heading2"/>
        <w:spacing w:after="120" w:before="240"/>
      </w:pPr>
      <w:r>
        <w:t xml:space="preserve">B1. Triggers &amp; use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event or signal kicks off a new piece of content for you?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use cases are recurring vs. one-off?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signals do you rely on today (support cases, search failures, customer demand, trends, business strategy, other)?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 / trigger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 source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B2. The 5 Whys</w:t>
      </w:r>
    </w:p>
    <w:p>
      <w:pPr>
        <w:spacing w:after="80"/>
      </w:pPr>
      <w:r>
        <w:t xml:space="preserve">Anchor question: “Why is this content needed?”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rPr>
          <w:tblHeader/>
        </w:trP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#1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is this content needed today?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#2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does that matter to the user / SE / customer?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#3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is the current state insufficient?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#4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has it not been solved before?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#5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is now the right time — what changes if we fix it?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B3. Core questions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the need for content creation for your persona?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type of content do you create (KB article, TSG, FAQ, video, decision tree, case-note harvest, marketing collateral, other)?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tone, format, structure, and metadata are required and used to build content for each use case?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is the content published, and who is the audience?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the frequency of content creation → publishing?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the volume of content you create monthly / quarterly / yearly?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7. Section C — Content Type, Tone, Format, Structure, Metadata</w:t>
      </w:r>
    </w:p>
    <w:p>
      <w:pPr>
        <w:spacing w:after="80"/>
      </w:pPr>
      <w:r>
        <w:t xml:space="preserve">Capture per content type so we can derive shared templates and metadata schemas for the unified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860"/>
        <w:gridCol w:w="18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Tone / voice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 &amp; structure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 metadata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Destination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8. Section D — Volume, Frequency &amp;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 / month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 / year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to first draft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to publish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 SLA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Probes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your hard deadline pressure (e.g., launch dates, incident response, monthly cadences)?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does the bottleneck typically sit — ideation, drafting, review, approval, or publishing?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9. Section E — Content Lifecycle Workflow</w:t>
      </w:r>
    </w:p>
    <w:p>
      <w:pPr>
        <w:spacing w:after="80"/>
      </w:pPr>
      <w:r>
        <w:t xml:space="preserve">Walk the participant through each stage. For every stage, capture: who does it, tools used, time, pain points, and AI augmentation opportunities.</w:t>
      </w:r>
    </w:p>
    <w:p>
      <w:pPr>
        <w:pStyle w:val="Heading2"/>
        <w:spacing w:after="120" w:before="240"/>
      </w:pPr>
      <w:r>
        <w:t xml:space="preserve">Reference user journey</w:t>
      </w:r>
    </w:p>
    <w:p>
      <w:pPr>
        <w:spacing w:after="80"/>
        <w:rPr>
          <w:i/>
          <w:iCs/>
        </w:rPr>
      </w:pPr>
      <w:r>
        <w:rPr>
          <w:i/>
          <w:iCs/>
        </w:rPr>
        <w:t xml:space="preserve">Author logs in → AI suggests content ideas → Author creates draft → AI checks (grammar, brand, SEO, accessibility) → AI recommends improvements → Manager reviews → Content published → Analytics generated → AI recommends improvements.</w:t>
      </w:r>
    </w:p>
    <w:p>
      <w:pPr>
        <w:pStyle w:val="Heading2"/>
        <w:spacing w:after="120" w:before="240"/>
      </w:pPr>
      <w:r>
        <w:t xml:space="preserve">Per-stage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100"/>
        <w:gridCol w:w="1700"/>
        <w:gridCol w:w="900"/>
        <w:gridCol w:w="1900"/>
        <w:gridCol w:w="19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Lifecycle stage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Tools today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Pain points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/ automation opportunity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Stages to cover (use as a checklist)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Idea generation / intake from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Drafting (manual, KMA-assisted, AI-assisted)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Editing / refining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Brand, accessibility, SEO, compliance checks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&amp; approval (single or multi-stage)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Publishing (internal vs external surfaces, localization)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Promotion / discoverability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measurement &amp;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Maintenance / re-publish / retire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10. Section F — Per-Pillar Deep Dive</w:t>
      </w:r>
    </w:p>
    <w:p>
      <w:pPr>
        <w:pStyle w:val="Heading2"/>
        <w:spacing w:after="120" w:before="240"/>
      </w:pPr>
      <w:r>
        <w:t xml:space="preserve">F1. Content Health — Inventory, Freshness,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do you know what content exists today across the surfaces you author for?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is freshness/staleness flagged — what is your trigger to refresh?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does “quality” mean for your content, and how is it measured?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do duplicates or near-duplicates come from?</w:t>
      </w:r>
    </w:p>
    <w:p>
      <w:pPr>
        <w:pStyle w:val="Heading2"/>
        <w:spacing w:after="120" w:before="240"/>
      </w:pPr>
      <w:r>
        <w:t xml:space="preserve">F2. Content Creation — AI Drafting, KMA Harvesting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do you start a new draft — blank page, template, harvested artifact?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AI assists would meaningfully save time (summarize case, draft TSG, translate, restructure)?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AI content creators: how are case-closure notes today turned into reusable knowledge?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guardrails would you need to trust AI-drafted content for publish?</w:t>
      </w:r>
    </w:p>
    <w:p>
      <w:pPr>
        <w:pStyle w:val="Heading2"/>
        <w:spacing w:after="120" w:before="240"/>
      </w:pPr>
      <w:r>
        <w:t xml:space="preserve">F3. Content Idea Engine — Forward-Looking Signals</w:t>
      </w:r>
    </w:p>
    <w:p>
      <w:pPr>
        <w:spacing w:after="80"/>
      </w:pPr>
      <w:r>
        <w:t xml:space="preserve">Capture demand sources to feed the idea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 source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it lives today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you act on it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Customer demand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failures / zero-result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Industry / product trends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strategy &amp; launches</w:t>
      </w:r>
    </w:p>
    <w:p>
      <w:pPr>
        <w:pStyle w:val="Heading2"/>
        <w:spacing w:after="120" w:before="240"/>
      </w:pPr>
      <w:r>
        <w:t xml:space="preserve">F4. Content Performance — Analytics &amp; Golden Datasets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metrics do you check today, where, and how often?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does a “golden” piece of content look like for your persona?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would you want performance fed back into ideation and maintenance?</w:t>
      </w:r>
    </w:p>
    <w:p>
      <w:pPr>
        <w:pStyle w:val="Heading2"/>
        <w:spacing w:after="120" w:before="240"/>
      </w:pPr>
      <w:r>
        <w:t xml:space="preserve">F5. Content Maintenance — Updates, Ownership,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owns an article after publish? How is ownership tracked when people move teams?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triggers an update (case spike, product change, user feedback, scheduled review)?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and how is content retired?</w:t>
      </w:r>
    </w:p>
    <w:p>
      <w:pPr>
        <w:pStyle w:val="Heading2"/>
        <w:spacing w:after="120" w:before="240"/>
      </w:pPr>
      <w:r>
        <w:t xml:space="preserve">F6. Content Governance — Metadata, Standards, AI Readiness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metadata fields are required today — which are skipped or unreliable?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standards or style guides apply? How are exceptions handled?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would make this content AI-ready (chunking, schema, provenance, freshness tags)?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Compliance, PII, security — what cannot leave certain boundaries?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11. Section G — Tooling &amp;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900"/>
        <w:gridCol w:w="1360"/>
      </w:tblGrid>
      <w:tr>
        <w:trPr>
          <w:tblHeader/>
        </w:trP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 today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Gap / wish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 (P0–P3)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Integrations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Identity, single sign-on,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systems (Rubik, CSS Wiki, Evergreen, LMC, SMC, AAQ, Cornerstone, others)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Telemetry / analytics back into ideation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Localization pipeline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12. Section H — Success Metrics &amp; KPIs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will you and your team know the unified tool is succeeding (time-to-publish, deflection, CSAT, freshness %, AI acceptance rate)?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existing KPIs would you want preserved and visible?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baseline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13. Section I — Risks, Compliance &amp; Change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would make adoption of a unified tool fail in your team?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compliance, legal, privacy, or trust constraints must not be broken?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change-management support (training, docs, champions) would you expect?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14. Section J — Closing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could fix only three things about content work today, what would they be?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Magic-wand question: imagine the tool exists and works perfectly — describe a typical Tuesday morning.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did I not ask that I should have?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Who else on your team / adjacent teams should I talk 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Referral name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relevant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15. Post-Interview Synthesis (PM fills in)</w:t>
      </w:r>
    </w:p>
    <w:p>
      <w:pPr>
        <w:pStyle w:val="Heading2"/>
        <w:spacing w:after="120" w:before="240"/>
      </w:pPr>
      <w:r>
        <w:t xml:space="preserve">Top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Insight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Confidence (H/M/L)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Supporting quote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Jobs-to-be-done captured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___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 want to ___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 I can ___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Opportunity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Opportunity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 (H/M/L)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 (H/M/L)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 step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Open questions / follow-ups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2120"/>
        <w:gridCol w:w="2120"/>
      </w:tblGrid>
      <w:tr>
        <w:trPr>
          <w:tblHeader/>
        </w:trPr>
        <w:tc>
          <w:tcPr>
            <w:tcW w:type="dxa" w:w="5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Due</w:t>
            </w:r>
          </w:p>
        </w:tc>
      </w:tr>
      <w:tr>
        <w:tc>
          <w:tcPr>
            <w:tcW w:type="dxa" w:w="5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Appendix A — Interview Logistics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 45–60 minutes, leave 15 minutes for synthesis.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recording consent at the top of the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the vision statement upfront so the participant can react.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quotes verbatim where possible — they make the strongest evidence.</w:t>
      </w:r>
    </w:p>
    <w:p>
      <w:pPr>
        <w:pStyle w:val="Heading1"/>
        <w:spacing w:after="120" w:before="240"/>
      </w:pPr>
      <w:r>
        <w:t xml:space="preserve">Appendix B —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CCS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Customer &amp; Content Services (confirm exact expansion with stakeholder)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 / EEE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Tech Support Engineer / Escalation Engineer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KMA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Knowledge Management Asset (harvested from cases or other sources)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LMC / SMC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Long-tail / Short-tail Marketing Content (confirm)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AAQ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Ask-A-Question internal knowledge surface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TSG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Troubleshooting Guide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jc w:val="left"/>
    </w:pPr>
    <w:r>
      <w:rPr>
        <w:b/>
        <w:bCs/>
        <w:color w:val="2E75B6"/>
      </w:rPr>
      <w:t xml:space="preserve">CCS Content Authoring — User Discovery</w:t>
    </w:r>
    <w:r>
      <w:rPr>
        <w:color w:val="595959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CCS Content Authoring Tool - User Discovery Template</dc:title>
  <dc:creator>Sony Manay (PM)</dc:creator>
  <dc:description>Persona-led discovery template for the CCS unified content authoring tool</dc:description>
  <cp:lastModifiedBy>Un-named</cp:lastModifiedBy>
  <cp:revision>1</cp:revision>
  <dcterms:created xsi:type="dcterms:W3CDTF">2026-06-06T17:34:47.301Z</dcterms:created>
  <dcterms:modified xsi:type="dcterms:W3CDTF">2026-06-06T17:34:47.302Z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