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B11F4B"/>
          <w:sz w:val="56"/>
          <w:szCs w:val="56"/>
        </w:rPr>
        <w:t xml:space="preserve">CCS Requirements Mapping</w:t>
      </w:r>
    </w:p>
    <w:p>
      <w:pPr>
        <w:spacing w:after="200"/>
        <w:jc w:val="center"/>
      </w:pPr>
      <w:r>
        <w:rPr>
          <w:color w:val="7A1535"/>
          <w:sz w:val="28"/>
          <w:szCs w:val="28"/>
        </w:rPr>
        <w:t xml:space="preserve">From KM FY27 Content Lifecycle Workshop → Lifecycle Stages × Personas</w:t>
      </w:r>
    </w:p>
    <w:p>
      <w:pPr>
        <w:spacing w:after="600"/>
        <w:jc w:val="center"/>
      </w:pPr>
      <w:r>
        <w:rPr>
          <w:i/>
          <w:iCs/>
          <w:color w:val="595959"/>
        </w:rPr>
        <w:t xml:space="preserve">— Mapping every workshop signal to one of 8 lifecycle stages + 3 cross-cutting planes, tagged to 4 CSS personas —</w:t>
      </w:r>
    </w:p>
    <w:p>
      <w:pPr>
        <w:spacing w:after="80"/>
        <w:jc w:val="center"/>
      </w:pPr>
      <w:r>
        <w:rPr>
          <w:b/>
          <w:bCs/>
        </w:rPr>
        <w:t xml:space="preserve">Workshop Date: June 2, 2026</w:t>
      </w:r>
    </w:p>
    <w:p>
      <w:pPr>
        <w:spacing w:after="80"/>
        <w:jc w:val="center"/>
      </w:pPr>
      <w:r>
        <w:rPr>
          <w:color w:val="595959"/>
        </w:rPr>
        <w:t xml:space="preserve">Document Owner: Sony Manay (S&amp;O Technical Operations)</w:t>
      </w:r>
    </w:p>
    <w:p>
      <w:pPr>
        <w:spacing w:after="80"/>
        <w:jc w:val="center"/>
      </w:pPr>
      <w:r>
        <w:rPr>
          <w:color w:val="595959"/>
        </w:rPr>
        <w:t xml:space="preserve">Strategic Priority: AI-Optimized Knowledge &amp; Community Ecosystem</w:t>
      </w:r>
    </w:p>
    <w:p>
      <w:pPr>
        <w:spacing w:after="600"/>
        <w:jc w:val="center"/>
      </w:pPr>
      <w:r>
        <w:rPr>
          <w:color w:val="595959"/>
        </w:rPr>
        <w:t xml:space="preserve">Version: 1.0  ·  Status: Draft for KM leadership review</w:t>
      </w:r>
    </w:p>
    <w:p>
      <w:pPr>
        <w:spacing w:after="80"/>
        <w:jc w:val="center"/>
      </w:pPr>
      <w:r>
        <w:rPr>
          <w:b/>
          <w:bCs/>
          <w:color w:val="B11F4B"/>
        </w:rPr>
        <w:t xml:space="preserve">119 requirements  ·  8 lifecycle stages  ·  3 cross-cutting planes  ·  4 personas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How to read this document</w:t>
      </w:r>
    </w:p>
    <w:p>
      <w:pPr>
        <w:spacing w:after="80"/>
      </w:pPr>
      <w:r>
        <w:t xml:space="preserve">This is the operational bridge between the June 2, 2026 KM Content Lifecycle Workshop and the engineering backlog. Every requirement traces back to a specific workshop input (whiteboard session, Loop note, or named participant).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Lifecycle stages: </w:t>
      </w:r>
      <w:r>
        <w:t xml:space="preserve">Idea Engine → Content Creation → Content Health → Publish → Performance → Maintenance → Governance → Retirement, with three cross-cutting planes (Health, Trust &amp; Safety, Feedback). Diagram: sonymanay.github.io/ccs-discovery-dashboard/lifecycle.html</w:t>
      </w:r>
    </w:p>
    <w:p>
      <w:pPr>
        <w:pStyle w:val="Heading2"/>
        <w:spacing w:after="120" w:before="240"/>
      </w:pPr>
      <w:r>
        <w:t xml:space="preserve">Persona codes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69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6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Where they live in the lifecycle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6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Primary creator + consumer of internal content; main feedback source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6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Owns accuracy, governance, and ownership health per SBU / LOB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6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Owns external customer content + cross-surface publish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AI Content Creator</w:t>
            </w:r>
          </w:p>
        </w:tc>
        <w:tc>
          <w:tcPr>
            <w:tcW w:type="dxa" w:w="6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Automation + KMA-driven creation, AI-readiness, ground-truth quality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LOB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SBU / LOB Leader (sponsor)</w:t>
            </w:r>
          </w:p>
        </w:tc>
        <w:tc>
          <w:tcPr>
            <w:tcW w:type="dxa" w:w="6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Owns ROI, leadership KPIs, resource commits</w:t>
            </w:r>
          </w:p>
        </w:tc>
      </w:tr>
    </w:tbl>
    <w:p>
      <w:pPr>
        <w:pStyle w:val="Heading2"/>
        <w:spacing w:after="120" w:before="240"/>
      </w:pPr>
      <w:r>
        <w:t xml:space="preserve">Priority scheme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32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Typical commit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P0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Workshop decision OR repeated must-have OR blocks AI quality at scale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FY27 H1 — land first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P1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Strong workshop signal; unlocks a stage but not blocking AI today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FY27 H1 → H2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P2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Workshop nice-to-have OR enabler for a larger requirement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FY27 H2 → FY28</w:t>
            </w:r>
          </w:p>
        </w:tc>
      </w:tr>
    </w:tbl>
    <w:p>
      <w:pPr>
        <w:pStyle w:val="Heading2"/>
        <w:spacing w:after="120" w:before="240"/>
      </w:pPr>
      <w:r>
        <w:t xml:space="preserve">Source codes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Code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WS1 / WS2 / WS3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Whiteboard Session 1 (Health Dashboard – Deepti) / Session 2 (Content Creation – Ray) / Session 3 (Maintain Govern Archive – Charlene)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WSO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Wrap-Up Session: Outcomes &amp; Impact (Andy)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WSD / WSR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Workshop-level Decisions / Risks captured by facilitators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Loop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KM Content Lifecycle workshop for FY27 plans (Loop meeting notes)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(name)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Direct attribution to a named workshop participant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Executive summary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Core insight from the workshop: </w:t>
      </w:r>
      <w:r>
        <w:t xml:space="preserve">"Content doesn't fail because we don't create enough of it. It fails because we don't manage it over time. In an AI world: bad content doesn't stay contained — it scales."</w:t>
      </w:r>
    </w:p>
    <w:p>
      <w:pPr>
        <w:pStyle w:val="Heading2"/>
        <w:spacing w:after="120" w:before="240"/>
      </w:pPr>
      <w:r>
        <w:t xml:space="preserve">Top themes the workshop converged 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unified authoring tool, with one entry point, that prevents duplication at the root — the single biggest ask across all three sessions.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Multi-signal Content Health Dashboard (not thumbs up / down) tied to AI-grounded outcomes, with action-required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asset has a named owner; ownership gaps trigger retirement; KM Leads own accuracy at the SBU / LOB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creation models routed by risk: Fully Automated (deterministic from source code) → AI-Assisted HITL → Human Authored (high-risk + customer-sensitive).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AI-readiness is a publish gate: Retrievable, Extractable, Attributable, Scoped — every chunk must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Default-to-external publish; restrict only when there is a documented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must be closed-loop, attributable, and route to a single 'who to fix this' owner.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Retirement is automated: 12-month-unused first pass, then redundancy, ownership lapse, AI degradation impact.</w:t>
      </w:r>
    </w:p>
    <w:p>
      <w:pPr>
        <w:pStyle w:val="Heading2"/>
        <w:spacing w:after="120" w:before="240"/>
      </w:pPr>
      <w:r>
        <w:t xml:space="preserve">Coverage at a glance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2500"/>
      </w:tblGrid>
      <w:tr>
        <w:trPr>
          <w:tblHeader/>
        </w:trP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Stage / Plane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 Requirements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Top persona impact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1. Content Idea Engine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 (6)  ·  A (4)  ·  P (3)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2. Content Creation (AI Drafting + Human Authoring)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25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 (16)  ·  A (14)  ·  P (11)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3. Content Health (Inventory, Freshness, Quality, Dashboard)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12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 (11)  ·  LOB (6)  ·  A (3)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4. Publish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11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 (10)  ·  A (7)  ·  K (6)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5. Content Performance (Analytics, Evals, Golden Data)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13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 (10)  ·  LOB (6)  ·  A (4)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6. Content Maintenance (Updates, Triggers, Ownership Refresh)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12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 (9)  ·  A (4)  ·  T (4)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7. Content Governance (Ownership, Standards, AI-Readiness, Metadata)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20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 (15)  ·  A (11)  ·  P (7)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8. Content Retirement / Archive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 (5)  ·  A (4)  ·  LOB (2)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Cross-cutting: Health Plane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 (3)  ·  A (2)  ·  LOB (1)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Cross-cutting: Trust &amp; Safety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(4)  ·  K (3)  ·  P (1)</w:t>
            </w:r>
          </w:p>
        </w:tc>
      </w:tr>
      <w:tr>
        <w:tc>
          <w:tcPr>
            <w:tcW w:type="dxa" w:w="4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Cross-cutting: Feedback Loop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All (2)  ·  T (2)  ·  P (1)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Workshop source map</w:t>
      </w:r>
    </w:p>
    <w:p>
      <w:pPr>
        <w:spacing w:after="80"/>
      </w:pPr>
      <w:r>
        <w:t xml:space="preserve">Inputs that feed this document. Every requirement cites at least one.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4200"/>
        <w:gridCol w:w="2700"/>
      </w:tblGrid>
      <w:tr>
        <w:trPr>
          <w:tblHeader/>
        </w:trPr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Owner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it covered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Stages this maps to</w:t>
            </w:r>
          </w:p>
        </w:tc>
      </w:tr>
      <w:tr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Session 1 — Health Dashboard, AaQ, Knowledge Agent (whiteboard)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Deepti Busireddy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makes content healthy, dashboard questions / signals, actions the dashboard must drive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Content Health, Performance, Idea Engine</w:t>
            </w:r>
          </w:p>
        </w:tc>
      </w:tr>
      <w:tr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Session 2 — Content Creation &amp; Measurement / Standards (whiteboard)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Ray Ringhiser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Authoring friction, KMA pain points, 'good' content per type, internal vs external publish, creation-model routing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Content Creation, Publish, Governance</w:t>
            </w:r>
          </w:p>
        </w:tc>
      </w:tr>
      <w:tr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Session 3 — Maintain, Govern, Archive (whiteboard)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Charlene Douglass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Accuracy signals + ownership, quality gaps + prioritization, AI optimization + readiness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Maintenance, Governance, Retirement, Health</w:t>
            </w:r>
          </w:p>
        </w:tc>
      </w:tr>
      <w:tr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Wrap-Up — Outcomes &amp; Impact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Andy Beadle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metrics + ROI, people / process changes needed in 12 months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Performance, Governance, all stages (people/process)</w:t>
            </w:r>
          </w:p>
        </w:tc>
      </w:tr>
      <w:tr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Loop meeting notes (KM Content Lifecycle workshop for FY27 plans)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Andy + Eddy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Verbatim conversation, decisions, open questions, action items, attendee discussion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stages — source of named-quote attribution</w:t>
            </w:r>
          </w:p>
        </w:tc>
      </w:tr>
      <w:tr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KM FY27 Content Lifecycle Planning Workshop Summary (HTML)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Eddy Harsh, Mark Robbins-Linford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Consolidated summary of all three sessions + wrap-up + decisions + risks + next steps + attendees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stages</w:t>
            </w:r>
          </w:p>
        </w:tc>
      </w:tr>
      <w:tr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Discovery toolkit (prior PM artifacts)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Sony Manay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Persona definitions, deep-dive question bank, lifecycle diagram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Provides the 8-stage / 4-persona schema this doc maps to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Content Idea Engine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Where signals turn into a prioritized backlog of what to create or refresh. Inputs: customer demand, support cases, search failures, AI grounding failures, product releases, business strategy.</w:t>
      </w:r>
    </w:p>
    <w:p>
      <w:pPr>
        <w:spacing w:after="160" w:before="80"/>
      </w:pPr>
      <w:r>
        <w:rPr>
          <w:b/>
          <w:bCs/>
          <w:color w:val="7A1535"/>
        </w:rPr>
        <w:t xml:space="preserve">Source sessions: </w:t>
      </w:r>
      <w:r>
        <w:rPr>
          <w:i/>
          <w:iCs/>
        </w:rPr>
        <w:t xml:space="preserve">Session 1 (Deepti), Session 3 Q2 (Charlene), Wrap-up Q1 (Andy), Loop notes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IDEA-01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Capture unanswered customer queries and create content to address them promptly after product launches.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(Andy)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Named feed of unanswered queries with SLA from launch to first published answer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IDEA-02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Multi-signal ideation: KMA must ingest signals beyond case closure — ICM tickets, search failures, 'no content found' from Copilot, AI thumbs-down verbatim, top call drivers, ICM trends.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(KMA friction), 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KMA configurable to consume ≥ 5 signal sources and rank candidates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IDEA-03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Prioritize content needed for AI Agents to be successful (low-complexity scenarios first).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Q2 (Preeti, Carolyn)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Backlog is ranked by Agent-readiness need + business priority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IDEA-04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Prioritize ideation using Impact × Fixability — High Traffic + Low Resolution + resolution-available.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Backlog scoring algorithm published and visible in dashboard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IDEA-05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questions first — surface largest-quantity or missing-answer queries from external surfaces.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Filter applied in Idea Engine; weekly top-50 surfaced to Publish Mgr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IDEA-06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SBU/LOB leaders metric'd on how unique, accurate, and fresh content is in their space (creates demand pressure upstream).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LOB,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Leader scorecards include unique/fresh/accurate KPIs by SBU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IDEA-07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Better case-note capture so KMA can generate more content automatically from case closure.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(Steve Trepp)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Case-note template + AI quality coach measurably raises KMA harvest yield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IDEA-08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Cross-SBU demand visibility: when two SEs request similar content independently, system spots it.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WS1, deep-dive Q-bank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F3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1F7A4D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De-dup of incoming content requests across SBUs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2. Content Creation (AI Drafting + Human Authoring)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Drafting the actual artifact. Two parallel paths: AI-assisted drafting (KMA + skill-GenAI), and direct human authoring by CSS personas.</w:t>
      </w:r>
    </w:p>
    <w:p>
      <w:pPr>
        <w:spacing w:after="160" w:before="80"/>
      </w:pPr>
      <w:r>
        <w:rPr>
          <w:b/>
          <w:bCs/>
          <w:color w:val="7A1535"/>
        </w:rPr>
        <w:t xml:space="preserve">Source sessions: </w:t>
      </w:r>
      <w:r>
        <w:rPr>
          <w:i/>
          <w:iCs/>
        </w:rPr>
        <w:t xml:space="preserve">Session 2 (Ray), Loop notes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unified authoring tool across CSS / MSS / CEnS / SCIM / A&amp;I — single tool to write all internal + external content.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K, P,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Q1, WSD, Loop (Andy, Ray, Charlene, Deepti)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Decision logged + tool selected + retirement plan for displaced tools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entry mechanism — disable existing entry points so duplication cannot happen at the root.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Loop (Andy)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Legacy entry methods turned off / redirected to the unified tool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 creation-model routing: Fully Automated (high-volume / low-risk / deterministic from source code) → AI-Assisted HITL (medium risk) → Human Authored (high risk / customer-sensitive / multi-product).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T,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Routing rules codified; new content auto-classified to a path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CRT-04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AI-powered authoring assistance: auto-check PII, credentials, spelling, grammar, Microsoft Style Guide adherence as you write.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(Ray), Loop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Inline lint passes block publish on violation; non-blocking style hints surfaced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CRT-05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transforms technical input (notes / outline) into well-written articles — lowers fear of writing, expands contributor base.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(Ray)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Draft generation from short prompt + measured drafting-time reduction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CRT-06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Authoring tool detects and prevents duplicate content at creation time (search-before-create against all surfaces).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Loop, WS2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Pre-create similarity check; offer 'update existing' instead of creating new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CRT-07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Markdown adopted as the unified authoring syntax with modularization — internal-only sections can be programmatically separated.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(Ray)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Markdown with conditional blocks; render pipelines respect internal/external flags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CRT-08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Templates / structural frameworks per content type: Troubleshooting (symptom, scope, cause, diagnostic, decision tree, resolution, escalation, risk), How-to (steps assuming unfamiliarity, &lt;5min ramp), Deep Dive (components/config/logging/analysis), Process Doc, Concept.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K,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Templates available + minimum-bar validation per type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CRT-09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Smaller, modular chunks instead of lengthy / monolithic documents; do not mix architecture + data collection + analysis + break/fix in one doc.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A,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Q2 (Ray)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Length / chunk-size limits enforced by tool; long-doc warning at draft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CRT-10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Authors can find and update their previously-created content from one place.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Q1 (Josh Jones)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'My content' view with edit access regardless of original publish surface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CRT-11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Pull case notes / chat / logs into the draft as seed material.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One-click 'create draft from this case' that pre-populates the article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CRT-12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'what good looks like' for AI-readiness as the author writes (so an author who has never written AI-ready content can).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Live AI-readiness panel; explains failures and suggests fixes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CRT-13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Rubik becomes the authoring canvas for Evergreen and (under discussion) CSS Wiki.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(Ray), Loop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Decision committed; Rubik→CSS Wiki publish path implemented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CRT-14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VS Code becomes the authoring path for LMC / SMC. C3 phased out.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(Ray)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VS Code published as the SMC/LMC default; C3 retirement plan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CRT-15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KMA can consolidate with existing articles (update / merge) instead of only publishing new drafts.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(KMA friction)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KMA proposes 'update existing' when similar article exists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CRT-16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KMA-created content is portable: can be moved to external site, AI Agent, or other surfaces.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(KMA friction)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KMA content has stable IDs and an export-to-surface path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CRT-17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 can update existing KMA-created content (today they cannot).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(KMA friction)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Edit path for KMA-authored content with attribution preserved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CRT-18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KMA publishing does not hang / lock DfM (currently 2-minute lock).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(KMA friction)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Async publish; DfM responsive within 3 seconds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CRT-19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vs Human content pipelines share the same shape: input → quality checks → de-dup → publish to correct spot. What plugs in varies.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Q3 (Josh Jones)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Single publish pipeline with pluggable input adapters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CRT-20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not source AI-generated content from low-quality human content (e.g., raw case notes are 'rabbit trails and failures'). Prefer deterministic source-code-derived content.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Q3 (Jason Epperly)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AI source-policy: code-and-spec-grounded paths preferred; case-note paths require review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CRT-21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SME review back-and-forth on large changes is tracked.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Q1 (Amy Kolbo)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Reviewer assignments + change history visible on every draft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CRT-22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includes the AI prompts necessary to analyze data or perform troubleshooting.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F3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1F7A4D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Template field for embedded prompts; surfaced by Agent on retrieval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CRT-23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'Applies to' and 'does not apply to' sections required on every article.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Mandatory fields enforced before publish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CRT-24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to writing customer-facing first; then restrict (internal sections gated).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Default content visibility = external; gating is opt-in with reason code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CRT-25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Recognize / credit content creators when AI grounds answers in their content (closes the incentives gap).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K,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Q1, Loop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Per-author attribution metric in dashboard + recognition program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Content Health (Inventory, Freshness, Quality, Dashboard)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Continuous measurement of every asset's freshness, quality, ownership, usage, and AI-grounding contribution — surfaced as the Content Health Dashboard.</w:t>
      </w:r>
    </w:p>
    <w:p>
      <w:pPr>
        <w:spacing w:after="160" w:before="80"/>
      </w:pPr>
      <w:r>
        <w:rPr>
          <w:b/>
          <w:bCs/>
          <w:color w:val="7A1535"/>
        </w:rPr>
        <w:t xml:space="preserve">Source sessions: </w:t>
      </w:r>
      <w:r>
        <w:rPr>
          <w:i/>
          <w:iCs/>
        </w:rPr>
        <w:t xml:space="preserve">Session 1 (Deepti) end-to-end; cross-references Session 3 (signals) + Wrap-up (metrics)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 up Content Health Dashboard v1 with core freshness, ownership, usage, and accuracy signals.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WSD, Next Steps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v1 live with article-level, repo-level, and SBU-level views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Move from thumbs up/down to multi-signal content health scoring: usage analytics, staleness, customer outcomes (solve rate), AI grounding quality, SME validation.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WSD, WS1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Composite health score formula approved + visible per article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answers: 'What is decaying? What needs review? Who owns it? How is it performing? Where are the gaps?'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WS1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These five questions each have a default view in v1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HLTH-04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includes article-level, SBU/LOB-level, and persona-targeted views with signals/triggers per KM persona.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Role-aware dashboard with saved views per persona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HLTH-05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and expose: last updated, last reviewed, review-due, expiration, verified date, published date.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WS1 + 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 six date fields present on every asset; dashboard filters on each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HLTH-06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Treat 'no content found' Copilot response as a tracked health signal.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Signal flows into dashboard + Idea Engine backlog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HLTH-07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Treat 'resolution rate below threshold for higher-traffic content' as a tracked health signal.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Per-article resolution rate visible with threshold flag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HLTH-08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 anonymous thumbs feedback with a trackable, attributable, actionable feedback system that allows follow-up with the submitter.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Loop, WS1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Feedback persisted with submitter context; assignable as work item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HLTH-09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Dashboard flags content that requires action based on criteria or governance policy.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Action-required filter + work-item generation from dashboard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HLTH-10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is computed both per content asset AND per repository / surface.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Aggregate roll-ups per surface with drill-down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HLTH-11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decay impact is visible: solve rate, engagement, deflection, AI grounding quality — all degrade together when content decays.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LOB,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WS1 (Charlene)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Decay→impact correlation surfaced as a leading indicator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HLTH-12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Provide data to content authors about how often their articles are used.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Loop (Andy)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Per-author usage report + comparison to median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Publish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The act of pushing a reviewed, compliant draft to the correct surface(s) — with the right gating, taxonomy, and approval chain.</w:t>
      </w:r>
    </w:p>
    <w:p>
      <w:pPr>
        <w:spacing w:after="160" w:before="80"/>
      </w:pPr>
      <w:r>
        <w:rPr>
          <w:b/>
          <w:bCs/>
          <w:color w:val="7A1535"/>
        </w:rPr>
        <w:t xml:space="preserve">Source sessions: </w:t>
      </w:r>
      <w:r>
        <w:rPr>
          <w:i/>
          <w:iCs/>
        </w:rPr>
        <w:t xml:space="preserve">Session 2 Q3 (Ray), Loop notes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to external publish unless a flagged restriction applies.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External-default policy + 'restrict' workflow with reason codes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Gating rules: restrict when content references internal workflows / restricted systems, confidential / pre-release / security risk, high customer failure risk, privacy / advocate-specific instructions / policy exceptions, internal-only tooling.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Each restriction reason captured as a tag + blocks external surface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Multi-channel publishing: CMSP for customers, DfM for engineers — from a single source article.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Single source publishes to multiple surfaces without manual fork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PUB-04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article with gated internal sections plus external-approved exposure (do not duplicate the article).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(Loop)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Conditional rendering by audience; internal blocks invisible externally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PUB-05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classification tied to the approval chain (higher risk → stricter reviewers).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+ WS3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Risk-tier field drives required reviewer set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PUB-06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Automatic pre-publish compliance check (style guide, PII, credentials, taxonomy, AI-readiness) with feedback on what to change.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P,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Publish blocked on failure; clear remediation guidance per finding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PUB-07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Assist Review/Rating model runs before publish (assessment across defined standards).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AI rating attached to article + reviewer sees score before approving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PUB-08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KMA-created content can be published to external sources (LMC / AI Agent / CMSP).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(KMA friction)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KMA → external publish path live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PUB-09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article used in 'Ask a Question' must have an SAP tag.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(Ray), Loop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SAP-tag check enforced for AaQ-eligible content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PUB-10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 every published asset to PCY (minimum) + SAP / skill taxonomy / customer intent (best-case) for AI retrieval.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P, 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Q2 (Jeff Bakko)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Required tag bundle validated before publish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PUB-11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Multi-channel publish does not introduce duplicates: if customer-facing content exists, similar internal content should not be created.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(Loop)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Cross-surface duplicate detector blocks redundant publishes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5. Content Performance (Analytics, Evals, Golden Data)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Quantitative outcome measurement of published content. Powers ROI conversations and feeds back into the Idea Engine, Health Dashboard, and Maintenance signals.</w:t>
      </w:r>
    </w:p>
    <w:p>
      <w:pPr>
        <w:spacing w:after="160" w:before="80"/>
      </w:pPr>
      <w:r>
        <w:rPr>
          <w:b/>
          <w:bCs/>
          <w:color w:val="7A1535"/>
        </w:rPr>
        <w:t xml:space="preserve">Source sessions: </w:t>
      </w:r>
      <w:r>
        <w:rPr>
          <w:i/>
          <w:iCs/>
        </w:rPr>
        <w:t xml:space="preserve">Wrap-up Q1 (Andy), Pillar 1, Session 1, Loop notes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Front-Door Solve Rate as the top customer-resolution metric.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LOB,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Q1, Loop (Sherman)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Metric exposed in dashboard with trend + per-SBU breakdown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IPD (Incidents Per Day) reduction / case deflection — equates to cost savings.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LOB,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Deflection model published + cost-savings dollar value attached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Cycle Time reduction — engineers solve cases faster when content is leveraged.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 (Sherman)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Cycle-time before/after metric per article + per SBU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PERF-04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AI Agent / MWEA success rate + autonomous-agent deflection.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Per-agent success rate visible; tied to underlying KB articles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PERF-05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 suite: Fluency, Groundedness, CSAT, Apology Score, NPS.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All five evals run weekly with Golden Data set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PERF-06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'Time to AI' — elapsed time between content creation and being AI-findable.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Metric captured on every publish; SLA target set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PERF-07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Usage definition is 'used to resolve' (not just 'most read').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Resolution-attributed usage replaces page-view as primary KPI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PERF-08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Quality Score visible per asset.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Composite quality score on every article + trend line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PERF-09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cost to produce and maintain assets used to resolve high-CPI / high-frequency tickets.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Cost-per-resolved tied to source article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PERF-10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Golden Data set for weekly automated evals; expand to Test Kitchen for future-knowledge experiments.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Pillar 1 milestone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Golden Data v1 + weekly eval cadence + Test Kitchen pilot framework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PERF-11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 content creators with usage / AI-grounded-answer counts (closes the loop with Creation incentives).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Per-author leaderboard wired to recognition program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PERF-12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 Leaderboard for high contributors with systematic ongoing rewards (not one-time).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F3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1F7A4D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Leaderboard plus quarterly recognition tied to it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PERF-13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saved by KM Leads and SMEs as a result of platform tooling is tracked.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F3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1F7A4D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Time-saved metric estimated and reported per tool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6. Content Maintenance (Updates, Triggers, Ownership Refresh)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Detecting that content needs updating, routing the work to the right owner, and closing the loop. Maintenance triggers flow in from Health, Performance, and product-change signals.</w:t>
      </w:r>
    </w:p>
    <w:p>
      <w:pPr>
        <w:spacing w:after="160" w:before="80"/>
      </w:pPr>
      <w:r>
        <w:rPr>
          <w:b/>
          <w:bCs/>
          <w:color w:val="7A1535"/>
        </w:rPr>
        <w:t xml:space="preserve">Source sessions: </w:t>
      </w:r>
      <w:r>
        <w:rPr>
          <w:i/>
          <w:iCs/>
        </w:rPr>
        <w:t xml:space="preserve">Session 3 Q1 (Charlene), Session 3 Q3 (AI optimization), Loop notes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Autonomous drift detection: AI Agent monitors product release notes and change SoT, predicts/suggests content review before the customer notices.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Drift agent ingests release feeds; queues review proposals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Autonomous product/release validation triggers and queues automated content review to a single owner.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Release event → work item assigned to named owner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cross-references content against deterministic answers in source code to reduce human review burden.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Source-of-truth comparison run on every review cycle; deltas flagged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MAINT-04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Dedicated 'accuracy review date' field separate from 'last updated' date.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Field exists on every asset; drives review-cadence queries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MAINT-05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Top-used content reviewed at least once per year OR event-triggered by signals.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Cadence policy + reviewable in dashboard + auto work-items past due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MAINT-06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PACE model: articles distributed across team to PTAs (~5 each) with refresh cadence of 3/6/12 months based on usage.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Distribution + cadence enforced for at least one pilot SBU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MAINT-07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serves up aged / wrong / duplicated content to SMEs OR self-fixes for SME review.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SME inbox 'AI proposed fix' with accept/reject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MAINT-08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SpeakUp submissions and engineer in-the-moment flags route to a closed-loop trackable system.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Submitter sees status until close; KM Lead sees aging queue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MAINT-09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BETA team aware of service / product changes coordinates with KM Leads on content updates.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F3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1F7A4D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Defined BETA ↔ KM handoff with named contacts and cadence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MAINT-10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Anyone accessing content can add comments / flag for removal.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Inline comment + flag-for-removal UI present on every render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MAINT-11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CSS has a direct line of influence on customer-facing content updates (currently a gap).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Escalation path documented + first-response SLA from CMSP team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MAINT-12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Articles updated by Service Provider as features release; then periodically validated by Assigned-To in accuracy review governance.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SP-update event triggers Assigned-To validation work item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7. Content Governance (Ownership, Standards, AI-Readiness, Metadata)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The rules of the system: who owns what, what 'good' looks like, what minimum metadata is required, what makes content AI-ready, and how the Governance Board enforces it.</w:t>
      </w:r>
    </w:p>
    <w:p>
      <w:pPr>
        <w:spacing w:after="160" w:before="80"/>
      </w:pPr>
      <w:r>
        <w:rPr>
          <w:b/>
          <w:bCs/>
          <w:color w:val="7A1535"/>
        </w:rPr>
        <w:t xml:space="preserve">Source sessions: </w:t>
      </w:r>
      <w:r>
        <w:rPr>
          <w:i/>
          <w:iCs/>
        </w:rPr>
        <w:t xml:space="preserve">Session 2 Q2, Session 3 Q3, Workshop Decisions, Loop notes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content asset has a designated owner accountable for freshness and accuracy. Ownership gaps trigger retirement review.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WSD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Ownership-required gate at publish; orphaned-content report drives retirement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Establish AI Content Standards via a dedicated Governance Board that enforces them across surfaces.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WSD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Board chartered; standards v1 published and adopted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 Leads in each LOB / SBU own accuracy performance all-up; TSEs review individual pieces if needed.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Role chart published; KM Leads have accuracy KPI ownership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GOV-04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Portfolio Owners own the repository and are accountable for reassigning Assigned-Tos as people change roles.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Reassignment workflow documented; org-change → reassign event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GOV-05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Federated, named owners — not team ownership.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 'team@' aliases as owners; every asset has a person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GOV-06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cadence varies by content type, product area, and usage rate — cadence is assignable metadata.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Cadence field on every asset; default per content type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GOV-07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metadata enforced across teams: product, version, audience, content type, owner, review dates.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Q2 (‘good enough’)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Metadata schema published; required at publish; missing-metadata report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GOV-08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is Graph-Ready: mandatory metadata, references, relationships, scope, entities.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Graph-ready validator runs at publish; failures block AI surfacing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GOV-09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Technical content is product-based, NOT team / organization-based.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Taxonomy realigned to products; org-named buckets retired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GOV-10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Auto-tagging at publish time + template enforcement (semantic / graph-ready).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Auto-tagger suggests + validates; template enforcement blocks publish on miss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GOV-11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AI-readiness criteria: Retrievable, Extractable, Attributable, Scoped — every chunk passes all four.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Four-criteria checker runs per chunk; score visible at draft and publish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GOV-12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chunk is self-sufficient: complete answer with no orphan pronouns referring to prior context.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Linting catches pronoun-orphan chunks; suggested rewrites surface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GOV-13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Self-Healing Graph Data: AI Agent inspects content at ingestion AND post-publication, routes for fix.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Post-publish AI inspection runs on schedule; fixes routed to MAINT-07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GOV-14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screenshots / no broken links / no reliance on visual-only formatting the AI cannot parse.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P,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Linting blocks screenshot-only steps; alt-text + text equivalents required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GOV-15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Consistent terminology — standardized naming for products, features, concepts.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Term dictionary enforced by lint; non-standard terms flagged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GOV-16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source of truth — authoritative guidance in one location, minimize duplicates (links instead of copies).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Duplicate detection + link-instead-of-copy authoring guidance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GOV-17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 metadata flagged for lifecycle + expiration, tied to product creation process.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(Josh), Loop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Lifecycle/expiration fields populated at create; surfaced in dashboard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GOV-18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Governance balance — not too loose (quality fails), not too rigid (slows everything down).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WSR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Governance KPI: time-to-publish AND quality-score both within target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GOV-19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quality analysis routes content depending on graph / metadata / retrieval needs.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F3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1F7A4D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Routing rules + analyzer for each retrieval surface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GOV-20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away from manual tagging where AI can do it (metadata that is for AI vs metadata for SMEs / business).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 (Josh Jones)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Two-tier metadata: AI-managed vs human-required; reduced manual tag list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8. Content Retirement / Archive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Decommissioning content that no longer serves customers, engineers, or AI agents — with criteria, automation, and a clear audit trail.</w:t>
      </w:r>
    </w:p>
    <w:p>
      <w:pPr>
        <w:spacing w:after="160" w:before="80"/>
      </w:pPr>
      <w:r>
        <w:rPr>
          <w:b/>
          <w:bCs/>
          <w:color w:val="7A1535"/>
        </w:rPr>
        <w:t xml:space="preserve">Source sessions: </w:t>
      </w:r>
      <w:r>
        <w:rPr>
          <w:i/>
          <w:iCs/>
        </w:rPr>
        <w:t xml:space="preserve">Workshop Decisions, Session 3 Q3, Retirement Guidelines table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RET-01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 retirement criteria: 12+ months unused, redundancy, ownership lapse, active AI degradation impact.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A,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WSD, Retirement Guidelines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Four-criteria scorer runs nightly; matches enter retirement queue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RET-02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First-pass filter — mark content not used in past 12 months as candidate for retirement.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Q2 (Jeff Bakko)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12-month-unused report + bulk retire workflow with KM Lead approval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RET-03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identifies and retires content for out-of-lifecycle products automatically.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Product-lifecycle feed → auto-retire job + audit log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RET-04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Agent does not retrieve archived content; picks best answer by freshness / similarity check.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 (Josh)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Retrieval policy excludes archived; freshness weighting tested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RET-05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AI-generated review may produce a restructured version of underperforming content as an alternative to retirement.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'Fix vs retire' decision step in retirement workflow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RET-06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Retirement decisions are auditable: who decided, why, what replaced it (or none).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WSD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Retirement record retained with decision rationale and successor link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RET-07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 / team reorg events trigger orphan-content review (content with no current owner enters retirement candidacy).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WSR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Reorg event → orphan report → reassign-or-retire workflow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Cross-cutting planes</w:t>
      </w:r>
    </w:p>
    <w:p>
      <w:pPr>
        <w:spacing w:after="80"/>
      </w:pPr>
      <w:r>
        <w:t xml:space="preserve">Three planes that span every lifecycle stage. Requirements here unblock multiple stages at once.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Cross-cutting: Health Plane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Why it cuts across: </w:t>
      </w:r>
      <w:r>
        <w:t xml:space="preserve">Health signals must flow continuously across every stage — not be a one-time gate. Connects to: Performance, Maintenance, Idea Engine.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XHL-01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Composite health score combines: usage, freshness, AI grounding contribution, resolution rate, ownership age, feedback velocity.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A,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WS1+WS3 synthesis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Score formula approved; visible per asset; trend-tracked weekly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XHL-02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degradation auto-creates work items routed to the right stage (Maintenance, Retirement, Idea).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WS1+WS3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Rule engine: threshold breach → named workflow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XHL-03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is segmented by audience: customer-facing health is distinct from internal-SE health.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Dashboard supports audience filter without aggregation distortion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Cross-cutting: Trust &amp; Safety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Why it cuts across: </w:t>
      </w:r>
      <w:r>
        <w:t xml:space="preserve">Where AI is most autonomous — publish, retrieval, retirement — guardrails, audit trails, and risk-tier policies live across the lifecycle.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XTS-01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classification on every article drives both the approval chain and the AI-autonomy level allowed.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K, P,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WS2 + WSR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Risk-tier field present; tier → reviewer set + tier → AI action policy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XTS-02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AI-driven actions (auto-fix, auto-retire, auto-publish) are auditable end-to-end.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WSD + WSR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Every AI write captures actor, source, prior version, justification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XTS-03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Guardrails for AI content: no fully-automated decisions in customer-impacting refund / policy domains.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LOB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Loop (Andy)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Domain policy registry; AI blocked from listed domains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XTS-04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grounding-failure risk types tracked: hallucination, noise injection, contradiction, outdated, overlap, invisible quality gap.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Q3 table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Each risk type has a detection signal and a mitigation route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Cross-cutting: Feedback Loop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Why it cuts across: </w:t>
      </w:r>
      <w:r>
        <w:t xml:space="preserve">Every persona must be able to give feedback at the moment of use, and feedback must close the loop — from signal to triage to fix to notification.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100"/>
        <w:gridCol w:w="1500"/>
        <w:gridCol w:w="8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Done looks like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XFB-01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Feedback collected at point-of-use (Copilot, AaQ, DfM, CMSP) is attributable, trackable, and actionable.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Loop, WS1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Submitter identity captured (with privacy controls); status visible to submitter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XFB-02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'who to contact' to fix a content issue — everyone knows the path.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D7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91C1C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Feedback routes to named owner within 1 business day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XFB-03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place to escalate content questions / feedback.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WSO Q2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Escalation queue exists; SLA tracked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7A1535"/>
                <w:sz w:val="18"/>
                <w:szCs w:val="18"/>
              </w:rPr>
              <w:t xml:space="preserve">XFB-04</w:t>
            </w:r>
          </w:p>
        </w:tc>
        <w:tc>
          <w:tcPr>
            <w:tcW w:type="dxa" w:w="4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Closed-loop notification: when content is fixed, the submitter is notified with the change.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T, 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WS3 Q1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B7791F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On fix, automatic notification to original submitter with diff link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Persona roll-up: which requirements touch you</w:t>
      </w:r>
    </w:p>
    <w:p>
      <w:pPr>
        <w:spacing w:after="80"/>
      </w:pPr>
      <w:r>
        <w:t xml:space="preserve">Each persona's requirements are listed by ID. Use this to brief a persona owner or sponsor on what is in scope for them across the lifecycle.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 reqs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Requirement IDs (use Find to jump to each)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Tech SE (T)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IDEA-07, CRT-01, CRT-03, CRT-04, CRT-05, CRT-08, CRT-09, CRT-10, CRT-11, CRT-12, CRT-13, CRT-17, CRT-18, CRT-21, CRT-22, CRT-23, CRT-25, HLTH-08, HLTH-12, PUB-06, PERF-03, PERF-11, PERF-12, MAINT-03, MAINT-06, MAINT-07, MAINT-08, GOV-03, GOV-12, GOV-14, XFB-02, XFB-04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KM Lead (K)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IDEA-01, IDEA-02, IDEA-03, IDEA-04, IDEA-06, IDEA-08, CRT-01, CRT-02, CRT-03, CRT-08, CRT-13, CRT-15, CRT-17, CRT-21, CRT-24, CRT-25, HLTH-01, HLTH-02, HLTH-03, HLTH-04, HLTH-05, HLTH-06, HLTH-07, HLTH-08, HLTH-09, HLTH-10, HLTH-11, PUB-01, PUB-02, PUB-04, PUB-05, PUB-09, PUB-10, PERF-01, PERF-02, PERF-05, PERF-07, PERF-08, PERF-09, PERF-10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Publish Mgr (P)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IDEA-01, IDEA-03, IDEA-05, CRT-01, CRT-02, CRT-04, CRT-07, CRT-08, CRT-09, CRT-10, CRT-14, CRT-16, CRT-23, CRT-24, HLTH-01, HLTH-03, PUB-01, PUB-02, PUB-03, PUB-04, PUB-05, PUB-06, PUB-07, PUB-08, PUB-10, PUB-11, PERF-06, PERF-08, MAINT-11, MAINT-12, GOV-01, GOV-06, GOV-09, GOV-10, GOV-14, GOV-15, GOV-16, RET-03, RET-06, XHL-03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AI Creator (A)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IDEA-02, IDEA-03, IDEA-05, IDEA-07, CRT-01, CRT-03, CRT-05, CRT-06, CRT-07, CRT-09, CRT-11, CRT-12, CRT-15, CRT-16, CRT-17, CRT-18, CRT-19, CRT-20, CRT-22, CRT-25, HLTH-05, HLTH-06, HLTH-12, PUB-03, PUB-06, PUB-07, PUB-08, PUB-09, PUB-10, PUB-11, PERF-04, PERF-05, PERF-06, PERF-10, MAINT-01, MAINT-02, MAINT-03, MAINT-07, MAINT-10, GOV-02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SBU / LOB Leader (LOB)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7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IDEA-01, IDEA-04, IDEA-06, HLTH-01, HLTH-02, HLTH-04, HLTH-07, HLTH-10, HLTH-11, PERF-01, PERF-02, PERF-03, PERF-04, PERF-07, PERF-09, MAINT-05, GOV-01, GOV-02, GOV-04, GOV-18, RET-01, RET-07, XHL-01, XTS-03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Workshop decisions (verbatim)</w:t>
      </w:r>
    </w:p>
    <w:p>
      <w:pPr>
        <w:spacing w:after="80"/>
      </w:pPr>
      <w:r>
        <w:t xml:space="preserve">Decisions explicitly captured during the workshop. These are inputs to the requirements above and to the governance program.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lifecycle model adoption — move from a creation-only system to a full lifecycle (Create → Maintain → Archive → Govern) with defined ownership at each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Signal-driven quality framework — move beyond thumbs up/down to multi-signal content health scoring (usage, staleness, customer outcomes, AI grounding quality).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Ownership model enforcement — every content asset must have a designated owner with clear accountability for freshness and accuracy; ownership gaps trigger retirement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content standards via Governance Board — establish and enforce AI content standards through a dedicated Governance Board so content is optimized for AI retrieval and agent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retirement criteria defined — formal criteria established for retirement based on staleness (12+ months), redundancy, ownership lapse, and active AI degradation impact.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AI-assisted gatekeeping for content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 standardized templates and rules for all content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regular review cycles for all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 content improvement for AI optimization and LLM readiness.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tagging for tech needs from business metadata; allow flexible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 impact with cycle time reduction, solve rate, and cost savings.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Risks &amp;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amplification of stale content — without lifecycle management, AI systems surface and amplify outdated info at scale. Content Health = AI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 without context — risk of wrong decisions if surface-level metrics ignore content age, audience, or use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Organizational change impact — team reorgs and personnel changes orphan content, creating governance gaps with no one accountable.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Governance balance — too loose creates quality issues; too rigid slows everything. Finding the right balance is critical.</w:t>
      </w:r>
    </w:p>
    <w:p>
      <w:r>
        <w:t xml:space="preserve"/>
      </w:r>
    </w:p>
    <w:p>
      <w:pPr>
        <w:pStyle w:val="Heading1"/>
        <w:spacing w:after="120" w:before="240"/>
      </w:pPr>
      <w:r>
        <w:t xml:space="preserve">Next steps &amp; execution plan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2200"/>
      </w:tblGrid>
      <w:tr>
        <w:trPr>
          <w:tblHeader/>
        </w:trP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Complete the outcomes-focused session consolidation (final whiteboard).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Andy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Prioritize common themes — identify and prioritize specific asks from whiteboard sessions.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Andy / Eddy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Convert workshop outputs to ADO engineering business requirements (this document is the input).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Andy, Sony, Eddie, Kim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Share requirements with core KM leadership team for feedback / sign-off.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Andy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Assess requirements against existing tools &amp; engineering teams (gap analysis + capability mapping).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Mark / Russ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Provide a short-term vs long-term execution roadmap.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Andy + Eddy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Deploy existing CX Arch tools for content maintenance.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CXA team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8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Stand up Content Health Dashboard v1 with core freshness + ownership metrics.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Deepti + Eddy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9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Identify requirements and steps to consolidate authoring tools into a single platform.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Andy, Ray, Charlene, Deepti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10</w:t>
            </w:r>
          </w:p>
        </w:tc>
        <w:tc>
          <w:tcPr>
            <w:tcW w:type="dxa" w:w="7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Review meeting themes / specific asks; convert to ADO + share for feedback.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Andy, Sony, Eddie, Kim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Open questions parking lot</w:t>
      </w:r>
    </w:p>
    <w:p>
      <w:pPr>
        <w:spacing w:after="80"/>
      </w:pPr>
      <w:r>
        <w:t xml:space="preserve">Captured during the workshop but not yet resolved. Each is a candidate for a follow-on discovery interview using the Persona × Lifecycle Stage Deep-Dive Question Bank.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 / SBU / LOB mapping for articles — which canonical taxonomy wins?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do we incentivize broader participation in content authoring beyond today's small contributor base?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owns accuracy reviews for customer-facing content — CSS, PG, or shared?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the most reliable signals for outdated or inaccurate content (beyond what we already track)?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do we surface invisible quality gaps and missing content for AI?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minimal metadata / tagging required for AI retrieval (vs human discovery)?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organizational changes are required to land the new tools and processes?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content map to the AI agent that will retrieve it, rather than to our team / product structure?</w:t>
      </w:r>
    </w:p>
    <w:p>
      <w:r>
        <w:br w:type="page"/>
      </w:r>
    </w:p>
    <w:p>
      <w:pPr>
        <w:pStyle w:val="Heading1"/>
        <w:spacing w:after="120" w:before="240"/>
      </w:pPr>
      <w:r>
        <w:t xml:space="preserve">Workshop attendees</w:t>
      </w:r>
    </w:p>
    <w:p>
      <w:pPr>
        <w:spacing w:after="80"/>
      </w:pPr>
      <w:r>
        <w:t xml:space="preserve">28 participants across CSS, MSS, CEnS, CZE, SCIM, and A&amp;I. Facilitators: Andy Beadle &amp; Eddy Harsh. Session owners: Deepti Busireddy (S1), Ray Ringhiser (S2), Charlene Douglass (S3).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Title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Group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Alex Lubenski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 Tech Support Eng Mgmt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A&amp;I Enterprise Management ABRS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Amy Kolbo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 Support Planner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MSS Partner Delivery Supt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Andy Beadle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WW Support Leader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Strategy &amp; Innovation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Anibal Balera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 Support Planning Mgmt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MSS Tools and Technology Brazil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Brian Bain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Principal Group Product Mgr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CZE SXG DfM COGS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Carolyn Baana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 Supportability Mgmt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MSS Tools and Technology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Charlene Douglass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 Content Pub Mgr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CEnS Learning &amp; Development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Craig Lunde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 Supportability Mgmt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MSS Serviceability &amp; Mgmt – Dynamics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Deepti Busireddy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Principal Product Manager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CZE SXG COGS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Eddy Harsh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Strategy &amp; Innovation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Elisa Panelli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 Dir Supportability Mgmt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SCIM Identity EEE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Jason Epperly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 Tech Support Eng EE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A&amp;I WinComm User Experience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Jeff Bakko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 Supportability Mgmt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MSS Serviceability &amp; Mgmt – Dynamics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Josh Jones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 Tech Support Eng EE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MSS Skype / Teams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Kim Morihiro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 Manager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Strategy &amp; Operations (PCMO)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Lisa Breaux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 TPM Manager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CXA Architecture Programs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 Robbins-Linford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 Technical Program Manager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Strategy &amp; Innovation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Matt Rose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 Business Program Mgr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Learning &amp; Development CSS S&amp;I UK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Neha Verma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 Tech Support Eng Mgmt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A&amp;I IP Integration India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Preeti Kamat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 Supportability Mgmt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SCIM Identity EEE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Ray Ringhiser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 Content Pub Mgr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CXA KM Architecture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Russell Maw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 TPM Manager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Strategy &amp; Innovation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 Larson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 Supportability Mgr PM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MSS ODSP Supportability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Sherman Anderson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 Prin Technical Program Mgr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S&amp;O Technical Operations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Sony Manay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 Technical Program Manager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S&amp;O Technical Operations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Steve Trepp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 Technical Program Manager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Strategy &amp; Innovation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Susan Indridason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 Supportability Mgr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Strategy &amp; Operations (PCMO)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Swati Deshmukh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 Supportability Mgr PM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SCIM Identity Supportability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Teresa Brosche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 Manager</w:t>
            </w:r>
          </w:p>
        </w:tc>
        <w:tc>
          <w:tcPr>
            <w:tcW w:type="dxa" w:w="4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Strategy &amp; Operations (PCMO)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Companion artifacts</w:t>
      </w:r>
    </w:p>
    <w:p>
      <w:pPr>
        <w:spacing w:after="80"/>
      </w:pPr>
      <w:r>
        <w:t xml:space="preserve">These artifacts work together as one PM operating set. Use this requirements doc as the engineering bridge; use the others for discovery and visualization.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 Dashboard (interactive HTML) — https://sonymanay.github.io/ccs-discovery-dashboard/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E2E Lifecycle Vision Diagram (interactive HTML) — https://sonymanay.github.io/ccs-discovery-dashboard/lifecycle.html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 × Lifecycle Stage Deep-Dive Question Bank (docx) — https://sonymanay.github.io/ccs-discovery-dashboard/templates/CCS_Lifecycle_DeepDive_Questions.docx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CCS Content Discovery Master Template (docx) — https://sonymanay.github.io/ccs-discovery-dashboard/templates/CCS_Content_Discovery_Template.docx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Persona-specific discovery docs (Tech SE, KM Lead, Publish Mgr, AI Creator) — https://sonymanay.github.io/ccs-discovery-dashboard/templates/personas/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 one-pager summary (docx) — https://sonymanay.github.io/ccs-discovery-dashboard/templates/CCS_Discovery_Summary_OnePager.docx</w:t>
      </w:r>
    </w:p>
    <w:p>
      <w:r>
        <w:t xml:space="preserve"/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How this doc gets used: </w:t>
      </w:r>
      <w:r>
        <w:t xml:space="preserve">Each requirement ID in this document is a candidate ADO work item title. The 'Done looks like' column is the seed for the acceptance criteria. Owner per requirement is inferred from the persona + stage, and confirmed in the KM leadership review.</w:t>
      </w:r>
    </w:p>
    <w:sectPr>
      <w:headerReference w:type="default" r:id="rId7"/>
      <w:footerReference w:type="default" r:id="rId8"/>
      <w:pgSz w:w="12240" w:h="15840" w:orient="portrait"/>
      <w:pgMar w:top="13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11F4B" w:sz="6" w:space="1"/>
      </w:pBdr>
      <w:tabs>
        <w:tab w:val="right" w:pos="9026"/>
      </w:tabs>
    </w:pPr>
    <w:r>
      <w:rPr>
        <w:b/>
        <w:bCs/>
        <w:color w:val="B11F4B"/>
      </w:rPr>
      <w:t xml:space="preserve">CCS Requirements Mapping — KM FY27 Lifecycle Workshop</w:t>
    </w:r>
    <w:r>
      <w:rPr>
        <w:color w:val="595959"/>
      </w:rPr>
      <w:t xml:space="preserve">	v1.0  ·  June 2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B11F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7A15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7A15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CCS Requirements Mapping — KM FY27 Workshop</dc:title>
  <dc:creator>Sony Manay</dc:creator>
  <dc:description>Requirements gathered at the June 2 2026 KM Content Lifecycle workshop, mapped to 8 lifecycle stages and 4 CSS personas.</dc:description>
  <cp:lastModifiedBy>Un-named</cp:lastModifiedBy>
  <cp:revision>1</cp:revision>
  <dcterms:created xsi:type="dcterms:W3CDTF">2026-06-07T03:13:15.522Z</dcterms:created>
  <dcterms:modified xsi:type="dcterms:W3CDTF">2026-06-07T03:13:15.523Z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