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B11F4B"/>
          <w:sz w:val="44"/>
          <w:szCs w:val="44"/>
        </w:rPr>
        <w:t xml:space="preserve">CCS Content Lifecycle Platform — PRD v2</w:t>
      </w:r>
    </w:p>
    <w:p>
      <w:pPr>
        <w:spacing w:after="240" w:before="0"/>
        <w:jc w:val="left"/>
      </w:pPr>
      <w:r>
        <w:rPr>
          <w:rFonts w:ascii="Arial" w:cs="Arial" w:eastAsia="Arial" w:hAnsi="Arial"/>
          <w:i/>
          <w:iCs/>
          <w:color w:val="555555"/>
          <w:sz w:val="22"/>
          <w:szCs w:val="22"/>
        </w:rPr>
        <w:t xml:space="preserve">Workshop-Synthesized Requirements with Impact x Fixability Prioritization Matrix</w:t>
      </w:r>
    </w:p>
    <w:p>
      <w:pPr>
        <w:spacing w:after="80" w:before="240"/>
      </w:pPr>
      <w:r>
        <w:rPr>
          <w:rFonts w:ascii="Arial" w:cs="Arial" w:eastAsia="Arial" w:hAnsi="Arial"/>
          <w:b/>
          <w:bCs/>
          <w:color w:val="B11F4B"/>
          <w:sz w:val="22"/>
          <w:szCs w:val="22"/>
        </w:rP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Field</w:t>
            </w:r>
          </w:p>
        </w:tc>
        <w:tc>
          <w:tcPr>
            <w:tcW w:type="pct" w:w="75%"/>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Value</w:t>
            </w:r>
          </w:p>
        </w:tc>
      </w:tr>
      <w:tr>
        <w:tc>
          <w:tcPr>
            <w:tcW w:type="pct" w:w="30%"/>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Status</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Draft v2 — ready for SME review</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Owner</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Sony Manay (PM, CCS Content)</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Source</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KM FY27 Content Lifecycle Planning Workshop — June 2, 2026 (Sessions 1, 2, 3)</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Contributors (SMEs)</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Ray Ringhiser, Josh Jones, Jason Epperly, Andy Beadle, Steve Trepp, Eddy Harsh, Deepti</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Supersedes</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CCS_PRD.docx (v1) — v2 adds prioritization matrix grounded in SME vote counts</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Target</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FY27 plan; MVP scope = P0 requirements only</w:t>
            </w:r>
          </w:p>
        </w:tc>
      </w:tr>
    </w:tbl>
    <w:p>
      <w:r>
        <w:br w:type="page"/>
      </w:r>
    </w:p>
    <w:p>
      <w:pPr>
        <w:pStyle w:val="Heading1"/>
        <w:spacing w:after="120" w:before="240"/>
      </w:pPr>
      <w:r>
        <w:rPr>
          <w:rFonts w:ascii="Arial" w:cs="Arial" w:eastAsia="Arial" w:hAnsi="Arial"/>
          <w:b/>
          <w:bCs/>
          <w:color w:val="B11F4B"/>
          <w:sz w:val="32"/>
          <w:szCs w:val="32"/>
        </w:rPr>
        <w:t xml:space="preserve">1. TL;DR</w:t>
      </w:r>
    </w:p>
    <w:p>
      <w:pPr>
        <w:spacing w:after="80" w:before="0"/>
      </w:pPr>
      <w:r>
        <w:rPr>
          <w:rFonts w:ascii="Arial" w:cs="Arial" w:eastAsia="Arial" w:hAnsi="Arial"/>
          <w:color w:val="333333"/>
          <w:sz w:val="20"/>
          <w:szCs w:val="20"/>
        </w:rPr>
        <w:t xml:space="preserve">CSS is sitting on a content corpus that AI grounding now exposes as fragmented, silently outdated, and ownerless. Three KM workshop sessions with named SMEs produced a converging signal: today’s tools, signals, and accountability model were built for human consumption — not AI — and not for the volume of content the business now requires.</w:t>
      </w:r>
    </w:p>
    <w:p>
      <w:pPr>
        <w:spacing w:after="80" w:before="0"/>
      </w:pPr>
      <w:r>
        <w:rPr>
          <w:rFonts w:ascii="Arial" w:cs="Arial" w:eastAsia="Arial" w:hAnsi="Arial"/>
          <w:color w:val="333333"/>
          <w:sz w:val="20"/>
          <w:szCs w:val="20"/>
        </w:rPr>
        <w:t xml:space="preserve">This PRD organizes 30 SME-grounded requirements across six lifecycle layers (Health, Creation, Maintenance, Governance, AI Optimization, Dashboard) and prioritizes every requirement on an Impact x Fixability matrix that the SMEs themselves endorsed in Session 3.</w:t>
      </w:r>
    </w:p>
    <w:p>
      <w:pPr>
        <w:spacing w:after="80" w:before="120"/>
      </w:pPr>
      <w:r>
        <w:rPr>
          <w:rFonts w:ascii="Arial" w:cs="Arial" w:eastAsia="Arial" w:hAnsi="Arial"/>
          <w:b/>
          <w:bCs/>
          <w:color w:val="B11F4B"/>
          <w:sz w:val="22"/>
          <w:szCs w:val="22"/>
        </w:rPr>
        <w:t xml:space="preserve">Outcome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Priority</w:t>
            </w:r>
          </w:p>
        </w:tc>
        <w:tc>
          <w:tcPr>
            <w:tcW w:type="pct" w:w="1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Count</w:t>
            </w:r>
          </w:p>
        </w:tc>
        <w:tc>
          <w:tcPr>
            <w:tcW w:type="pct" w:w="4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Bucket</w:t>
            </w:r>
          </w:p>
        </w:tc>
        <w:tc>
          <w:tcPr>
            <w:tcW w:type="pct" w:w="15%"/>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When</w:t>
            </w:r>
          </w:p>
        </w:tc>
      </w:tr>
      <w:tr>
        <w:tc>
          <w:tcPr>
            <w:shd w:fill="C6EFCE" w:color="auto" w:val="clea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P0 — ship in MVP</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8"/>
                <w:szCs w:val="18"/>
              </w:rPr>
              <w:t xml:space="preserve">11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8"/>
                <w:szCs w:val="18"/>
              </w:rPr>
              <w:t xml:space="preserve">Quick Wins + must-have foundations (score ≥ 16)</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8"/>
                <w:szCs w:val="18"/>
              </w:rPr>
              <w:t xml:space="preserve">FY27 Q1</w:t>
            </w:r>
          </w:p>
        </w:tc>
      </w:tr>
      <w:tr>
        <w:tc>
          <w:tcPr>
            <w:shd w:fill="FFEB9C" w:color="auto" w:val="clea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P1 — strategic</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8"/>
                <w:szCs w:val="18"/>
              </w:rPr>
              <w:t xml:space="preserve">17</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8"/>
                <w:szCs w:val="18"/>
              </w:rPr>
              <w:t xml:space="preserve">High value, medium effort (score 9–15)</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8"/>
                <w:szCs w:val="18"/>
              </w:rPr>
              <w:t xml:space="preserve">FY27 Q2–Q3</w:t>
            </w:r>
          </w:p>
        </w:tc>
      </w:tr>
      <w:tr>
        <w:tc>
          <w:tcPr>
            <w:shd w:fill="FFC7CE" w:color="auto" w:val="clea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P2 — long-term</w:t>
            </w:r>
          </w:p>
        </w:tc>
        <w:tc>
          <w:tcPr>
            <w:shd w:fill="FFC7CE" w:color="auto" w:val="clear"/>
            <w:tcMar>
              <w:top w:type="dxa" w:w="60"/>
              <w:left w:type="dxa" w:w="90"/>
              <w:bottom w:type="dxa" w:w="60"/>
              <w:right w:type="dxa" w:w="90"/>
            </w:tcMar>
          </w:tcPr>
          <w:p>
            <w:pPr>
              <w:spacing w:after="0"/>
              <w:jc w:val="center"/>
            </w:pPr>
            <w:r>
              <w:rPr>
                <w:rFonts w:ascii="Arial" w:cs="Arial" w:eastAsia="Arial" w:hAnsi="Arial"/>
                <w:color w:val="333333"/>
                <w:sz w:val="18"/>
                <w:szCs w:val="18"/>
              </w:rPr>
              <w:t xml:space="preserve">3</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8"/>
                <w:szCs w:val="18"/>
              </w:rPr>
              <w:t xml:space="preserve">Big Bets requiring cross-org alignment (score ≤ 8)</w:t>
            </w:r>
          </w:p>
        </w:tc>
        <w:tc>
          <w:tcPr>
            <w:shd w:fill="FFC7CE" w:color="auto" w:val="clear"/>
            <w:tcMar>
              <w:top w:type="dxa" w:w="60"/>
              <w:left w:type="dxa" w:w="90"/>
              <w:bottom w:type="dxa" w:w="60"/>
              <w:right w:type="dxa" w:w="90"/>
            </w:tcMar>
          </w:tcPr>
          <w:p>
            <w:pPr>
              <w:spacing w:after="0"/>
              <w:jc w:val="center"/>
            </w:pPr>
            <w:r>
              <w:rPr>
                <w:rFonts w:ascii="Arial" w:cs="Arial" w:eastAsia="Arial" w:hAnsi="Arial"/>
                <w:color w:val="333333"/>
                <w:sz w:val="18"/>
                <w:szCs w:val="18"/>
              </w:rPr>
              <w:t xml:space="preserve">FY27 Q4+ / backlog</w:t>
            </w:r>
          </w:p>
        </w:tc>
      </w:tr>
    </w:tbl>
    <w:p>
      <w:pPr>
        <w:spacing w:after="80" w:before="200"/>
      </w:pPr>
      <w:r>
        <w:rPr>
          <w:rFonts w:ascii="Arial" w:cs="Arial" w:eastAsia="Arial" w:hAnsi="Arial"/>
          <w:b/>
          <w:bCs/>
          <w:color w:val="B11F4B"/>
          <w:sz w:val="22"/>
          <w:szCs w:val="22"/>
        </w:rPr>
        <w:t xml:space="preserve">Vision tie-in</w:t>
      </w:r>
    </w:p>
    <w:p>
      <w:pPr>
        <w:spacing w:after="120" w:before="60"/>
        <w:ind w:left="431"/>
      </w:pPr>
      <w:r>
        <w:rPr>
          <w:rFonts w:ascii="Arial" w:cs="Arial" w:eastAsia="Arial" w:hAnsi="Arial"/>
          <w:i/>
          <w:iCs/>
          <w:color w:val="333333"/>
          <w:sz w:val="20"/>
          <w:szCs w:val="20"/>
        </w:rPr>
        <w:t xml:space="preserve">“Turn every customer signal into a trusted answer — before the next customer has to ask.” </w:t>
      </w:r>
      <w:r>
        <w:rPr>
          <w:rFonts w:ascii="Arial" w:cs="Arial" w:eastAsia="Arial" w:hAnsi="Arial"/>
          <w:color w:val="555555"/>
          <w:sz w:val="18"/>
          <w:szCs w:val="18"/>
        </w:rPr>
        <w:t xml:space="preserve">— CCS Content vision (selected candidate A)</w:t>
      </w:r>
    </w:p>
    <w:p>
      <w:pPr>
        <w:spacing w:after="80" w:before="0"/>
      </w:pPr>
      <w:r>
        <w:rPr>
          <w:rFonts w:ascii="Arial" w:cs="Arial" w:eastAsia="Arial" w:hAnsi="Arial"/>
          <w:color w:val="333333"/>
          <w:sz w:val="20"/>
          <w:szCs w:val="20"/>
        </w:rPr>
        <w:t xml:space="preserve">Every P0 in this PRD shortens the path between a customer signal (case, query, thumbs-down) and a trusted, AI-retrievable answer.</w:t>
      </w:r>
    </w:p>
    <w:p>
      <w:r>
        <w:br w:type="page"/>
      </w:r>
    </w:p>
    <w:p>
      <w:pPr>
        <w:pStyle w:val="Heading1"/>
        <w:spacing w:after="120" w:before="240"/>
      </w:pPr>
      <w:r>
        <w:rPr>
          <w:rFonts w:ascii="Arial" w:cs="Arial" w:eastAsia="Arial" w:hAnsi="Arial"/>
          <w:b/>
          <w:bCs/>
          <w:color w:val="B11F4B"/>
          <w:sz w:val="32"/>
          <w:szCs w:val="32"/>
        </w:rPr>
        <w:t xml:space="preserve">2. Problem statement — in the SMEs’ own words</w:t>
      </w:r>
    </w:p>
    <w:p>
      <w:pPr>
        <w:spacing w:after="80" w:before="0"/>
      </w:pPr>
      <w:r>
        <w:rPr>
          <w:rFonts w:ascii="Arial" w:cs="Arial" w:eastAsia="Arial" w:hAnsi="Arial"/>
          <w:color w:val="333333"/>
          <w:sz w:val="20"/>
          <w:szCs w:val="20"/>
        </w:rPr>
        <w:t xml:space="preserve">The problem is not "we need more content." It is that the content we have is invisible to the systems that now consume it, accountable to no one when it breaks, and authored in a process that actively creates the next duplicate.</w:t>
      </w:r>
    </w:p>
    <w:p>
      <w:pPr>
        <w:spacing w:after="80" w:before="200"/>
      </w:pPr>
      <w:r>
        <w:rPr>
          <w:rFonts w:ascii="Arial" w:cs="Arial" w:eastAsia="Arial" w:hAnsi="Arial"/>
          <w:b/>
          <w:bCs/>
          <w:color w:val="B11F4B"/>
          <w:sz w:val="22"/>
          <w:szCs w:val="22"/>
        </w:rPr>
        <w:t xml:space="preserve">Direct SME signals</w:t>
      </w:r>
    </w:p>
    <w:p>
      <w:pPr>
        <w:spacing w:after="120" w:before="60"/>
        <w:ind w:left="431"/>
      </w:pPr>
      <w:r>
        <w:rPr>
          <w:rFonts w:ascii="Arial" w:cs="Arial" w:eastAsia="Arial" w:hAnsi="Arial"/>
          <w:i/>
          <w:iCs/>
          <w:color w:val="333333"/>
          <w:sz w:val="20"/>
          <w:szCs w:val="20"/>
        </w:rPr>
        <w:t xml:space="preserve">“Today a customer must tell us before we know it’s wrong.” </w:t>
      </w:r>
      <w:r>
        <w:rPr>
          <w:rFonts w:ascii="Arial" w:cs="Arial" w:eastAsia="Arial" w:hAnsi="Arial"/>
          <w:color w:val="555555"/>
          <w:sz w:val="18"/>
          <w:szCs w:val="18"/>
        </w:rPr>
        <w:t xml:space="preserve">— Session 3 — Content Accuracy (Tier 1)</w:t>
      </w:r>
    </w:p>
    <w:p>
      <w:pPr>
        <w:spacing w:after="120" w:before="60"/>
        <w:ind w:left="431"/>
      </w:pPr>
      <w:r>
        <w:rPr>
          <w:rFonts w:ascii="Arial" w:cs="Arial" w:eastAsia="Arial" w:hAnsi="Arial"/>
          <w:i/>
          <w:iCs/>
          <w:color w:val="333333"/>
          <w:sz w:val="20"/>
          <w:szCs w:val="20"/>
        </w:rPr>
        <w:t xml:space="preserve">“Too many different authoring tools; each tool switch is a drop point.” </w:t>
      </w:r>
      <w:r>
        <w:rPr>
          <w:rFonts w:ascii="Arial" w:cs="Arial" w:eastAsia="Arial" w:hAnsi="Arial"/>
          <w:color w:val="555555"/>
          <w:sz w:val="18"/>
          <w:szCs w:val="18"/>
        </w:rPr>
        <w:t xml:space="preserve">— Session 2 Q1 — Tier 1</w:t>
      </w:r>
    </w:p>
    <w:p>
      <w:pPr>
        <w:spacing w:after="120" w:before="60"/>
        <w:ind w:left="431"/>
      </w:pPr>
      <w:r>
        <w:rPr>
          <w:rFonts w:ascii="Arial" w:cs="Arial" w:eastAsia="Arial" w:hAnsi="Arial"/>
          <w:i/>
          <w:iCs/>
          <w:color w:val="333333"/>
          <w:sz w:val="20"/>
          <w:szCs w:val="20"/>
        </w:rPr>
        <w:t xml:space="preserve">“Duplicate content is a pain point from a maintainability standpoint.” </w:t>
      </w:r>
      <w:r>
        <w:rPr>
          <w:rFonts w:ascii="Arial" w:cs="Arial" w:eastAsia="Arial" w:hAnsi="Arial"/>
          <w:color w:val="555555"/>
          <w:sz w:val="18"/>
          <w:szCs w:val="18"/>
        </w:rPr>
        <w:t xml:space="preserve">— Session 3 Q2 — Tier 1</w:t>
      </w:r>
    </w:p>
    <w:p>
      <w:pPr>
        <w:spacing w:after="120" w:before="60"/>
        <w:ind w:left="431"/>
      </w:pPr>
      <w:r>
        <w:rPr>
          <w:rFonts w:ascii="Arial" w:cs="Arial" w:eastAsia="Arial" w:hAnsi="Arial"/>
          <w:i/>
          <w:iCs/>
          <w:color w:val="333333"/>
          <w:sz w:val="20"/>
          <w:szCs w:val="20"/>
        </w:rPr>
        <w:t xml:space="preserve">“Created for humans, not AI — screenshots, links, non-structured formats dominate.” </w:t>
      </w:r>
      <w:r>
        <w:rPr>
          <w:rFonts w:ascii="Arial" w:cs="Arial" w:eastAsia="Arial" w:hAnsi="Arial"/>
          <w:color w:val="555555"/>
          <w:sz w:val="18"/>
          <w:szCs w:val="18"/>
        </w:rPr>
        <w:t xml:space="preserve">— Session 3 Q3 — Tier 1</w:t>
      </w:r>
    </w:p>
    <w:p>
      <w:pPr>
        <w:spacing w:after="120" w:before="60"/>
        <w:ind w:left="431"/>
      </w:pPr>
      <w:r>
        <w:rPr>
          <w:rFonts w:ascii="Arial" w:cs="Arial" w:eastAsia="Arial" w:hAnsi="Arial"/>
          <w:i/>
          <w:iCs/>
          <w:color w:val="333333"/>
          <w:sz w:val="20"/>
          <w:szCs w:val="20"/>
        </w:rPr>
        <w:t xml:space="preserve">“Real-time similarity check that BLOCKS duplication mid-type — prevent, don’t detect later.” </w:t>
      </w:r>
      <w:r>
        <w:rPr>
          <w:rFonts w:ascii="Arial" w:cs="Arial" w:eastAsia="Arial" w:hAnsi="Arial"/>
          <w:color w:val="555555"/>
          <w:sz w:val="18"/>
          <w:szCs w:val="18"/>
        </w:rPr>
        <w:t xml:space="preserve">— Ray Ringhiser, Session 2 (Lean Six Sigma)</w:t>
      </w:r>
    </w:p>
    <w:p>
      <w:pPr>
        <w:spacing w:after="120" w:before="60"/>
        <w:ind w:left="431"/>
      </w:pPr>
      <w:r>
        <w:rPr>
          <w:rFonts w:ascii="Arial" w:cs="Arial" w:eastAsia="Arial" w:hAnsi="Arial"/>
          <w:i/>
          <w:iCs/>
          <w:color w:val="333333"/>
          <w:sz w:val="20"/>
          <w:szCs w:val="20"/>
        </w:rPr>
        <w:t xml:space="preserve">“Removes the "I’m not a writer" barrier to unlock SME knowledge.” </w:t>
      </w:r>
      <w:r>
        <w:rPr>
          <w:rFonts w:ascii="Arial" w:cs="Arial" w:eastAsia="Arial" w:hAnsi="Arial"/>
          <w:color w:val="555555"/>
          <w:sz w:val="18"/>
          <w:szCs w:val="18"/>
        </w:rPr>
        <w:t xml:space="preserve">— Session 2 Q1 — Tier 1 (Ray’s round-tables)</w:t>
      </w:r>
    </w:p>
    <w:p>
      <w:pPr>
        <w:spacing w:after="80" w:before="200"/>
      </w:pPr>
      <w:r>
        <w:rPr>
          <w:rFonts w:ascii="Arial" w:cs="Arial" w:eastAsia="Arial" w:hAnsi="Arial"/>
          <w:b/>
          <w:bCs/>
          <w:color w:val="B11F4B"/>
          <w:sz w:val="22"/>
          <w:szCs w:val="22"/>
        </w:rPr>
        <w:t xml:space="preserve">Where the workshop converged</w:t>
      </w:r>
    </w:p>
    <w:p>
      <w:pPr>
        <w:pStyle w:val="ListParagraph"/>
        <w:numPr>
          <w:ilvl w:val="0"/>
          <w:numId w:val="1"/>
        </w:numPr>
        <w:spacing w:after="60"/>
      </w:pPr>
      <w:r>
        <w:rPr>
          <w:rFonts w:ascii="Arial" w:cs="Arial" w:eastAsia="Arial" w:hAnsi="Arial"/>
          <w:color w:val="333333"/>
          <w:sz w:val="20"/>
          <w:szCs w:val="20"/>
        </w:rPr>
        <w:t xml:space="preserve">Health: SMEs voted "Usage tied to case closure" as the #1 signal they need (7 thumbs up — the single highest vote of any theme in any session).</w:t>
      </w:r>
    </w:p>
    <w:p>
      <w:pPr>
        <w:pStyle w:val="ListParagraph"/>
        <w:numPr>
          <w:ilvl w:val="0"/>
          <w:numId w:val="1"/>
        </w:numPr>
        <w:spacing w:after="60"/>
      </w:pPr>
      <w:r>
        <w:rPr>
          <w:rFonts w:ascii="Arial" w:cs="Arial" w:eastAsia="Arial" w:hAnsi="Arial"/>
          <w:color w:val="333333"/>
          <w:sz w:val="20"/>
          <w:szCs w:val="20"/>
        </w:rPr>
        <w:t xml:space="preserve">Creation: SMEs converged on ONE authoring tool, ONE unified template per doc-type, and prevention-at-authoring for both duplication and PII.</w:t>
      </w:r>
    </w:p>
    <w:p>
      <w:pPr>
        <w:pStyle w:val="ListParagraph"/>
        <w:numPr>
          <w:ilvl w:val="0"/>
          <w:numId w:val="1"/>
        </w:numPr>
        <w:spacing w:after="60"/>
      </w:pPr>
      <w:r>
        <w:rPr>
          <w:rFonts w:ascii="Arial" w:cs="Arial" w:eastAsia="Arial" w:hAnsi="Arial"/>
          <w:color w:val="333333"/>
          <w:sz w:val="20"/>
          <w:szCs w:val="20"/>
        </w:rPr>
        <w:t xml:space="preserve">Maintain / Govern / Archive: SMEs explicitly endorsed an Impact x Fixability prioritization model and named ownership ambiguity (CSS vs PG) as the single biggest blocker to accountability.</w:t>
      </w:r>
    </w:p>
    <w:p>
      <w:r>
        <w:br w:type="page"/>
      </w:r>
    </w:p>
    <w:p>
      <w:pPr>
        <w:pStyle w:val="Heading1"/>
        <w:spacing w:after="120" w:before="240"/>
      </w:pPr>
      <w:r>
        <w:rPr>
          <w:rFonts w:ascii="Arial" w:cs="Arial" w:eastAsia="Arial" w:hAnsi="Arial"/>
          <w:b/>
          <w:bCs/>
          <w:color w:val="B11F4B"/>
          <w:sz w:val="32"/>
          <w:szCs w:val="32"/>
        </w:rPr>
        <w:t xml:space="preserve">3. Personas &amp; solution thesis</w:t>
      </w:r>
    </w:p>
    <w:p>
      <w:pPr>
        <w:spacing w:after="80" w:before="0"/>
      </w:pPr>
      <w:r>
        <w:rPr>
          <w:rFonts w:ascii="Arial" w:cs="Arial" w:eastAsia="Arial" w:hAnsi="Arial"/>
          <w:color w:val="333333"/>
          <w:sz w:val="20"/>
          <w:szCs w:val="20"/>
        </w:rPr>
        <w:t xml:space="preserve">Four CCS personas anchor every requirement in this PRD. The PRD intentionally treats them as primary consumers, not secondary.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Persona</w:t>
            </w:r>
          </w:p>
        </w:tc>
        <w:tc>
          <w:tcPr>
            <w:tcW w:type="pct" w:w="1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Role</w:t>
            </w:r>
          </w:p>
        </w:tc>
        <w:tc>
          <w:tcPr>
            <w:tcW w:type="pct" w:w="2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Primary publishing destination</w:t>
            </w:r>
          </w:p>
        </w:tc>
        <w:tc>
          <w:tcPr>
            <w:tcW w:type="pct" w:w="36%"/>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Top pain (from workshop)</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CSS Tech SE</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Tech Support Engineer / EEE</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Evergreen, CSS Wiki (via Rubik)</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Tool sprawl; can’t reuse prior content (S2 Q1).</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CSS KM Lead</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Knowledge Management Lead</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CSS Wiki</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No definitive gaps telemetry; no owner per domain (S1+S3).</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Content Publish Manager</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External content creator</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LMC, SMC</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No single compliance bar; internal-vs-external default is broken (S2 Q3).</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AI Content Creator</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AI/KMA-harvested post case-closure</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Internal Cornerstone AAQ</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Content not AI-ready; grounding fails on duplicates + structure (S3 Q3).</w:t>
            </w:r>
          </w:p>
        </w:tc>
      </w:tr>
    </w:tbl>
    <w:p>
      <w:pPr>
        <w:spacing w:after="80" w:before="240"/>
      </w:pPr>
      <w:r>
        <w:rPr>
          <w:rFonts w:ascii="Arial" w:cs="Arial" w:eastAsia="Arial" w:hAnsi="Arial"/>
          <w:b/>
          <w:bCs/>
          <w:color w:val="B11F4B"/>
          <w:sz w:val="22"/>
          <w:szCs w:val="22"/>
        </w:rPr>
        <w:t xml:space="preserve">Solution thesis</w:t>
      </w:r>
    </w:p>
    <w:p>
      <w:pPr>
        <w:pStyle w:val="ListParagraph"/>
        <w:numPr>
          <w:ilvl w:val="0"/>
          <w:numId w:val="1"/>
        </w:numPr>
        <w:spacing w:after="60"/>
      </w:pPr>
      <w:r>
        <w:rPr>
          <w:rFonts w:ascii="Arial" w:cs="Arial" w:eastAsia="Arial" w:hAnsi="Arial"/>
          <w:color w:val="333333"/>
          <w:sz w:val="20"/>
          <w:szCs w:val="20"/>
        </w:rPr>
        <w:t xml:space="preserve">One unified authoring surface that enforces template, dedup, PII, and AI-readiness at input — not after publish (prevention over detection, Ray).</w:t>
      </w:r>
    </w:p>
    <w:p>
      <w:pPr>
        <w:pStyle w:val="ListParagraph"/>
        <w:numPr>
          <w:ilvl w:val="0"/>
          <w:numId w:val="1"/>
        </w:numPr>
        <w:spacing w:after="60"/>
      </w:pPr>
      <w:r>
        <w:rPr>
          <w:rFonts w:ascii="Arial" w:cs="Arial" w:eastAsia="Arial" w:hAnsi="Arial"/>
          <w:color w:val="333333"/>
          <w:sz w:val="20"/>
          <w:szCs w:val="20"/>
        </w:rPr>
        <w:t xml:space="preserve">One content-health signal layer that ranks every asset on outcome + retrieval + freshness + AI-readiness, with the "no answer" signal captured.</w:t>
      </w:r>
    </w:p>
    <w:p>
      <w:pPr>
        <w:pStyle w:val="ListParagraph"/>
        <w:numPr>
          <w:ilvl w:val="0"/>
          <w:numId w:val="1"/>
        </w:numPr>
        <w:spacing w:after="60"/>
      </w:pPr>
      <w:r>
        <w:rPr>
          <w:rFonts w:ascii="Arial" w:cs="Arial" w:eastAsia="Arial" w:hAnsi="Arial"/>
          <w:color w:val="333333"/>
          <w:sz w:val="20"/>
          <w:szCs w:val="20"/>
        </w:rPr>
        <w:t xml:space="preserve">One governance model: named owner per domain, internal-default + external promotion gate, and CSS-vs-PG ownership clarified.</w:t>
      </w:r>
    </w:p>
    <w:p>
      <w:pPr>
        <w:pStyle w:val="ListParagraph"/>
        <w:numPr>
          <w:ilvl w:val="0"/>
          <w:numId w:val="1"/>
        </w:numPr>
        <w:spacing w:after="60"/>
      </w:pPr>
      <w:r>
        <w:rPr>
          <w:rFonts w:ascii="Arial" w:cs="Arial" w:eastAsia="Arial" w:hAnsi="Arial"/>
          <w:color w:val="333333"/>
          <w:sz w:val="20"/>
          <w:szCs w:val="20"/>
        </w:rPr>
        <w:t xml:space="preserve">One prioritization model (Impact x Fixability) the team uses every week to pick what to fix next.</w:t>
      </w:r>
    </w:p>
    <w:p>
      <w:r>
        <w:br w:type="page"/>
      </w:r>
    </w:p>
    <w:p>
      <w:pPr>
        <w:pStyle w:val="Heading1"/>
        <w:spacing w:after="120" w:before="240"/>
      </w:pPr>
      <w:r>
        <w:rPr>
          <w:rFonts w:ascii="Arial" w:cs="Arial" w:eastAsia="Arial" w:hAnsi="Arial"/>
          <w:b/>
          <w:bCs/>
          <w:color w:val="B11F4B"/>
          <w:sz w:val="32"/>
          <w:szCs w:val="32"/>
        </w:rPr>
        <w:t xml:space="preserve">4. Prioritization method — Impact x Fixability (and "why" for every requirement)</w:t>
      </w:r>
    </w:p>
    <w:p>
      <w:pPr>
        <w:spacing w:after="80" w:before="0"/>
      </w:pPr>
      <w:r>
        <w:rPr>
          <w:rFonts w:ascii="Arial" w:cs="Arial" w:eastAsia="Arial" w:hAnsi="Arial"/>
          <w:color w:val="333333"/>
          <w:sz w:val="20"/>
          <w:szCs w:val="20"/>
        </w:rPr>
        <w:t xml:space="preserve">Every requirement in this PRD is scored on two 1–5 axes and a multiplicative score. The model was explicitly endorsed by SMEs in Session 3 ("Prioritization Logic: impact x fixability" — Ray) and is reused here for the meta-decision of what to ship first.</w:t>
      </w:r>
    </w:p>
    <w:p>
      <w:pPr>
        <w:spacing w:after="80" w:before="160"/>
      </w:pPr>
      <w:r>
        <w:rPr>
          <w:rFonts w:ascii="Arial" w:cs="Arial" w:eastAsia="Arial" w:hAnsi="Arial"/>
          <w:b/>
          <w:bCs/>
          <w:color w:val="B11F4B"/>
          <w:sz w:val="22"/>
          <w:szCs w:val="22"/>
        </w:rPr>
        <w:t xml:space="preserve">Impact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c>
          <w:tcPr>
            <w:tcW w:type="pct" w:w="8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Meaning</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Affects all 4 personas AND moves customer outcome (case deflection / grounding) AND removes a Tier 1 blocker named in multiple sessions.</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Affects 3 personas OR strong AI-grounding tie OR Tier 1 in at least one session.</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Affects 2 personas, indirect customer-outcome tie.</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Single persona, supporting capability.</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Cosmetic / nice-to-have.</w:t>
            </w:r>
          </w:p>
        </w:tc>
      </w:tr>
    </w:tbl>
    <w:p>
      <w:pPr>
        <w:spacing w:after="80" w:before="200"/>
      </w:pPr>
      <w:r>
        <w:rPr>
          <w:rFonts w:ascii="Arial" w:cs="Arial" w:eastAsia="Arial" w:hAnsi="Arial"/>
          <w:b/>
          <w:bCs/>
          <w:color w:val="B11F4B"/>
          <w:sz w:val="22"/>
          <w:szCs w:val="22"/>
        </w:rPr>
        <w:t xml:space="preserve">Fixability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c>
          <w:tcPr>
            <w:tcW w:type="pct" w:w="8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Meaning</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Document-only or single-field UI change. Shippable in 1–2 sprints by one team. No new infra.</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One quarter. Leverages existing platform; no cross-org dependency.</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1–2 quarters. Some integration work or a new component.</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Multi-quarter. Requires cross-org alignment (e.g. Product Group) or new platform.</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Multi-year. Org change, contract change, or net-new product.</w:t>
            </w:r>
          </w:p>
        </w:tc>
      </w:tr>
    </w:tbl>
    <w:p>
      <w:pPr>
        <w:spacing w:after="80" w:before="200"/>
      </w:pPr>
      <w:r>
        <w:rPr>
          <w:rFonts w:ascii="Arial" w:cs="Arial" w:eastAsia="Arial" w:hAnsi="Arial"/>
          <w:b/>
          <w:bCs/>
          <w:color w:val="B11F4B"/>
          <w:sz w:val="22"/>
          <w:szCs w:val="22"/>
        </w:rPr>
        <w:t xml:space="preserve">Scoring → priority bands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 (Impact x Fixability)</w:t>
            </w:r>
          </w:p>
        </w:tc>
        <w:tc>
          <w:tcPr>
            <w:tcW w:type="pct" w:w="1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Priority</w:t>
            </w:r>
          </w:p>
        </w:tc>
        <w:tc>
          <w:tcPr>
            <w:tcW w:type="pct" w:w="3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Bucket</w:t>
            </w:r>
          </w:p>
        </w:tc>
        <w:tc>
          <w:tcPr>
            <w:tcW w:type="pct" w:w="3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Treatment</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 16</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8"/>
                <w:szCs w:val="18"/>
              </w:rPr>
              <w:t xml:space="preserve">Quick Win or must-have foundation</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8"/>
                <w:szCs w:val="18"/>
              </w:rPr>
              <w:t xml:space="preserve">In MVP. Ship in FY27 Q1.</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9 – 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8"/>
                <w:szCs w:val="18"/>
              </w:rPr>
              <w:t xml:space="preserve">Strategic</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8"/>
                <w:szCs w:val="18"/>
              </w:rPr>
              <w:t xml:space="preserve">FY27 Q2–Q3.</w:t>
            </w:r>
          </w:p>
        </w:tc>
      </w:tr>
      <w:tr>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 8</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P2</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8"/>
                <w:szCs w:val="18"/>
              </w:rPr>
              <w:t xml:space="preserve">Big Bet or low ROI</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8"/>
                <w:szCs w:val="18"/>
              </w:rPr>
              <w:t xml:space="preserve">FY27 Q4+ or backlog — reassess each quarter.</w:t>
            </w:r>
          </w:p>
        </w:tc>
      </w:tr>
    </w:tbl>
    <w:p>
      <w:r>
        <w:br w:type="page"/>
      </w:r>
    </w:p>
    <w:p>
      <w:pPr>
        <w:pStyle w:val="Heading1"/>
        <w:spacing w:after="120" w:before="240"/>
      </w:pPr>
      <w:r>
        <w:rPr>
          <w:rFonts w:ascii="Arial" w:cs="Arial" w:eastAsia="Arial" w:hAnsi="Arial"/>
          <w:b/>
          <w:bCs/>
          <w:color w:val="B11F4B"/>
          <w:sz w:val="32"/>
          <w:szCs w:val="32"/>
        </w:rPr>
        <w:t xml:space="preserve">5. Prioritization matrix — every requirement, scored</w:t>
      </w:r>
    </w:p>
    <w:p>
      <w:pPr>
        <w:spacing w:after="80" w:before="0"/>
      </w:pPr>
      <w:r>
        <w:rPr>
          <w:rFonts w:ascii="Arial" w:cs="Arial" w:eastAsia="Arial" w:hAnsi="Arial"/>
          <w:color w:val="333333"/>
          <w:sz w:val="20"/>
          <w:szCs w:val="20"/>
        </w:rPr>
        <w:t xml:space="preserve">Sorted by score descending. Green = P0 (ship in MVP). Amber = P1 (strategic, FY27 Q2–Q3). Pink = P2 (long-term).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7%"/>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ID</w:t>
            </w:r>
          </w:p>
        </w:tc>
        <w:tc>
          <w:tcPr>
            <w:tcW w:type="pct" w:w="3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Requirement</w:t>
            </w:r>
          </w:p>
        </w:tc>
        <w:tc>
          <w:tcPr>
            <w:tcW w:type="pct" w:w="1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Layer</w:t>
            </w:r>
          </w:p>
        </w:tc>
        <w:tc>
          <w:tcPr>
            <w:tcW w:type="pct" w:w="7%"/>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Impact</w:t>
            </w:r>
          </w:p>
        </w:tc>
        <w:tc>
          <w:tcPr>
            <w:tcW w:type="pct" w:w="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Fix-ability</w:t>
            </w:r>
          </w:p>
        </w:tc>
        <w:tc>
          <w:tcPr>
            <w:tcW w:type="pct" w:w="6%"/>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c>
          <w:tcPr>
            <w:tcW w:type="pct" w:w="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Priority</w:t>
            </w:r>
          </w:p>
        </w:tc>
        <w:tc>
          <w:tcPr>
            <w:tcW w:type="pct" w:w="16%"/>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Bucket</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FR-A01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Publish the AI-ready content standard (retrievable, extractable, self-contained, scoped, attributable)</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AI Opt</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Quick Win</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FR-C02</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Unified template per document type (troubleshooting, KB, process doc, KMA)</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Creation</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Quick Win</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FR-C07</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Self-describing context blurb field on every asset (Josh: "scope when indexed")</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Creation</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Quick Win</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Named owner per content domain (KM Lead per LOB/SBU owns Accuracy all-up)</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Governance</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Quick Win</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Outcome-based usage metric per asset (cases deflected, MTTR delta, resolution rate)</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Health</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Quick Win</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FR-H03</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SME-validation / review date field separate from last-updated date</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Health</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Quick Win</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Impact x Fixability prioritization queue for content improvement</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Maintenance</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Quick Win</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FR-C05</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PII / credential prevention at the input field (regex + classifier)</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Creation</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16</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Quick Win</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FR-G03</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Internal-default -&gt; external promotion gate (reverse current "internal forever" default)</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Governance</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16</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Quick Win</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FR-H06</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Duplicate / near-duplicate detection report (corpus-wide)</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Health</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16</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Quick Win</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FR-M02</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Reopened-case trip-wire: auto-flag KB for re-review when a deflected case reopens</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Maintenance</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16</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Quick Win</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FR-A02</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Structure-over-metadata refactor for the top 100 highest-traffic assets</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AI Opt</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FR-C03</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AI-assisted first-draft from cases + telemetry (inside the authoring tool)</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Creation</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FR-C04</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Real-time similarity check that BLOCKS duplicate submissions mid-type ("79% similar — not allowed")</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Creation</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FR-D01</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Single unified content health view (one URL, persona-filtered)</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Dashboard</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FR-H02</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"No content found" / unanswered-query telemetry capture</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Health</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FR-H04</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AI / graph-readiness score per asset (structure + extractability + scope)</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Health</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FR-M04</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Stale-content auto-archive (configurable: e.g. 12 months unused)</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Maintenance</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Fill-in</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FR-C06</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Auto-tagging / metadata enforcement at save (semantic + graph-ready)</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Creation</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Fill-in</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FR-H05</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Coverage / gap dashboard by product, scenario, and SBU</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Health</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FR-H07</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Lifecycle health view (active / stale / candidate-to-retire / archived)</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Health</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Fill-in</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FR-H08</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PII / compliance alert per asset (post-publish scan)</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Health</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FR-M05</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Unified author-facing signal (thumbs + verbatim + CSAT + case-reopen) per asset</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Maintenance</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FR-C01</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Single authoring tool of record for CSS (deprecate the rest with a published timeline)</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Creation</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10</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FR-G02</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CSS-vs-PG ownership policy: PG owns deep product docs; Support owns scenario docs</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Governance</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10</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FR-G05</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Document the SAP/SBU tagging decision (deprecate or retain) and publish it</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Governance</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10</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Fill-in</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FR-M03</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Auto-detect product changes -&gt; flag affected content</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Maintenance</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10</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FR-A03</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PDF / screenshot / embedded-image -&gt; structured markdown conversion pipeline</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AI Opt</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9</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Avoid / defer</w:t>
            </w:r>
          </w:p>
        </w:tc>
      </w:tr>
      <w:tr>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FR-A04</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Retrieval-driven retire / archive cadence (replace human calendar)</w:t>
            </w:r>
          </w:p>
        </w:tc>
        <w:tc>
          <w:tcPr>
            <w:shd w:fill="FFC7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AI Opt</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8</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P2</w:t>
            </w:r>
          </w:p>
        </w:tc>
        <w:tc>
          <w:tcPr>
            <w:shd w:fill="FFC7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r>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FR-D02</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Contributor leaderboard / author credit</w:t>
            </w:r>
          </w:p>
        </w:tc>
        <w:tc>
          <w:tcPr>
            <w:shd w:fill="FFC7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Dashboard</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8</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P2</w:t>
            </w:r>
          </w:p>
        </w:tc>
        <w:tc>
          <w:tcPr>
            <w:shd w:fill="FFC7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Fill-in</w:t>
            </w:r>
          </w:p>
        </w:tc>
      </w:tr>
      <w:tr>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FR-G04</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Module-level markdown carve-out: single source, dual internal/external views</w:t>
            </w:r>
          </w:p>
        </w:tc>
        <w:tc>
          <w:tcPr>
            <w:shd w:fill="FFC7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Governance</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8</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P2</w:t>
            </w:r>
          </w:p>
        </w:tc>
        <w:tc>
          <w:tcPr>
            <w:shd w:fill="FFC7CE" w:color="auto" w:val="clear"/>
            <w:tcMar>
              <w:top w:type="dxa" w:w="60"/>
              <w:left w:type="dxa" w:w="90"/>
              <w:bottom w:type="dxa" w:w="60"/>
              <w:right w:type="dxa" w:w="90"/>
            </w:tcMar>
          </w:tcPr>
          <w:p>
            <w:pPr>
              <w:spacing w:after="0"/>
              <w:jc w:val="center"/>
            </w:pPr>
            <w:r>
              <w:rPr>
                <w:rFonts w:ascii="Arial" w:cs="Arial" w:eastAsia="Arial" w:hAnsi="Arial"/>
                <w:color w:val="333333"/>
                <w:sz w:val="16"/>
                <w:szCs w:val="16"/>
              </w:rPr>
              <w:t xml:space="preserve">Big Bet</w:t>
            </w:r>
          </w:p>
        </w:tc>
      </w:tr>
    </w:tbl>
    <w:p>
      <w:r>
        <w:br w:type="page"/>
      </w:r>
    </w:p>
    <w:p>
      <w:pPr>
        <w:pStyle w:val="Heading1"/>
        <w:spacing w:after="120" w:before="240"/>
      </w:pPr>
      <w:r>
        <w:rPr>
          <w:rFonts w:ascii="Arial" w:cs="Arial" w:eastAsia="Arial" w:hAnsi="Arial"/>
          <w:b/>
          <w:bCs/>
          <w:color w:val="B11F4B"/>
          <w:sz w:val="32"/>
          <w:szCs w:val="32"/>
        </w:rPr>
        <w:t xml:space="preserve">6. 2x2 quadrant — where each requirement lands</w:t>
      </w:r>
    </w:p>
    <w:p>
      <w:pPr>
        <w:spacing w:after="80" w:before="0"/>
      </w:pPr>
      <w:r>
        <w:rPr>
          <w:rFonts w:ascii="Arial" w:cs="Arial" w:eastAsia="Arial" w:hAnsi="Arial"/>
          <w:color w:val="333333"/>
          <w:sz w:val="20"/>
          <w:szCs w:val="20"/>
        </w:rPr>
        <w:t xml:space="preserve">A second cut on the same data: do Quick Wins first, plan Big Bets explicitly, schedule Fill-ins around capacity, and challenge anything in the "Avoid / defer" cell before adding it to the backlog.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
            </w:r>
          </w:p>
        </w:tc>
        <w:tc>
          <w:tcPr>
            <w:tcW w:type="pct" w:w="41%"/>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High fixability (4–5) — ship fast</w:t>
            </w:r>
          </w:p>
        </w:tc>
        <w:tc>
          <w:tcPr>
            <w:tcW w:type="pct" w:w="41%"/>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Low fixability (1–3) — hard</w:t>
            </w:r>
          </w:p>
        </w:tc>
      </w:tr>
      <w:tr>
        <w:tc>
          <w:tcPr>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High impact (4–5)</w:t>
            </w:r>
          </w:p>
        </w:tc>
        <w:tc>
          <w:tcPr>
            <w:shd w:fill="C6EFCE" w:color="auto" w:val="clea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QUICK WINS (11)</w:t>
            </w:r>
          </w:p>
          <w:p>
            <w:pPr>
              <w:spacing w:after="0"/>
              <w:jc w:val="left"/>
            </w:pPr>
            <w:r>
              <w:rPr>
                <w:rFonts w:ascii="Arial" w:cs="Arial" w:eastAsia="Arial" w:hAnsi="Arial"/>
                <w:b/>
                <w:bCs/>
                <w:color w:val="333333"/>
                <w:sz w:val="18"/>
                <w:szCs w:val="18"/>
              </w:rPr>
              <w:t xml:space="preserve">FR-H01, FR-H03, FR-H06, FR-C02, FR-C05, FR-C07, FR-M01, FR-M02, FR-G01, FR-G03, FR-A01</w:t>
            </w:r>
          </w:p>
        </w:tc>
        <w:tc>
          <w:tcPr>
            <w:shd w:fill="FFEB9C" w:color="auto" w:val="clea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BIG BETS (14)</w:t>
            </w:r>
          </w:p>
          <w:p>
            <w:pPr>
              <w:spacing w:after="0"/>
              <w:jc w:val="left"/>
            </w:pPr>
            <w:r>
              <w:rPr>
                <w:rFonts w:ascii="Arial" w:cs="Arial" w:eastAsia="Arial" w:hAnsi="Arial"/>
                <w:b/>
                <w:bCs/>
                <w:color w:val="333333"/>
                <w:sz w:val="18"/>
                <w:szCs w:val="18"/>
              </w:rPr>
              <w:t xml:space="preserve">FR-H02, FR-H04, FR-H05, FR-H08, FR-C01, FR-C03, FR-C04, FR-M03, FR-M05, FR-G02, FR-G04, FR-A02, FR-A04, FR-D01</w:t>
            </w:r>
          </w:p>
        </w:tc>
      </w:tr>
      <w:tr>
        <w:tc>
          <w:tcPr>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Low impact (1–3)</w:t>
            </w:r>
          </w:p>
        </w:tc>
        <w:tc>
          <w:tcPr>
            <w:shd w:fill="FFFFFF" w:color="auto" w:val="clear"/>
            <w:tcMar>
              <w:top w:type="dxa" w:w="60"/>
              <w:left w:type="dxa" w:w="90"/>
              <w:bottom w:type="dxa" w:w="60"/>
              <w:right w:type="dxa" w:w="90"/>
            </w:tcMar>
          </w:tcPr>
          <w:p>
            <w:pPr>
              <w:spacing w:after="0"/>
              <w:jc w:val="left"/>
            </w:pPr>
            <w:r>
              <w:rPr>
                <w:rFonts w:ascii="Arial" w:cs="Arial" w:eastAsia="Arial" w:hAnsi="Arial"/>
                <w:color w:val="333333"/>
                <w:sz w:val="18"/>
                <w:szCs w:val="18"/>
              </w:rPr>
              <w:t xml:space="preserve">FILL-INS (5)</w:t>
            </w:r>
          </w:p>
          <w:p>
            <w:pPr>
              <w:spacing w:after="0"/>
              <w:jc w:val="left"/>
            </w:pPr>
            <w:r>
              <w:rPr>
                <w:rFonts w:ascii="Arial" w:cs="Arial" w:eastAsia="Arial" w:hAnsi="Arial"/>
                <w:color w:val="333333"/>
                <w:sz w:val="18"/>
                <w:szCs w:val="18"/>
              </w:rPr>
              <w:t xml:space="preserve">FR-H07, FR-C06, FR-M04, FR-G05, FR-D02</w:t>
            </w:r>
          </w:p>
        </w:tc>
        <w:tc>
          <w:tcPr>
            <w:shd w:fill="FFC7CE" w:color="auto" w:val="clea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AVOID / DEFER (1)</w:t>
            </w:r>
          </w:p>
          <w:p>
            <w:pPr>
              <w:spacing w:after="0"/>
              <w:jc w:val="left"/>
            </w:pPr>
            <w:r>
              <w:rPr>
                <w:rFonts w:ascii="Arial" w:cs="Arial" w:eastAsia="Arial" w:hAnsi="Arial"/>
                <w:b/>
                <w:bCs/>
                <w:color w:val="333333"/>
                <w:sz w:val="18"/>
                <w:szCs w:val="18"/>
              </w:rPr>
              <w:t xml:space="preserve">FR-A03</w:t>
            </w:r>
          </w:p>
        </w:tc>
      </w:tr>
    </w:tbl>
    <w:p>
      <w:r>
        <w:br w:type="page"/>
      </w:r>
    </w:p>
    <w:p>
      <w:pPr>
        <w:pStyle w:val="Heading1"/>
        <w:spacing w:after="120" w:before="240"/>
      </w:pPr>
      <w:r>
        <w:rPr>
          <w:rFonts w:ascii="Arial" w:cs="Arial" w:eastAsia="Arial" w:hAnsi="Arial"/>
          <w:b/>
          <w:bCs/>
          <w:color w:val="B11F4B"/>
          <w:sz w:val="32"/>
          <w:szCs w:val="32"/>
        </w:rPr>
        <w:t xml:space="preserve">7. Detailed requirements catalog (with "Why" for every line)</w:t>
      </w:r>
    </w:p>
    <w:p>
      <w:pPr>
        <w:pStyle w:val="Heading2"/>
        <w:spacing w:after="120" w:before="240"/>
      </w:pPr>
      <w:r>
        <w:rPr>
          <w:rFonts w:ascii="Arial" w:cs="Arial" w:eastAsia="Arial" w:hAnsi="Arial"/>
          <w:b/>
          <w:bCs/>
          <w:color w:val="7A1633"/>
          <w:sz w:val="26"/>
          <w:szCs w:val="26"/>
        </w:rPr>
        <w:t xml:space="preserve">7.1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7%"/>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ID</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Requirement</w:t>
            </w:r>
          </w:p>
        </w:tc>
        <w:tc>
          <w:tcPr>
            <w:tcW w:type="pct" w:w="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w:t>
            </w:r>
          </w:p>
        </w:tc>
        <w:tc>
          <w:tcPr>
            <w:tcW w:type="pct" w:w="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F</w:t>
            </w:r>
          </w:p>
        </w:tc>
        <w:tc>
          <w:tcPr>
            <w:tcW w:type="pct" w:w="5%"/>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c>
          <w:tcPr>
            <w:tcW w:type="pct" w:w="6%"/>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Priority</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Source</w:t>
            </w:r>
          </w:p>
        </w:tc>
        <w:tc>
          <w:tcPr>
            <w:tcW w:type="pct" w:w="3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Why</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FR-H01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Outcome-based usage metric per asset (cases deflected, MTTR delta, resolution rate)</w:t>
            </w:r>
          </w:p>
          <w:p>
            <w:pPr>
              <w:spacing w:after="0"/>
              <w:jc w:val="left"/>
            </w:pPr>
            <w:r>
              <w:rPr>
                <w:rFonts w:ascii="Arial" w:cs="Arial" w:eastAsia="Arial" w:hAnsi="Arial"/>
                <w:color w:val="333333"/>
                <w:sz w:val="16"/>
                <w:szCs w:val="16"/>
              </w:rPr>
              <w:t xml:space="preserve">Persona: All 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S1 Q2 #1 (7 thumbs up — highest single-theme vote in the workshop)</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Highest-voted theme in the entire workshop. Today usage = page-views (vanity). SMEs explicitly want resolution-tied metrics. Foundation for every other prioritization decision.</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FR-H03</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SME-validation / review date field separate from last-updated date</w:t>
            </w:r>
          </w:p>
          <w:p>
            <w:pPr>
              <w:spacing w:after="0"/>
              <w:jc w:val="left"/>
            </w:pPr>
            <w:r>
              <w:rPr>
                <w:rFonts w:ascii="Arial" w:cs="Arial" w:eastAsia="Arial" w:hAnsi="Arial"/>
                <w:color w:val="333333"/>
                <w:sz w:val="16"/>
                <w:szCs w:val="16"/>
              </w:rPr>
              <w:t xml:space="preserve">Persona: Tech SE, KM Lead</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S1 Specific Ask #2 (explicit verbatim ask); S1 Q1 Freshness (4 votes Tier 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Explicit verbatim ask from the board. Trivial schema addition. Today freshness is conflated with cosmetic edits; SMEs want a separate "last accuracy-reviewed" stamp.</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FR-H06</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Duplicate / near-duplicate detection report (corpus-wide)</w:t>
            </w:r>
          </w:p>
          <w:p>
            <w:pPr>
              <w:spacing w:after="0"/>
              <w:jc w:val="left"/>
            </w:pPr>
            <w:r>
              <w:rPr>
                <w:rFonts w:ascii="Arial" w:cs="Arial" w:eastAsia="Arial" w:hAnsi="Arial"/>
                <w:color w:val="333333"/>
                <w:sz w:val="16"/>
                <w:szCs w:val="16"/>
              </w:rPr>
              <w:t xml:space="preserve">Persona: KM Lead, AI Creator</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16</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S1 Q2 Duplication (1 vote); S2 Q1 Tier 2 (Ray); S3 Q2 Tier 1 "Duplicate content is a pain"</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Recurring theme in all 3 sessions; explicitly named as a "grounding-failure driver" in Session 3. Off-the-shelf embedding similarity makes this fixable.</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FR-H02</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"No content found" / unanswered-query telemetry capture</w:t>
            </w:r>
          </w:p>
          <w:p>
            <w:pPr>
              <w:spacing w:after="0"/>
              <w:jc w:val="left"/>
            </w:pPr>
            <w:r>
              <w:rPr>
                <w:rFonts w:ascii="Arial" w:cs="Arial" w:eastAsia="Arial" w:hAnsi="Arial"/>
                <w:color w:val="333333"/>
                <w:sz w:val="16"/>
                <w:szCs w:val="16"/>
              </w:rPr>
              <w:t xml:space="preserve">Persona: KM Lead, AI Creator</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S1 Q2 Coverage &amp; Gaps (3 votes); S3 Q1 Tier 1 "no definitive gaps telemetry"</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SMEs surfaced "we don't know what we don't know" as a Tier 1 blocker in two sessions. Without this signal we cannot prioritize what to write next. Medium effort because requires retrieval-layer instrumentation.</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FR-H04</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AI / graph-readiness score per asset (structure + extractability + scope)</w:t>
            </w:r>
          </w:p>
          <w:p>
            <w:pPr>
              <w:spacing w:after="0"/>
              <w:jc w:val="left"/>
            </w:pPr>
            <w:r>
              <w:rPr>
                <w:rFonts w:ascii="Arial" w:cs="Arial" w:eastAsia="Arial" w:hAnsi="Arial"/>
                <w:color w:val="333333"/>
                <w:sz w:val="16"/>
                <w:szCs w:val="16"/>
              </w:rPr>
              <w:t xml:space="preserve">Persona: AI Creator, KM Lead</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S1 Q1 #1 (4 votes Tier 1); S3 Q3 Tier 1 "Clear emerging definition of AI-ready"</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Tier 1 across Sessions 1 and 3. Directly drives Copilot grounding quality. Medium effort because the scoring rubric needs to be defined (retrievable/extractable/self-contained/scoped/attributable).</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FR-H05</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Coverage / gap dashboard by product, scenario, and SBU</w:t>
            </w:r>
          </w:p>
          <w:p>
            <w:pPr>
              <w:spacing w:after="0"/>
              <w:jc w:val="left"/>
            </w:pPr>
            <w:r>
              <w:rPr>
                <w:rFonts w:ascii="Arial" w:cs="Arial" w:eastAsia="Arial" w:hAnsi="Arial"/>
                <w:color w:val="333333"/>
                <w:sz w:val="16"/>
                <w:szCs w:val="16"/>
              </w:rPr>
              <w:t xml:space="preserve">Persona: KM Lead, Content Publish Mgr</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S1 Q2 #2 (3 votes); S3 Q2 Tier 1 "biggest gaps unclear today"</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Required input to FR-M01 (prioritization queue). Cross-product visibility is a recurring ask.</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FR-H07</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Lifecycle health view (active / stale / candidate-to-retire / archived)</w:t>
            </w:r>
          </w:p>
          <w:p>
            <w:pPr>
              <w:spacing w:after="0"/>
              <w:jc w:val="left"/>
            </w:pPr>
            <w:r>
              <w:rPr>
                <w:rFonts w:ascii="Arial" w:cs="Arial" w:eastAsia="Arial" w:hAnsi="Arial"/>
                <w:color w:val="333333"/>
                <w:sz w:val="16"/>
                <w:szCs w:val="16"/>
              </w:rPr>
              <w:t xml:space="preserve">Persona: KM Lead</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S1 Q2 Lifecycle Health Visibility (rank 11)</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Lower vote count but a logical view layer on top of FR-H01 and FR-H03 — incremental cost.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FR-H08</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PII / compliance alert per asset (post-publish scan)</w:t>
            </w:r>
          </w:p>
          <w:p>
            <w:pPr>
              <w:spacing w:after="0"/>
              <w:jc w:val="left"/>
            </w:pPr>
            <w:r>
              <w:rPr>
                <w:rFonts w:ascii="Arial" w:cs="Arial" w:eastAsia="Arial" w:hAnsi="Arial"/>
                <w:color w:val="333333"/>
                <w:sz w:val="16"/>
                <w:szCs w:val="16"/>
              </w:rPr>
              <w:t xml:space="preserve">Persona: Content Publish Mgr</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S1 Q3 Compliance / PII Alert (1 vote); S2 Q1 Tier 2</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Regulatory; reinforces FR-C05 (prevent-at-input) by catching legacy assets.</w:t>
            </w:r>
          </w:p>
        </w:tc>
      </w:tr>
    </w:tbl>
    <w:p>
      <w:pPr>
        <w:spacing w:after="200"/>
      </w:pPr>
      <w:r>
        <w:rPr>
          <w:rFonts w:ascii="Arial" w:cs="Arial" w:eastAsia="Arial" w:hAnsi="Arial"/>
        </w:rPr>
        <w:t xml:space="preserve"/>
      </w:r>
    </w:p>
    <w:p>
      <w:pPr>
        <w:pStyle w:val="Heading2"/>
        <w:spacing w:after="120" w:before="240"/>
      </w:pPr>
      <w:r>
        <w:rPr>
          <w:rFonts w:ascii="Arial" w:cs="Arial" w:eastAsia="Arial" w:hAnsi="Arial"/>
          <w:b/>
          <w:bCs/>
          <w:color w:val="7A1633"/>
          <w:sz w:val="26"/>
          <w:szCs w:val="26"/>
        </w:rPr>
        <w:t xml:space="preserve">7.2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7%"/>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ID</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Requirement</w:t>
            </w:r>
          </w:p>
        </w:tc>
        <w:tc>
          <w:tcPr>
            <w:tcW w:type="pct" w:w="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w:t>
            </w:r>
          </w:p>
        </w:tc>
        <w:tc>
          <w:tcPr>
            <w:tcW w:type="pct" w:w="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F</w:t>
            </w:r>
          </w:p>
        </w:tc>
        <w:tc>
          <w:tcPr>
            <w:tcW w:type="pct" w:w="5%"/>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c>
          <w:tcPr>
            <w:tcW w:type="pct" w:w="6%"/>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Priority</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Source</w:t>
            </w:r>
          </w:p>
        </w:tc>
        <w:tc>
          <w:tcPr>
            <w:tcW w:type="pct" w:w="3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Why</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FR-C02</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Unified template per document type (troubleshooting, KB, process doc, KMA)</w:t>
            </w:r>
          </w:p>
          <w:p>
            <w:pPr>
              <w:spacing w:after="0"/>
              <w:jc w:val="left"/>
            </w:pPr>
            <w:r>
              <w:rPr>
                <w:rFonts w:ascii="Arial" w:cs="Arial" w:eastAsia="Arial" w:hAnsi="Arial"/>
                <w:color w:val="333333"/>
                <w:sz w:val="16"/>
                <w:szCs w:val="16"/>
              </w:rPr>
              <w:t xml:space="preserve">Persona: Tech SE, KM Lead, Content Publish Mgr</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S2 Q1 Tier 1 "One unified template/source with do &amp; don't guidance"; S2 Q2 Tier 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Can be shipped INSIDE existing tools as a template pack while FR-C01 happens in parallel. Decouples value delivery from the org-change blocker.</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FR-C07</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Self-describing context blurb field on every asset (Josh: "scope when indexed")</w:t>
            </w:r>
          </w:p>
          <w:p>
            <w:pPr>
              <w:spacing w:after="0"/>
              <w:jc w:val="left"/>
            </w:pPr>
            <w:r>
              <w:rPr>
                <w:rFonts w:ascii="Arial" w:cs="Arial" w:eastAsia="Arial" w:hAnsi="Arial"/>
                <w:color w:val="333333"/>
                <w:sz w:val="16"/>
                <w:szCs w:val="16"/>
              </w:rPr>
              <w:t xml:space="preserve">Persona: AI Creator, KM Lead</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S2 Q2 Tier 1 (Josh)</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Trivial UI change (one new field). Direct AI-grounding multiplier. Replaces brittle SAP/SBU tag dependency.</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FR-C05</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PII / credential prevention at the input field (regex + classifier)</w:t>
            </w:r>
          </w:p>
          <w:p>
            <w:pPr>
              <w:spacing w:after="0"/>
              <w:jc w:val="left"/>
            </w:pPr>
            <w:r>
              <w:rPr>
                <w:rFonts w:ascii="Arial" w:cs="Arial" w:eastAsia="Arial" w:hAnsi="Arial"/>
                <w:color w:val="333333"/>
                <w:sz w:val="16"/>
                <w:szCs w:val="16"/>
              </w:rPr>
              <w:t xml:space="preserve">Persona: All 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16</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S2 Q1 Tier 2 "PII/credential prevention at input, not whack-a-mole afterward"</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Same prevention-over-detection logic. Leverages existing Microsoft Purview / DLP classifiers.</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FR-C03</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AI-assisted first-draft from cases + telemetry (inside the authoring tool)</w:t>
            </w:r>
          </w:p>
          <w:p>
            <w:pPr>
              <w:spacing w:after="0"/>
              <w:jc w:val="left"/>
            </w:pPr>
            <w:r>
              <w:rPr>
                <w:rFonts w:ascii="Arial" w:cs="Arial" w:eastAsia="Arial" w:hAnsi="Arial"/>
                <w:color w:val="333333"/>
                <w:sz w:val="16"/>
                <w:szCs w:val="16"/>
              </w:rPr>
              <w:t xml:space="preserve">Persona: Tech SE, AI Creator</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S2 Q1 Tier 1 "AI pulls relevant info; removes the I'm not a writer barrier" (Ray)</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Unlocks SME knowledge that today never gets written down. Medium effort because requires case-data plumbing + prompt engineering, but high leverage (one feature, all personas benefit).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FR-C04</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Real-time similarity check that BLOCKS duplicate submissions mid-type ("79% similar — not allowed")</w:t>
            </w:r>
          </w:p>
          <w:p>
            <w:pPr>
              <w:spacing w:after="0"/>
              <w:jc w:val="left"/>
            </w:pPr>
            <w:r>
              <w:rPr>
                <w:rFonts w:ascii="Arial" w:cs="Arial" w:eastAsia="Arial" w:hAnsi="Arial"/>
                <w:color w:val="333333"/>
                <w:sz w:val="16"/>
                <w:szCs w:val="16"/>
              </w:rPr>
              <w:t xml:space="preserve">Persona: Tech SE, AI Creator</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S2 Q1 Tier 2 (Ray, Lean Six Sigma "prevent, don't detect later")</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Prevention is 10x cheaper than detection. Removes the root cause of FR-H06; closes a Tier 1 grounding-failure driver from Session 3 at the source.</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FR-C06</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Auto-tagging / metadata enforcement at save (semantic + graph-ready)</w:t>
            </w:r>
          </w:p>
          <w:p>
            <w:pPr>
              <w:spacing w:after="0"/>
              <w:jc w:val="left"/>
            </w:pPr>
            <w:r>
              <w:rPr>
                <w:rFonts w:ascii="Arial" w:cs="Arial" w:eastAsia="Arial" w:hAnsi="Arial"/>
                <w:color w:val="333333"/>
                <w:sz w:val="16"/>
                <w:szCs w:val="16"/>
              </w:rPr>
              <w:t xml:space="preserve">Persona: Content Publish Mgr, KM Lead</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S2 Q1 Tier 2</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Useful but lower-priority than FR-C07 because SMEs explicitly said "tag for ownership, not retrieval".</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FR-C01</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Single authoring tool of record for CSS (deprecate the rest with a published timeline)</w:t>
            </w:r>
          </w:p>
          <w:p>
            <w:pPr>
              <w:spacing w:after="0"/>
              <w:jc w:val="left"/>
            </w:pPr>
            <w:r>
              <w:rPr>
                <w:rFonts w:ascii="Arial" w:cs="Arial" w:eastAsia="Arial" w:hAnsi="Arial"/>
                <w:color w:val="333333"/>
                <w:sz w:val="16"/>
                <w:szCs w:val="16"/>
              </w:rPr>
              <w:t xml:space="preserve">Persona: All 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10</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S2 Q1 Tier 1 "Too many tools; each switch is a drop point"</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Highest pain point in Session 2. Impact is enormous (every persona affected) but fixability is low — requires org alignment + migration + change management. Treat as a multi-quarter Big Bet, not a quick win.</w:t>
            </w:r>
          </w:p>
        </w:tc>
      </w:tr>
    </w:tbl>
    <w:p>
      <w:pPr>
        <w:spacing w:after="200"/>
      </w:pPr>
      <w:r>
        <w:rPr>
          <w:rFonts w:ascii="Arial" w:cs="Arial" w:eastAsia="Arial" w:hAnsi="Arial"/>
        </w:rPr>
        <w:t xml:space="preserve"/>
      </w:r>
    </w:p>
    <w:p>
      <w:pPr>
        <w:pStyle w:val="Heading2"/>
        <w:spacing w:after="120" w:before="240"/>
      </w:pPr>
      <w:r>
        <w:rPr>
          <w:rFonts w:ascii="Arial" w:cs="Arial" w:eastAsia="Arial" w:hAnsi="Arial"/>
          <w:b/>
          <w:bCs/>
          <w:color w:val="7A1633"/>
          <w:sz w:val="26"/>
          <w:szCs w:val="26"/>
        </w:rPr>
        <w:t xml:space="preserve">7.3 Maintenance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7%"/>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ID</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Requirement</w:t>
            </w:r>
          </w:p>
        </w:tc>
        <w:tc>
          <w:tcPr>
            <w:tcW w:type="pct" w:w="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w:t>
            </w:r>
          </w:p>
        </w:tc>
        <w:tc>
          <w:tcPr>
            <w:tcW w:type="pct" w:w="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F</w:t>
            </w:r>
          </w:p>
        </w:tc>
        <w:tc>
          <w:tcPr>
            <w:tcW w:type="pct" w:w="5%"/>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c>
          <w:tcPr>
            <w:tcW w:type="pct" w:w="6%"/>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Priority</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Source</w:t>
            </w:r>
          </w:p>
        </w:tc>
        <w:tc>
          <w:tcPr>
            <w:tcW w:type="pct" w:w="3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Why</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FR-M01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Impact x Fixability prioritization queue for content improvement</w:t>
            </w:r>
          </w:p>
          <w:p>
            <w:pPr>
              <w:spacing w:after="0"/>
              <w:jc w:val="left"/>
            </w:pPr>
            <w:r>
              <w:rPr>
                <w:rFonts w:ascii="Arial" w:cs="Arial" w:eastAsia="Arial" w:hAnsi="Arial"/>
                <w:color w:val="333333"/>
                <w:sz w:val="16"/>
                <w:szCs w:val="16"/>
              </w:rPr>
              <w:t xml:space="preserve">Persona: KM Lead, Content Publish Mgr</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S3 Q2 Tier 1 "Explicit model: impact x fixability" (Ray)</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SMEs EXPLICITLY endorsed this prioritization model in Session 3. Operationalize it as the default backlog view of the dashboard. (This PRD's own scoring matrix uses it.)</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FR-M02</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Reopened-case trip-wire: auto-flag KB for re-review when a deflected case reopens</w:t>
            </w:r>
          </w:p>
          <w:p>
            <w:pPr>
              <w:spacing w:after="0"/>
              <w:jc w:val="left"/>
            </w:pPr>
            <w:r>
              <w:rPr>
                <w:rFonts w:ascii="Arial" w:cs="Arial" w:eastAsia="Arial" w:hAnsi="Arial"/>
                <w:color w:val="333333"/>
                <w:sz w:val="16"/>
                <w:szCs w:val="16"/>
              </w:rPr>
              <w:t xml:space="preserve">Persona: KM Lead, AI Creator</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16</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S2 Q3 Tier 2 (Jason: "auto-created content can later prove wrong")</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Closes the loop on auto-generated content. High-confidence quality signal. Builds on existing case-system events.</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FR-M04</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Stale-content auto-archive (configurable: e.g. 12 months unused)</w:t>
            </w:r>
          </w:p>
          <w:p>
            <w:pPr>
              <w:spacing w:after="0"/>
              <w:jc w:val="left"/>
            </w:pPr>
            <w:r>
              <w:rPr>
                <w:rFonts w:ascii="Arial" w:cs="Arial" w:eastAsia="Arial" w:hAnsi="Arial"/>
                <w:color w:val="333333"/>
                <w:sz w:val="16"/>
                <w:szCs w:val="16"/>
              </w:rPr>
              <w:t xml:space="preserve">Persona: KM Lead</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S3 Q2 Tier 2 "Filter out content not used in past X timeframe (12 months?)"; S1 Q3 Retire/Archive (4 votes Tier 1)</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Trivial to ship once FR-H07 is live. Immediate corpus-quality lift.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FR-M05</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Unified author-facing signal (thumbs + verbatim + CSAT + case-reopen) per asset</w:t>
            </w:r>
          </w:p>
          <w:p>
            <w:pPr>
              <w:spacing w:after="0"/>
              <w:jc w:val="left"/>
            </w:pPr>
            <w:r>
              <w:rPr>
                <w:rFonts w:ascii="Arial" w:cs="Arial" w:eastAsia="Arial" w:hAnsi="Arial"/>
                <w:color w:val="333333"/>
                <w:sz w:val="16"/>
                <w:szCs w:val="16"/>
              </w:rPr>
              <w:t xml:space="preserve">Persona: Tech SE, Content Publish Mgr</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S3 Q1 Tier 2 "Feedback loops are fragmented"</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Today the same author has to check 4 systems. One unified signal halves the loop time on FR-M01.</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FR-M03</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Auto-detect product changes -&gt; flag affected content</w:t>
            </w:r>
          </w:p>
          <w:p>
            <w:pPr>
              <w:spacing w:after="0"/>
              <w:jc w:val="left"/>
            </w:pPr>
            <w:r>
              <w:rPr>
                <w:rFonts w:ascii="Arial" w:cs="Arial" w:eastAsia="Arial" w:hAnsi="Arial"/>
                <w:color w:val="333333"/>
                <w:sz w:val="16"/>
                <w:szCs w:val="16"/>
              </w:rPr>
              <w:t xml:space="preserve">Persona: AI Creator, KM Lead</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10</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S3 Q1 Tier 1 "outdated content silently breaking AI trust"; S1 Specific Ask #1</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Highest possible impact (silent decay is the #1 trust killer) but lowest fixability (requires PG change-data feeds we don't own today). Multi-quarter Big Bet.</w:t>
            </w:r>
          </w:p>
        </w:tc>
      </w:tr>
    </w:tbl>
    <w:p>
      <w:pPr>
        <w:spacing w:after="200"/>
      </w:pPr>
      <w:r>
        <w:rPr>
          <w:rFonts w:ascii="Arial" w:cs="Arial" w:eastAsia="Arial" w:hAnsi="Arial"/>
        </w:rPr>
        <w:t xml:space="preserve"/>
      </w:r>
    </w:p>
    <w:p>
      <w:pPr>
        <w:pStyle w:val="Heading2"/>
        <w:spacing w:after="120" w:before="240"/>
      </w:pPr>
      <w:r>
        <w:rPr>
          <w:rFonts w:ascii="Arial" w:cs="Arial" w:eastAsia="Arial" w:hAnsi="Arial"/>
          <w:b/>
          <w:bCs/>
          <w:color w:val="7A1633"/>
          <w:sz w:val="26"/>
          <w:szCs w:val="26"/>
        </w:rPr>
        <w:t xml:space="preserve">7.4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7%"/>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ID</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Requirement</w:t>
            </w:r>
          </w:p>
        </w:tc>
        <w:tc>
          <w:tcPr>
            <w:tcW w:type="pct" w:w="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w:t>
            </w:r>
          </w:p>
        </w:tc>
        <w:tc>
          <w:tcPr>
            <w:tcW w:type="pct" w:w="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F</w:t>
            </w:r>
          </w:p>
        </w:tc>
        <w:tc>
          <w:tcPr>
            <w:tcW w:type="pct" w:w="5%"/>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c>
          <w:tcPr>
            <w:tcW w:type="pct" w:w="6%"/>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Priority</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Source</w:t>
            </w:r>
          </w:p>
        </w:tc>
        <w:tc>
          <w:tcPr>
            <w:tcW w:type="pct" w:w="3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Why</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FR-G01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Named owner per content domain (KM Lead per LOB/SBU owns Accuracy all-up)</w:t>
            </w:r>
          </w:p>
          <w:p>
            <w:pPr>
              <w:spacing w:after="0"/>
              <w:jc w:val="left"/>
            </w:pPr>
            <w:r>
              <w:rPr>
                <w:rFonts w:ascii="Arial" w:cs="Arial" w:eastAsia="Arial" w:hAnsi="Arial"/>
                <w:color w:val="333333"/>
                <w:sz w:val="16"/>
                <w:szCs w:val="16"/>
              </w:rPr>
              <w:t xml:space="preserve">Persona: KM Lead</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S3 Q1 Tier 1 "Ownership ambiguity = no accountability"</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Tier 1 ownership ambiguity was named in BOTH Sessions 2 and 3. Org clarity is fixable in 1 quarter via a published RACI; technology is the easy part.</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FR-G03</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Internal-default -&gt; external promotion gate (reverse current "internal forever" default)</w:t>
            </w:r>
          </w:p>
          <w:p>
            <w:pPr>
              <w:spacing w:after="0"/>
              <w:jc w:val="left"/>
            </w:pPr>
            <w:r>
              <w:rPr>
                <w:rFonts w:ascii="Arial" w:cs="Arial" w:eastAsia="Arial" w:hAnsi="Arial"/>
                <w:color w:val="333333"/>
                <w:sz w:val="16"/>
                <w:szCs w:val="16"/>
              </w:rPr>
              <w:t xml:space="preserve">Persona: Content Publish Mgr, AI Creator</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16</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S2 Q3 Tier 1 (Jason: "~80% of engineer content isn't customer-ready")</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Policy + workflow change, not a new system. Closes the duplication-via-shadow-publishing loop (Ray's "water balloon").</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FR-G02</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CSS-vs-PG ownership policy: PG owns deep product docs; Support owns scenario docs</w:t>
            </w:r>
          </w:p>
          <w:p>
            <w:pPr>
              <w:spacing w:after="0"/>
              <w:jc w:val="left"/>
            </w:pPr>
            <w:r>
              <w:rPr>
                <w:rFonts w:ascii="Arial" w:cs="Arial" w:eastAsia="Arial" w:hAnsi="Arial"/>
                <w:color w:val="333333"/>
                <w:sz w:val="16"/>
                <w:szCs w:val="16"/>
              </w:rPr>
              <w:t xml:space="preserve">Persona: All 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10</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S3 Q1 Tier 1 (Josh: "Support must document the product is wrong")</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Requires Product Group agreement, hence low fixability. But without this the AI-Creator persona has no source of truth. Cross-org Big Bet — sequence after FR-G01 establishes the CSS-side owners.</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FR-G05</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Document the SAP/SBU tagging decision (deprecate or retain) and publish it</w:t>
            </w:r>
          </w:p>
          <w:p>
            <w:pPr>
              <w:spacing w:after="0"/>
              <w:jc w:val="left"/>
            </w:pPr>
            <w:r>
              <w:rPr>
                <w:rFonts w:ascii="Arial" w:cs="Arial" w:eastAsia="Arial" w:hAnsi="Arial"/>
                <w:color w:val="333333"/>
                <w:sz w:val="16"/>
                <w:szCs w:val="16"/>
              </w:rPr>
              <w:t xml:space="preserve">Persona: KM Lead, AI Creator</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10</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S2 Q2 Tier 2 (Ray: "decide if SAP/SBU mapping is a deprecated artifact")</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Decision-cost is near zero; clarifies whether to invest in FR-C06 strict tagging or pivot fully to FR-C07 self-describing context.</w:t>
            </w:r>
          </w:p>
        </w:tc>
      </w:tr>
      <w:tr>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FR-G04</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Module-level markdown carve-out: single source, dual internal/external views</w:t>
            </w:r>
          </w:p>
          <w:p>
            <w:pPr>
              <w:spacing w:after="0"/>
              <w:jc w:val="left"/>
            </w:pPr>
            <w:r>
              <w:rPr>
                <w:rFonts w:ascii="Arial" w:cs="Arial" w:eastAsia="Arial" w:hAnsi="Arial"/>
                <w:color w:val="333333"/>
                <w:sz w:val="16"/>
                <w:szCs w:val="16"/>
              </w:rPr>
              <w:t xml:space="preserve">Persona: Content Publish Mgr</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8</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P2</w:t>
            </w:r>
          </w:p>
        </w:tc>
        <w:tc>
          <w:tcPr>
            <w:shd w:fill="FFC7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S2 Q3 Tier 1 (Ray)</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High-value architectural pattern but requires re-platforming the content backend. P2 unless we already have a markdown-based publish pipeline available.</w:t>
            </w:r>
          </w:p>
        </w:tc>
      </w:tr>
    </w:tbl>
    <w:p>
      <w:pPr>
        <w:spacing w:after="200"/>
      </w:pPr>
      <w:r>
        <w:rPr>
          <w:rFonts w:ascii="Arial" w:cs="Arial" w:eastAsia="Arial" w:hAnsi="Arial"/>
        </w:rPr>
        <w:t xml:space="preserve"/>
      </w:r>
    </w:p>
    <w:p>
      <w:pPr>
        <w:pStyle w:val="Heading2"/>
        <w:spacing w:after="120" w:before="240"/>
      </w:pPr>
      <w:r>
        <w:rPr>
          <w:rFonts w:ascii="Arial" w:cs="Arial" w:eastAsia="Arial" w:hAnsi="Arial"/>
          <w:b/>
          <w:bCs/>
          <w:color w:val="7A1633"/>
          <w:sz w:val="26"/>
          <w:szCs w:val="26"/>
        </w:rPr>
        <w:t xml:space="preserve">7.5 AI Opt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7%"/>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ID</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Requirement</w:t>
            </w:r>
          </w:p>
        </w:tc>
        <w:tc>
          <w:tcPr>
            <w:tcW w:type="pct" w:w="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w:t>
            </w:r>
          </w:p>
        </w:tc>
        <w:tc>
          <w:tcPr>
            <w:tcW w:type="pct" w:w="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F</w:t>
            </w:r>
          </w:p>
        </w:tc>
        <w:tc>
          <w:tcPr>
            <w:tcW w:type="pct" w:w="5%"/>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c>
          <w:tcPr>
            <w:tcW w:type="pct" w:w="6%"/>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Priority</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Source</w:t>
            </w:r>
          </w:p>
        </w:tc>
        <w:tc>
          <w:tcPr>
            <w:tcW w:type="pct" w:w="3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Why</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FR-A01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Publish the AI-ready content standard (retrievable, extractable, self-contained, scoped, attributable)</w:t>
            </w:r>
          </w:p>
          <w:p>
            <w:pPr>
              <w:spacing w:after="0"/>
              <w:jc w:val="left"/>
            </w:pPr>
            <w:r>
              <w:rPr>
                <w:rFonts w:ascii="Arial" w:cs="Arial" w:eastAsia="Arial" w:hAnsi="Arial"/>
                <w:color w:val="333333"/>
                <w:sz w:val="16"/>
                <w:szCs w:val="16"/>
              </w:rPr>
              <w:t xml:space="preserve">Persona: All 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P0</w:t>
            </w:r>
          </w:p>
        </w:tc>
        <w:tc>
          <w:tcPr>
            <w:shd w:fill="C6EF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S3 Q3 Tier 1 "Clear emerging definition of AI-ready"</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Document-only deliverable that unblocks FR-H04 (scoring rubric) and FR-C02 (templates). Highest fixability score in the catalog.</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FR-A02</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Structure-over-metadata refactor for the top 100 highest-traffic assets</w:t>
            </w:r>
          </w:p>
          <w:p>
            <w:pPr>
              <w:spacing w:after="0"/>
              <w:jc w:val="left"/>
            </w:pPr>
            <w:r>
              <w:rPr>
                <w:rFonts w:ascii="Arial" w:cs="Arial" w:eastAsia="Arial" w:hAnsi="Arial"/>
                <w:color w:val="333333"/>
                <w:sz w:val="16"/>
                <w:szCs w:val="16"/>
              </w:rPr>
              <w:t xml:space="preserve">Persona: KM Lead, AI Creator</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S3 Q3 Tier 1 "Structure matters more than metadata; tagging = workaround for poor content"</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Pareto: 100 assets drive most grounding hits. Editor-led refactor; medium effort.</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FR-A03</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PDF / screenshot / embedded-image -&gt; structured markdown conversion pipeline</w:t>
            </w:r>
          </w:p>
          <w:p>
            <w:pPr>
              <w:spacing w:after="0"/>
              <w:jc w:val="left"/>
            </w:pPr>
            <w:r>
              <w:rPr>
                <w:rFonts w:ascii="Arial" w:cs="Arial" w:eastAsia="Arial" w:hAnsi="Arial"/>
                <w:color w:val="333333"/>
                <w:sz w:val="16"/>
                <w:szCs w:val="16"/>
              </w:rPr>
              <w:t xml:space="preserve">Persona: AI Creator</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9</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S3 Q3 Tier 2 "Non-machine-readable formats break extraction"</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Useful but only after FR-A02 has demonstrated the structure-over-format ROI.</w:t>
            </w:r>
          </w:p>
        </w:tc>
      </w:tr>
      <w:tr>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FR-A04</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Retrieval-driven retire / archive cadence (replace human calendar)</w:t>
            </w:r>
          </w:p>
          <w:p>
            <w:pPr>
              <w:spacing w:after="0"/>
              <w:jc w:val="left"/>
            </w:pPr>
            <w:r>
              <w:rPr>
                <w:rFonts w:ascii="Arial" w:cs="Arial" w:eastAsia="Arial" w:hAnsi="Arial"/>
                <w:color w:val="333333"/>
                <w:sz w:val="16"/>
                <w:szCs w:val="16"/>
              </w:rPr>
              <w:t xml:space="preserve">Persona: KM Lead</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8</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P2</w:t>
            </w:r>
          </w:p>
        </w:tc>
        <w:tc>
          <w:tcPr>
            <w:shd w:fill="FFC7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S3 Q3 Tier 2</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Smart but depends on FR-H01, FR-H02, FR-M04 being in production first.</w:t>
            </w:r>
          </w:p>
        </w:tc>
      </w:tr>
    </w:tbl>
    <w:p>
      <w:pPr>
        <w:spacing w:after="200"/>
      </w:pPr>
      <w:r>
        <w:rPr>
          <w:rFonts w:ascii="Arial" w:cs="Arial" w:eastAsia="Arial" w:hAnsi="Arial"/>
        </w:rPr>
        <w:t xml:space="preserve"/>
      </w:r>
    </w:p>
    <w:p>
      <w:pPr>
        <w:pStyle w:val="Heading2"/>
        <w:spacing w:after="120" w:before="240"/>
      </w:pPr>
      <w:r>
        <w:rPr>
          <w:rFonts w:ascii="Arial" w:cs="Arial" w:eastAsia="Arial" w:hAnsi="Arial"/>
          <w:b/>
          <w:bCs/>
          <w:color w:val="7A1633"/>
          <w:sz w:val="26"/>
          <w:szCs w:val="26"/>
        </w:rPr>
        <w:t xml:space="preserve">7.6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7%"/>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ID</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Requirement</w:t>
            </w:r>
          </w:p>
        </w:tc>
        <w:tc>
          <w:tcPr>
            <w:tcW w:type="pct" w:w="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w:t>
            </w:r>
          </w:p>
        </w:tc>
        <w:tc>
          <w:tcPr>
            <w:tcW w:type="pct" w:w="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F</w:t>
            </w:r>
          </w:p>
        </w:tc>
        <w:tc>
          <w:tcPr>
            <w:tcW w:type="pct" w:w="5%"/>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c>
          <w:tcPr>
            <w:tcW w:type="pct" w:w="6%"/>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Priority</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Source</w:t>
            </w:r>
          </w:p>
        </w:tc>
        <w:tc>
          <w:tcPr>
            <w:tcW w:type="pct" w:w="3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Why</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FR-D01</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Single unified content health view (one URL, persona-filtered)</w:t>
            </w:r>
          </w:p>
          <w:p>
            <w:pPr>
              <w:spacing w:after="0"/>
              <w:jc w:val="left"/>
            </w:pPr>
            <w:r>
              <w:rPr>
                <w:rFonts w:ascii="Arial" w:cs="Arial" w:eastAsia="Arial" w:hAnsi="Arial"/>
                <w:color w:val="333333"/>
                <w:sz w:val="16"/>
                <w:szCs w:val="16"/>
              </w:rPr>
              <w:t xml:space="preserve">Persona: All 4</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P1</w:t>
            </w:r>
          </w:p>
        </w:tc>
        <w:tc>
          <w:tcPr>
            <w:shd w:fill="FFEB9C"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S1 Q3 Dashboard / Health View Design (2 votes); the entire premise of Session 1</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The product surface for everything in this PRD. Medium effort because depends on FR-H01-H08 backing data.</w:t>
            </w:r>
          </w:p>
        </w:tc>
      </w:tr>
      <w:tr>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6"/>
                <w:szCs w:val="16"/>
              </w:rPr>
              <w:t xml:space="preserve">FR-D02</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Contributor leaderboard / author credit</w:t>
            </w:r>
          </w:p>
          <w:p>
            <w:pPr>
              <w:spacing w:after="0"/>
              <w:jc w:val="left"/>
            </w:pPr>
            <w:r>
              <w:rPr>
                <w:rFonts w:ascii="Arial" w:cs="Arial" w:eastAsia="Arial" w:hAnsi="Arial"/>
                <w:color w:val="333333"/>
                <w:sz w:val="16"/>
                <w:szCs w:val="16"/>
              </w:rPr>
              <w:t xml:space="preserve">Persona: Tech SE, KM Lead</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8</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P2</w:t>
            </w:r>
          </w:p>
        </w:tc>
        <w:tc>
          <w:tcPr>
            <w:shd w:fill="FFC7CE" w:color="auto" w:val="clear"/>
            <w:tcMar>
              <w:top w:type="dxa" w:w="60"/>
              <w:left w:type="dxa" w:w="90"/>
              <w:bottom w:type="dxa" w:w="60"/>
              <w:right w:type="dxa" w:w="90"/>
            </w:tcMar>
          </w:tcPr>
          <w:p>
            <w:pPr>
              <w:spacing w:after="0"/>
              <w:jc w:val="left"/>
            </w:pPr>
            <w:r>
              <w:rPr>
                <w:rFonts w:ascii="Arial" w:cs="Arial" w:eastAsia="Arial" w:hAnsi="Arial"/>
                <w:i/>
                <w:iCs/>
                <w:color w:val="333333"/>
                <w:sz w:val="14"/>
                <w:szCs w:val="14"/>
              </w:rPr>
              <w:t xml:space="preserve">S1 Specific Ask #7</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4"/>
                <w:szCs w:val="14"/>
              </w:rPr>
              <w:t xml:space="preserve">Cultural / motivational value; defer until core dashboard ships.</w:t>
            </w:r>
          </w:p>
        </w:tc>
      </w:tr>
    </w:tbl>
    <w:p>
      <w:pPr>
        <w:spacing w:after="200"/>
      </w:pPr>
      <w:r>
        <w:rPr>
          <w:rFonts w:ascii="Arial" w:cs="Arial" w:eastAsia="Arial" w:hAnsi="Arial"/>
        </w:rPr>
        <w:t xml:space="preserve"/>
      </w:r>
    </w:p>
    <w:p>
      <w:r>
        <w:br w:type="page"/>
      </w:r>
    </w:p>
    <w:p>
      <w:pPr>
        <w:pStyle w:val="Heading1"/>
        <w:spacing w:after="120" w:before="240"/>
      </w:pPr>
      <w:r>
        <w:rPr>
          <w:rFonts w:ascii="Arial" w:cs="Arial" w:eastAsia="Arial" w:hAnsi="Arial"/>
          <w:b/>
          <w:bCs/>
          <w:color w:val="B11F4B"/>
          <w:sz w:val="32"/>
          <w:szCs w:val="32"/>
        </w:rPr>
        <w:t xml:space="preserve">8. Roadmap (working backward from the vision)</w:t>
      </w:r>
    </w:p>
    <w:p>
      <w:pPr>
        <w:pStyle w:val="Heading2"/>
        <w:spacing w:after="120" w:before="240"/>
      </w:pPr>
      <w:r>
        <w:rPr>
          <w:rFonts w:ascii="Arial" w:cs="Arial" w:eastAsia="Arial" w:hAnsi="Arial"/>
          <w:b/>
          <w:bCs/>
          <w:color w:val="7A1633"/>
          <w:sz w:val="26"/>
          <w:szCs w:val="26"/>
        </w:rPr>
        <w:t xml:space="preserve">8.1 FY27 Q1 — MVP (P0 only)</w:t>
      </w:r>
    </w:p>
    <w:p>
      <w:pPr>
        <w:spacing w:after="80" w:before="0"/>
      </w:pPr>
      <w:r>
        <w:rPr>
          <w:rFonts w:ascii="Arial" w:cs="Arial" w:eastAsia="Arial" w:hAnsi="Arial"/>
          <w:color w:val="333333"/>
          <w:sz w:val="20"/>
          <w:szCs w:val="20"/>
        </w:rPr>
        <w:t xml:space="preserve">Prove the prioritization loop works end-to-end. Ship the dashboard skeleton + the foundations that every other requirement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ID</w:t>
            </w:r>
          </w:p>
        </w:tc>
        <w:tc>
          <w:tcPr>
            <w:tcW w:type="pct" w:w="8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Requirement</w:t>
            </w:r>
          </w:p>
        </w:tc>
        <w:tc>
          <w:tcPr>
            <w:tcW w:type="pct" w:w="1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Outcome-based usage metric per asset (cases deflected, MTTR delta, resolution rate)</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FR-H03</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SME-validation / review date field separate from last-updated date</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FR-C02</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Unified template per document type (troubleshooting, KB, process doc, KMA)</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FR-C07</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Self-describing context blurb field on every asset (Josh: "scope when indexed")</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Impact x Fixability prioritization queue for content improvement</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Named owner per content domain (KM Lead per LOB/SBU owns Accuracy all-up)</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FR-A01</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Publish the AI-ready content standard (retrievable, extractable, self-contained, scoped, attributable)</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20</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FR-H06</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Duplicate / near-duplicate detection report (corpus-wide)</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16</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FR-C05</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PII / credential prevention at the input field (regex + classifier)</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16</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FR-M02</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Reopened-case trip-wire: auto-flag KB for re-review when a deflected case reopens</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16</w:t>
            </w:r>
          </w:p>
        </w:tc>
      </w:tr>
      <w:tr>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FR-G03</w:t>
            </w:r>
          </w:p>
        </w:tc>
        <w:tc>
          <w:tcPr>
            <w:shd w:fill="C6EF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Internal-default -&gt; external promotion gate (reverse current "internal forever" default)</w:t>
            </w:r>
          </w:p>
        </w:tc>
        <w:tc>
          <w:tcPr>
            <w:shd w:fill="C6EF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16</w:t>
            </w:r>
          </w:p>
        </w:tc>
      </w:tr>
    </w:tbl>
    <w:p>
      <w:pPr>
        <w:spacing w:after="120"/>
      </w:pPr>
      <w:r>
        <w:rPr>
          <w:rFonts w:ascii="Arial" w:cs="Arial" w:eastAsia="Arial" w:hAnsi="Arial"/>
        </w:rPr>
        <w:t xml:space="preserve"/>
      </w:r>
    </w:p>
    <w:p>
      <w:pPr>
        <w:pStyle w:val="Heading2"/>
        <w:spacing w:after="120" w:before="240"/>
      </w:pPr>
      <w:r>
        <w:rPr>
          <w:rFonts w:ascii="Arial" w:cs="Arial" w:eastAsia="Arial" w:hAnsi="Arial"/>
          <w:b/>
          <w:bCs/>
          <w:color w:val="7A1633"/>
          <w:sz w:val="26"/>
          <w:szCs w:val="26"/>
        </w:rPr>
        <w:t xml:space="preserve">8.2 FY27 Q2 — P1 wave 1 (highest-score P1s)</w:t>
      </w:r>
    </w:p>
    <w:p>
      <w:pPr>
        <w:spacing w:after="80" w:before="0"/>
      </w:pPr>
      <w:r>
        <w:rPr>
          <w:rFonts w:ascii="Arial" w:cs="Arial" w:eastAsia="Arial" w:hAnsi="Arial"/>
          <w:color w:val="333333"/>
          <w:sz w:val="20"/>
          <w:szCs w:val="20"/>
        </w:rPr>
        <w:t xml:space="preserve">Add the strategic capabilities that turn the dashboard from "viewable" into "actionable" — author signals, gap telemetry, structure refactor.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ID</w:t>
            </w:r>
          </w:p>
        </w:tc>
        <w:tc>
          <w:tcPr>
            <w:tcW w:type="pct" w:w="8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Requirement</w:t>
            </w:r>
          </w:p>
        </w:tc>
        <w:tc>
          <w:tcPr>
            <w:tcW w:type="pct" w:w="1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FR-H02</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"No content found" / unanswered-query telemetry capture</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FR-H04</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AI / graph-readiness score per asset (structure + extractability + scope)</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FR-C03</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AI-assisted first-draft from cases + telemetry (inside the authoring tool)</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FR-C04</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Real-time similarity check that BLOCKS duplicate submissions mid-type ("79% similar — not allowed")</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FR-M04</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Stale-content auto-archive (configurable: e.g. 12 months unused)</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FR-A02</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Structure-over-metadata refactor for the top 100 highest-traffic assets</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FR-D01</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Single unified content health view (one URL, persona-filtered)</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15</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FR-H05</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Coverage / gap dashboard by product, scenario, and SBU</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FR-H07</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Lifecycle health view (active / stale / candidate-to-retire / archived)</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FR-H08</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PII / compliance alert per asset (post-publish scan)</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FR-C06</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Auto-tagging / metadata enforcement at save (semantic + graph-ready)</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FR-M05</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Unified author-facing signal (thumbs + verbatim + CSAT + case-reopen) per asset</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12</w:t>
            </w:r>
          </w:p>
        </w:tc>
      </w:tr>
    </w:tbl>
    <w:p>
      <w:pPr>
        <w:spacing w:after="120"/>
      </w:pPr>
      <w:r>
        <w:rPr>
          <w:rFonts w:ascii="Arial" w:cs="Arial" w:eastAsia="Arial" w:hAnsi="Arial"/>
        </w:rPr>
        <w:t xml:space="preserve"/>
      </w:r>
    </w:p>
    <w:p>
      <w:pPr>
        <w:pStyle w:val="Heading2"/>
        <w:spacing w:after="120" w:before="240"/>
      </w:pPr>
      <w:r>
        <w:rPr>
          <w:rFonts w:ascii="Arial" w:cs="Arial" w:eastAsia="Arial" w:hAnsi="Arial"/>
          <w:b/>
          <w:bCs/>
          <w:color w:val="7A1633"/>
          <w:sz w:val="26"/>
          <w:szCs w:val="26"/>
        </w:rPr>
        <w:t xml:space="preserve">8.3 FY27 Q3 — P1 wave 2</w:t>
      </w:r>
    </w:p>
    <w:p>
      <w:pPr>
        <w:spacing w:after="80" w:before="0"/>
      </w:pPr>
      <w:r>
        <w:rPr>
          <w:rFonts w:ascii="Arial" w:cs="Arial" w:eastAsia="Arial" w:hAnsi="Arial"/>
          <w:color w:val="333333"/>
          <w:sz w:val="20"/>
          <w:szCs w:val="20"/>
        </w:rPr>
        <w:t xml:space="preserve">Close out remaining P1s, including the cross-org Big Bets (single-tool-of-record migration begins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ID</w:t>
            </w:r>
          </w:p>
        </w:tc>
        <w:tc>
          <w:tcPr>
            <w:tcW w:type="pct" w:w="8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Requirement</w:t>
            </w:r>
          </w:p>
        </w:tc>
        <w:tc>
          <w:tcPr>
            <w:tcW w:type="pct" w:w="1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FR-C01</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Single authoring tool of record for CSS (deprecate the rest with a published timeline)</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10</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FR-M03</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Auto-detect product changes -&gt; flag affected content</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10</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FR-G02</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CSS-vs-PG ownership policy: PG owns deep product docs; Support owns scenario docs</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10</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FR-G05</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Document the SAP/SBU tagging decision (deprecate or retain) and publish it</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10</w:t>
            </w:r>
          </w:p>
        </w:tc>
      </w:tr>
      <w:tr>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FR-A03</w:t>
            </w:r>
          </w:p>
        </w:tc>
        <w:tc>
          <w:tcPr>
            <w:shd w:fill="FFEB9C"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PDF / screenshot / embedded-image -&gt; structured markdown conversion pipeline</w:t>
            </w:r>
          </w:p>
        </w:tc>
        <w:tc>
          <w:tcPr>
            <w:shd w:fill="FFEB9C"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9</w:t>
            </w:r>
          </w:p>
        </w:tc>
      </w:tr>
    </w:tbl>
    <w:p>
      <w:pPr>
        <w:spacing w:after="120"/>
      </w:pPr>
      <w:r>
        <w:rPr>
          <w:rFonts w:ascii="Arial" w:cs="Arial" w:eastAsia="Arial" w:hAnsi="Arial"/>
        </w:rPr>
        <w:t xml:space="preserve"/>
      </w:r>
    </w:p>
    <w:p>
      <w:pPr>
        <w:pStyle w:val="Heading2"/>
        <w:spacing w:after="120" w:before="240"/>
      </w:pPr>
      <w:r>
        <w:rPr>
          <w:rFonts w:ascii="Arial" w:cs="Arial" w:eastAsia="Arial" w:hAnsi="Arial"/>
          <w:b/>
          <w:bCs/>
          <w:color w:val="7A1633"/>
          <w:sz w:val="26"/>
          <w:szCs w:val="26"/>
        </w:rPr>
        <w:t xml:space="preserve">8.4 FY27 Q4+ — P2 / Big Bets</w:t>
      </w:r>
    </w:p>
    <w:p>
      <w:pPr>
        <w:spacing w:after="80" w:before="0"/>
      </w:pPr>
      <w:r>
        <w:rPr>
          <w:rFonts w:ascii="Arial" w:cs="Arial" w:eastAsia="Arial" w:hAnsi="Arial"/>
          <w:color w:val="333333"/>
          <w:sz w:val="20"/>
          <w:szCs w:val="20"/>
        </w:rPr>
        <w:t xml:space="preserve">Long-horizon items that need cross-org alignment (PG ownership policy) or that build on top of P0/P1 foundations (retrieval-driven archive).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ID</w:t>
            </w:r>
          </w:p>
        </w:tc>
        <w:tc>
          <w:tcPr>
            <w:tcW w:type="pct" w:w="8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Requirement</w:t>
            </w:r>
          </w:p>
        </w:tc>
        <w:tc>
          <w:tcPr>
            <w:tcW w:type="pct" w:w="1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Score</w:t>
            </w:r>
          </w:p>
        </w:tc>
      </w:tr>
      <w:tr>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FR-G04</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Module-level markdown carve-out: single source, dual internal/external views</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8</w:t>
            </w:r>
          </w:p>
        </w:tc>
      </w:tr>
      <w:tr>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FR-A04</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Retrieval-driven retire / archive cadence (replace human calendar)</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8</w:t>
            </w:r>
          </w:p>
        </w:tc>
      </w:tr>
      <w:tr>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FR-D02</w:t>
            </w:r>
          </w:p>
        </w:tc>
        <w:tc>
          <w:tcPr>
            <w:shd w:fill="FFC7CE" w:color="auto" w:val="clear"/>
            <w:tcMar>
              <w:top w:type="dxa" w:w="60"/>
              <w:left w:type="dxa" w:w="90"/>
              <w:bottom w:type="dxa" w:w="60"/>
              <w:right w:type="dxa" w:w="90"/>
            </w:tcMar>
          </w:tcPr>
          <w:p>
            <w:pPr>
              <w:spacing w:after="0"/>
              <w:jc w:val="left"/>
            </w:pPr>
            <w:r>
              <w:rPr>
                <w:rFonts w:ascii="Arial" w:cs="Arial" w:eastAsia="Arial" w:hAnsi="Arial"/>
                <w:color w:val="333333"/>
                <w:sz w:val="16"/>
                <w:szCs w:val="16"/>
              </w:rPr>
              <w:t xml:space="preserve">Contributor leaderboard / author credit</w:t>
            </w:r>
          </w:p>
        </w:tc>
        <w:tc>
          <w:tcPr>
            <w:shd w:fill="FFC7CE" w:color="auto" w:val="clea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8</w:t>
            </w:r>
          </w:p>
        </w:tc>
      </w:tr>
    </w:tbl>
    <w:p>
      <w:pPr>
        <w:spacing w:after="120"/>
      </w:pPr>
      <w:r>
        <w:rPr>
          <w:rFonts w:ascii="Arial" w:cs="Arial" w:eastAsia="Arial" w:hAnsi="Arial"/>
        </w:rPr>
        <w:t xml:space="preserve"/>
      </w:r>
    </w:p>
    <w:p>
      <w:r>
        <w:br w:type="page"/>
      </w:r>
    </w:p>
    <w:p>
      <w:pPr>
        <w:pStyle w:val="Heading1"/>
        <w:spacing w:after="120" w:before="240"/>
      </w:pPr>
      <w:r>
        <w:rPr>
          <w:rFonts w:ascii="Arial" w:cs="Arial" w:eastAsia="Arial" w:hAnsi="Arial"/>
          <w:b/>
          <w:bCs/>
          <w:color w:val="B11F4B"/>
          <w:sz w:val="32"/>
          <w:szCs w:val="32"/>
        </w:rPr>
        <w:t xml:space="preserve">9. Success metrics — tied to SME "good content" definition</w:t>
      </w:r>
    </w:p>
    <w:p>
      <w:pPr>
        <w:spacing w:after="80" w:before="0"/>
      </w:pPr>
      <w:r>
        <w:rPr>
          <w:rFonts w:ascii="Arial" w:cs="Arial" w:eastAsia="Arial" w:hAnsi="Arial"/>
          <w:color w:val="333333"/>
          <w:sz w:val="20"/>
          <w:szCs w:val="20"/>
        </w:rPr>
        <w:t xml:space="preserve">Per Session 2 Q2 Tier 1, "good content" is defined OUTCOME-FIRST: meets / exceeds success criteria and business impact; resolves the CSS-eng / customer issue; metric = cases deflected. Metrics below operationalize that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Metric</w:t>
            </w:r>
          </w:p>
        </w:tc>
        <w:tc>
          <w:tcPr>
            <w:tcW w:type="pct" w:w="1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Target (FY27 exit)</w:t>
            </w:r>
          </w:p>
        </w:tc>
        <w:tc>
          <w:tcPr>
            <w:tcW w:type="pct" w:w="2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Tied to requirement(s)</w:t>
            </w:r>
          </w:p>
        </w:tc>
        <w:tc>
          <w:tcPr>
            <w:tcW w:type="pct" w:w="3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Why</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 of corpus with outcome-tied usage metric</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100% of top 80% by traffic</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FR-H01, FR-M01</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SMEs’ #1-voted theme; nothing else can be prioritized without this.</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AI grounding success rate on supported scenarios</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+15 pp vs baseline</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FR-H04, FR-A01, FR-A02, FR-C04, FR-C07</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Direct customer-outcome signal; ties to the vision sentence "trusted answer".</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Duplicate / near-duplicate ratio in active corpus</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&lt; 5% (from current ≈1 in 4)</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FR-C04, FR-H06</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Tier 1 grounding-failure driver in Session 3.</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"No content found" coverage — closed within 30 days</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80% closed</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FR-H02, FR-M01</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Closes the invisible-gap loop Session 3 named as a Tier 1 blocker.</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Average time from case-reopen to KB re-review trigger</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&lt; 24 hours</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FR-M02</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Jason’s explicit Session 2 ask; protects against auto-generated regressions.</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 of content domains with a named accountable owner</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100%</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FR-G01, FR-G02</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Removes the Tier 1 ownership ambiguity that blocks every other improvement.</w:t>
            </w:r>
          </w:p>
        </w:tc>
      </w:tr>
    </w:tbl>
    <w:p>
      <w:r>
        <w:br w:type="page"/>
      </w:r>
    </w:p>
    <w:p>
      <w:pPr>
        <w:pStyle w:val="Heading1"/>
        <w:spacing w:after="120" w:before="240"/>
      </w:pPr>
      <w:r>
        <w:rPr>
          <w:rFonts w:ascii="Arial" w:cs="Arial" w:eastAsia="Arial" w:hAnsi="Arial"/>
          <w:b/>
          <w:bCs/>
          <w:color w:val="B11F4B"/>
          <w:sz w:val="32"/>
          <w:szCs w:val="32"/>
        </w:rPr>
        <w:t xml:space="preserve">10. Open decisions — needed from the SME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w:t>
            </w:r>
          </w:p>
        </w:tc>
        <w:tc>
          <w:tcPr>
            <w:tcW w:type="pct" w:w="3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Decision</w:t>
            </w:r>
          </w:p>
        </w:tc>
        <w:tc>
          <w:tcPr>
            <w:tcW w:type="pct" w:w="3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Why it matters</w:t>
            </w:r>
          </w:p>
        </w:tc>
        <w:tc>
          <w:tcPr>
            <w:tcW w:type="pct" w:w="25%"/>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Owner / by when</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1</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Single authoring tool of record: Rubik vs CSS Wiki vs Content Mentor / VS Code (FR-C01).</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Unblocks the #1 Session 2 pain point and all template work. Without this we ship FR-C02 templates in N tools.</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CCS LT — FY27 Q1 kickoff</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2</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SAP / SBU tagging: deprecate or retain? (FR-G05)</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Determines whether to keep FR-C06 strict tagging or pivot fully to FR-C07 self-describing context.</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KM Leads + Ray — FY27 Q1</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3</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CSS vs PG ownership for product-deep docs (FR-G02).</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Required to unblock FR-G01 RACI publication and to scope what AI Creator persona can author.</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CSS LT + PG sponsors — FY27 Q2</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4</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Stale-content threshold for FR-M04 (12 mo? 18 mo? by product?).</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Calibrates how aggressively the auto-archive flag fires.</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KM Leads — FY27 Q1 design</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5</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Thumbs-up vote counts for Sessions 2 + 3 — transcribe from the live whiteboards.</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Replaces the Tier 1/Tier 2 fallback ranking on the S2 + S3 themes xlsx with the Session 1-style "1 (4 thumbs up)" rank.</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Workshop facilitator — FY27 Q1</w:t>
            </w:r>
          </w:p>
        </w:tc>
      </w:tr>
    </w:tbl>
    <w:p>
      <w:pPr>
        <w:pStyle w:val="Heading1"/>
        <w:spacing w:after="120" w:before="240"/>
      </w:pPr>
      <w:r>
        <w:rPr>
          <w:rFonts w:ascii="Arial" w:cs="Arial" w:eastAsia="Arial" w:hAnsi="Arial"/>
          <w:b/>
          <w:bCs/>
          <w:color w:val="B11F4B"/>
          <w:sz w:val="32"/>
          <w:szCs w:val="32"/>
        </w:rPr>
        <w:t xml:space="preserve">11.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Risk</w:t>
            </w:r>
          </w:p>
        </w:tc>
        <w:tc>
          <w:tcPr>
            <w:tcW w:type="pct" w:w="12%"/>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Likelihood</w:t>
            </w:r>
          </w:p>
        </w:tc>
        <w:tc>
          <w:tcPr>
            <w:tcW w:type="pct" w:w="4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Mitigation</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FR-C01 (single tool) blocked indefinitely on org alignment.</w:t>
            </w:r>
          </w:p>
        </w:tc>
        <w:tc>
          <w:tcPr>
            <w:shd w:fill="FFC7CE" w:color="auto" w:val="clear"/>
            <w:tcMar>
              <w:top w:type="dxa" w:w="60"/>
              <w:left w:type="dxa" w:w="90"/>
              <w:bottom w:type="dxa" w:w="60"/>
              <w:right w:type="dxa" w:w="90"/>
            </w:tcMar>
          </w:tcPr>
          <w:p>
            <w:pPr>
              <w:spacing w:after="0"/>
              <w:jc w:val="center"/>
            </w:pPr>
            <w:r>
              <w:rPr>
                <w:rFonts w:ascii="Arial" w:cs="Arial" w:eastAsia="Arial" w:hAnsi="Arial"/>
                <w:color w:val="333333"/>
                <w:sz w:val="18"/>
                <w:szCs w:val="18"/>
              </w:rPr>
              <w:t xml:space="preserve">High</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Decouple: ship FR-C02 templates + FR-C04 dedup + FR-C07 context blurb INSIDE existing tools so value lands regardless of tool consolidation.</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Product Group declines FR-G02 ownership policy.</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8"/>
                <w:szCs w:val="18"/>
              </w:rPr>
              <w:t xml:space="preserve">Medium</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Use Session 3 SME signal as escalation evidence (Josh: "support must document the product is wrong"). Sequence after FR-G01 so CSS-side ownership is clear first.</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Dashboard ships before backing signals exist — looks empty.</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8"/>
                <w:szCs w:val="18"/>
              </w:rPr>
              <w:t xml:space="preserve">Medium</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Gate FR-D01 release on FR-H01 + FR-H03 + FR-H06 being live; ship empty-state placeholders for everything else.</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AI grounding metric (FR-A score) regresses when corpus changes.</w:t>
            </w:r>
          </w:p>
        </w:tc>
        <w:tc>
          <w:tcPr>
            <w:shd w:fill="FFEB9C" w:color="auto" w:val="clear"/>
            <w:tcMar>
              <w:top w:type="dxa" w:w="60"/>
              <w:left w:type="dxa" w:w="90"/>
              <w:bottom w:type="dxa" w:w="60"/>
              <w:right w:type="dxa" w:w="90"/>
            </w:tcMar>
          </w:tcPr>
          <w:p>
            <w:pPr>
              <w:spacing w:after="0"/>
              <w:jc w:val="center"/>
            </w:pPr>
            <w:r>
              <w:rPr>
                <w:rFonts w:ascii="Arial" w:cs="Arial" w:eastAsia="Arial" w:hAnsi="Arial"/>
                <w:color w:val="333333"/>
                <w:sz w:val="18"/>
                <w:szCs w:val="18"/>
              </w:rPr>
              <w:t xml:space="preserve">Medium</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Use FR-M02 reopened-case trip-wire as the canary. Define a rollback bar on weekly grounding metric.</w:t>
            </w:r>
          </w:p>
        </w:tc>
      </w:tr>
      <w:tr>
        <w:tc>
          <w:tcPr>
            <w:tcMar>
              <w:top w:type="dxa" w:w="60"/>
              <w:left w:type="dxa" w:w="90"/>
              <w:bottom w:type="dxa" w:w="60"/>
              <w:right w:type="dxa" w:w="90"/>
            </w:tcMar>
          </w:tcPr>
          <w:p>
            <w:pPr>
              <w:spacing w:after="0"/>
              <w:jc w:val="left"/>
            </w:pPr>
            <w:r>
              <w:rPr>
                <w:rFonts w:ascii="Arial" w:cs="Arial" w:eastAsia="Arial" w:hAnsi="Arial"/>
                <w:b/>
                <w:bCs/>
                <w:color w:val="333333"/>
                <w:sz w:val="18"/>
                <w:szCs w:val="18"/>
              </w:rPr>
              <w:t xml:space="preserve">SMEs disengage between workshop and ship.</w:t>
            </w:r>
          </w:p>
        </w:tc>
        <w:tc>
          <w:tcPr>
            <w:shd w:fill="C6EFCE" w:color="auto" w:val="clear"/>
            <w:tcMar>
              <w:top w:type="dxa" w:w="60"/>
              <w:left w:type="dxa" w:w="90"/>
              <w:bottom w:type="dxa" w:w="60"/>
              <w:right w:type="dxa" w:w="90"/>
            </w:tcMar>
          </w:tcPr>
          <w:p>
            <w:pPr>
              <w:spacing w:after="0"/>
              <w:jc w:val="center"/>
            </w:pPr>
            <w:r>
              <w:rPr>
                <w:rFonts w:ascii="Arial" w:cs="Arial" w:eastAsia="Arial" w:hAnsi="Arial"/>
                <w:color w:val="333333"/>
                <w:sz w:val="18"/>
                <w:szCs w:val="18"/>
              </w:rPr>
              <w:t xml:space="preserve">Low</w:t>
            </w:r>
          </w:p>
        </w:tc>
        <w:tc>
          <w:tcPr>
            <w:tcMar>
              <w:top w:type="dxa" w:w="60"/>
              <w:left w:type="dxa" w:w="90"/>
              <w:bottom w:type="dxa" w:w="60"/>
              <w:right w:type="dxa" w:w="90"/>
            </w:tcMar>
          </w:tcPr>
          <w:p>
            <w:pPr>
              <w:spacing w:after="0"/>
              <w:jc w:val="left"/>
            </w:pPr>
            <w:r>
              <w:rPr>
                <w:rFonts w:ascii="Arial" w:cs="Arial" w:eastAsia="Arial" w:hAnsi="Arial"/>
                <w:color w:val="333333"/>
                <w:sz w:val="18"/>
                <w:szCs w:val="18"/>
              </w:rPr>
              <w:t xml:space="preserve">This PRD names each SME against their requirement (traceability appendix). Monthly checkpoint on P0 with the same five contributors.</w:t>
            </w:r>
          </w:p>
        </w:tc>
      </w:tr>
    </w:tbl>
    <w:p>
      <w:r>
        <w:br w:type="page"/>
      </w:r>
    </w:p>
    <w:p>
      <w:pPr>
        <w:pStyle w:val="Heading1"/>
        <w:spacing w:after="120" w:before="240"/>
      </w:pPr>
      <w:r>
        <w:rPr>
          <w:rFonts w:ascii="Arial" w:cs="Arial" w:eastAsia="Arial" w:hAnsi="Arial"/>
          <w:b/>
          <w:bCs/>
          <w:color w:val="B11F4B"/>
          <w:sz w:val="32"/>
          <w:szCs w:val="32"/>
        </w:rPr>
        <w:t xml:space="preserve">Appendix A — Traceability (every requirement to its source theme + SME)</w:t>
      </w:r>
    </w:p>
    <w:p>
      <w:pPr>
        <w:spacing w:after="80" w:before="0"/>
      </w:pPr>
      <w:r>
        <w:rPr>
          <w:rFonts w:ascii="Arial" w:cs="Arial" w:eastAsia="Arial" w:hAnsi="Arial"/>
          <w:color w:val="333333"/>
          <w:sz w:val="20"/>
          <w:szCs w:val="20"/>
        </w:rPr>
        <w:t xml:space="preserve">All sources are from the KM FY27 Content Lifecycle Planning Workshop (June 2, 2026). Workshop summary docs were authored by Eddy Harsh.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ID</w:t>
            </w:r>
          </w:p>
        </w:tc>
        <w:tc>
          <w:tcPr>
            <w:tcW w:type="pct" w:w="14%"/>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Lifecycle</w:t>
            </w:r>
          </w:p>
        </w:tc>
        <w:tc>
          <w:tcPr>
            <w:tcW w:type="pct" w:w="78%"/>
            <w:shd w:fill="B11F4B" w:color="auto" w:val="clear"/>
            <w:tcMar>
              <w:top w:type="dxa" w:w="60"/>
              <w:left w:type="dxa" w:w="90"/>
              <w:bottom w:type="dxa" w:w="60"/>
              <w:right w:type="dxa" w:w="90"/>
            </w:tcMar>
          </w:tcPr>
          <w:p>
            <w:pPr>
              <w:spacing w:after="0"/>
              <w:jc w:val="center"/>
            </w:pPr>
            <w:r>
              <w:rPr>
                <w:rFonts w:ascii="Arial" w:cs="Arial" w:eastAsia="Arial" w:hAnsi="Arial"/>
                <w:b/>
                <w:bCs/>
                <w:color w:val="FFFFFF"/>
                <w:sz w:val="18"/>
                <w:szCs w:val="18"/>
              </w:rPr>
              <w:t xml:space="preserve">Source theme / SME quote</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FR-H01</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Health</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S1 Q2 #1 (7 thumbs up — highest single-theme vote in the workshop)</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FR-H02</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Health</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S1 Q2 Coverage &amp; Gaps (3 votes); S3 Q1 Tier 1 "no definitive gaps telemetry"</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FR-H03</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Health</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S1 Specific Ask #2 (explicit verbatim ask); S1 Q1 Freshness (4 votes Tier 1)</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FR-H04</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Health</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S1 Q1 #1 (4 votes Tier 1); S3 Q3 Tier 1 "Clear emerging definition of AI-ready"</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FR-H05</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Health</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S1 Q2 #2 (3 votes); S3 Q2 Tier 1 "biggest gaps unclear today"</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FR-H06</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Health</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S1 Q2 Duplication (1 vote); S2 Q1 Tier 2 (Ray); S3 Q2 Tier 1 "Duplicate content is a pain"</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FR-H07</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Health</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S1 Q2 Lifecycle Health Visibility (rank 11)</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FR-H08</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Health</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S1 Q3 Compliance / PII Alert (1 vote); S2 Q1 Tier 2</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FR-C01</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Creation</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S2 Q1 Tier 1 "Too many tools; each switch is a drop point"</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FR-C02</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Creation</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S2 Q1 Tier 1 "One unified template/source with do &amp; don't guidance"; S2 Q2 Tier 1</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FR-C03</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Creation</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S2 Q1 Tier 1 "AI pulls relevant info; removes the I'm not a writer barrier" (Ray)</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FR-C04</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Creation</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S2 Q1 Tier 2 (Ray, Lean Six Sigma "prevent, don't detect later")</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FR-C05</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Creation</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S2 Q1 Tier 2 "PII/credential prevention at input, not whack-a-mole afterward"</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FR-C06</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Creation</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S2 Q1 Tier 2</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FR-C07</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Creation</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S2 Q2 Tier 1 (Josh)</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FR-M01</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Maintenance</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S3 Q2 Tier 1 "Explicit model: impact x fixability" (Ray)</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FR-M02</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Maintenance</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S2 Q3 Tier 2 (Jason: "auto-created content can later prove wrong")</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FR-M03</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Maintenance</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S3 Q1 Tier 1 "outdated content silently breaking AI trust"; S1 Specific Ask #1</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FR-M04</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Maintenance</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S3 Q2 Tier 2 "Filter out content not used in past X timeframe (12 months?)"; S1 Q3 Retire/Archive (4 votes Tier 1)</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FR-M05</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Maintenance</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S3 Q1 Tier 2 "Feedback loops are fragmented"</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FR-G01</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Governance</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S3 Q1 Tier 1 "Ownership ambiguity = no accountability"</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FR-G02</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Governance</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S3 Q1 Tier 1 (Josh: "Support must document the product is wrong")</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FR-G03</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Governance</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S2 Q3 Tier 1 (Jason: "~80% of engineer content isn't customer-ready")</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FR-G04</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Governance</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S2 Q3 Tier 1 (Ray)</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FR-G05</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Governance</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S2 Q2 Tier 2 (Ray: "decide if SAP/SBU mapping is a deprecated artifact")</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FR-A01</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AI Opt</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S3 Q3 Tier 1 "Clear emerging definition of AI-ready"</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FR-A02</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AI Opt</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S3 Q3 Tier 1 "Structure matters more than metadata; tagging = workaround for poor content"</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FR-A03</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AI Opt</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S3 Q3 Tier 2 "Non-machine-readable formats break extraction"</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FR-A04</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AI Opt</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S3 Q3 Tier 2</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FR-D01</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Dashboard</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S1 Q3 Dashboard / Health View Design (2 votes); the entire premise of Session 1</w:t>
            </w:r>
          </w:p>
        </w:tc>
      </w:tr>
      <w:tr>
        <w:tc>
          <w:tcPr>
            <w:tcMar>
              <w:top w:type="dxa" w:w="60"/>
              <w:left w:type="dxa" w:w="90"/>
              <w:bottom w:type="dxa" w:w="60"/>
              <w:right w:type="dxa" w:w="90"/>
            </w:tcMar>
          </w:tcPr>
          <w:p>
            <w:pPr>
              <w:spacing w:after="0"/>
              <w:jc w:val="center"/>
            </w:pPr>
            <w:r>
              <w:rPr>
                <w:rFonts w:ascii="Arial" w:cs="Arial" w:eastAsia="Arial" w:hAnsi="Arial"/>
                <w:b/>
                <w:bCs/>
                <w:color w:val="333333"/>
                <w:sz w:val="18"/>
                <w:szCs w:val="18"/>
              </w:rPr>
              <w:t xml:space="preserve">FR-D02</w:t>
            </w:r>
          </w:p>
        </w:tc>
        <w:tc>
          <w:tcPr>
            <w:tcMar>
              <w:top w:type="dxa" w:w="60"/>
              <w:left w:type="dxa" w:w="90"/>
              <w:bottom w:type="dxa" w:w="60"/>
              <w:right w:type="dxa" w:w="90"/>
            </w:tcMar>
          </w:tcPr>
          <w:p>
            <w:pPr>
              <w:spacing w:after="0"/>
              <w:jc w:val="center"/>
            </w:pPr>
            <w:r>
              <w:rPr>
                <w:rFonts w:ascii="Arial" w:cs="Arial" w:eastAsia="Arial" w:hAnsi="Arial"/>
                <w:color w:val="333333"/>
                <w:sz w:val="18"/>
                <w:szCs w:val="18"/>
              </w:rPr>
              <w:t xml:space="preserve">Dashboard</w:t>
            </w:r>
          </w:p>
        </w:tc>
        <w:tc>
          <w:tcPr>
            <w:tcMar>
              <w:top w:type="dxa" w:w="60"/>
              <w:left w:type="dxa" w:w="90"/>
              <w:bottom w:type="dxa" w:w="60"/>
              <w:right w:type="dxa" w:w="90"/>
            </w:tcMar>
          </w:tcPr>
          <w:p>
            <w:pPr>
              <w:spacing w:after="0"/>
              <w:jc w:val="left"/>
            </w:pPr>
            <w:r>
              <w:rPr>
                <w:rFonts w:ascii="Arial" w:cs="Arial" w:eastAsia="Arial" w:hAnsi="Arial"/>
                <w:i/>
                <w:iCs/>
                <w:color w:val="333333"/>
                <w:sz w:val="16"/>
                <w:szCs w:val="16"/>
              </w:rPr>
              <w:t xml:space="preserve">S1 Specific Ask #7</w:t>
            </w:r>
          </w:p>
        </w:tc>
      </w:tr>
    </w:tbl>
    <w:p>
      <w:r>
        <w:br w:type="page"/>
      </w:r>
    </w:p>
    <w:p>
      <w:pPr>
        <w:pStyle w:val="Heading1"/>
        <w:spacing w:after="120" w:before="240"/>
      </w:pPr>
      <w:r>
        <w:rPr>
          <w:rFonts w:ascii="Arial" w:cs="Arial" w:eastAsia="Arial" w:hAnsi="Arial"/>
          <w:b/>
          <w:bCs/>
          <w:color w:val="B11F4B"/>
          <w:sz w:val="32"/>
          <w:szCs w:val="32"/>
        </w:rPr>
        <w:t xml:space="preserve">Appendix B — Source artifacts</w:t>
      </w:r>
    </w:p>
    <w:p>
      <w:pPr>
        <w:pStyle w:val="ListParagraph"/>
        <w:numPr>
          <w:ilvl w:val="0"/>
          <w:numId w:val="1"/>
        </w:numPr>
        <w:spacing w:after="60"/>
      </w:pPr>
      <w:r>
        <w:rPr>
          <w:rFonts w:ascii="Arial" w:cs="Arial" w:eastAsia="Arial" w:hAnsi="Arial"/>
          <w:color w:val="333333"/>
          <w:sz w:val="20"/>
          <w:szCs w:val="20"/>
        </w:rPr>
        <w:t xml:space="preserve">Session 1 themes (verbatim, with vote counts): KM Session 1 - Content Health Whiteboard Themes.xlsx (XPOTPMExecution-KnowledgeManagement-CopilotHub team).</w:t>
      </w:r>
    </w:p>
    <w:p>
      <w:pPr>
        <w:pStyle w:val="ListParagraph"/>
        <w:numPr>
          <w:ilvl w:val="0"/>
          <w:numId w:val="1"/>
        </w:numPr>
        <w:spacing w:after="60"/>
      </w:pPr>
      <w:r>
        <w:rPr>
          <w:rFonts w:ascii="Arial" w:cs="Arial" w:eastAsia="Arial" w:hAnsi="Arial"/>
          <w:color w:val="333333"/>
          <w:sz w:val="20"/>
          <w:szCs w:val="20"/>
        </w:rPr>
        <w:t xml:space="preserve">Session 1 synthesis: KM Workshop Session 1 Summary - Health Dashboard.docx (Eddy Harsh).</w:t>
      </w:r>
    </w:p>
    <w:p>
      <w:pPr>
        <w:pStyle w:val="ListParagraph"/>
        <w:numPr>
          <w:ilvl w:val="0"/>
          <w:numId w:val="1"/>
        </w:numPr>
        <w:spacing w:after="60"/>
      </w:pPr>
      <w:r>
        <w:rPr>
          <w:rFonts w:ascii="Arial" w:cs="Arial" w:eastAsia="Arial" w:hAnsi="Arial"/>
          <w:color w:val="333333"/>
          <w:sz w:val="20"/>
          <w:szCs w:val="20"/>
        </w:rPr>
        <w:t xml:space="preserve">Session 2 themes (Tier 1/2 + verbatim sticky bullets): KM Workshop Session 2 Summary - Content Creation.docx (Eddy Harsh). Mirrored in this PRD’s sibling xlsx KM_Session_2_Content_Creation_Themes.xlsx.</w:t>
      </w:r>
    </w:p>
    <w:p>
      <w:pPr>
        <w:pStyle w:val="ListParagraph"/>
        <w:numPr>
          <w:ilvl w:val="0"/>
          <w:numId w:val="1"/>
        </w:numPr>
        <w:spacing w:after="60"/>
      </w:pPr>
      <w:r>
        <w:rPr>
          <w:rFonts w:ascii="Arial" w:cs="Arial" w:eastAsia="Arial" w:hAnsi="Arial"/>
          <w:color w:val="333333"/>
          <w:sz w:val="20"/>
          <w:szCs w:val="20"/>
        </w:rPr>
        <w:t xml:space="preserve">Session 3 themes (Tier 1/2 + verbatim sticky bullets): KM Workshop Session 3 Summary - Maintain Govern Archive.docx (Eddy Harsh). Mirrored in this PRD’s sibling xlsx KM_Session_3_Maintain_Govern_Archive_Themes.xlsx.</w:t>
      </w:r>
    </w:p>
    <w:p>
      <w:pPr>
        <w:pStyle w:val="ListParagraph"/>
        <w:numPr>
          <w:ilvl w:val="0"/>
          <w:numId w:val="1"/>
        </w:numPr>
        <w:spacing w:after="60"/>
      </w:pPr>
      <w:r>
        <w:rPr>
          <w:rFonts w:ascii="Arial" w:cs="Arial" w:eastAsia="Arial" w:hAnsi="Arial"/>
          <w:color w:val="333333"/>
          <w:sz w:val="20"/>
          <w:szCs w:val="20"/>
        </w:rPr>
        <w:t xml:space="preserve">Cross-session question set: KM FY27 Content Lifecycle Planning Workshop Summary.html.</w:t>
      </w:r>
    </w:p>
    <w:p>
      <w:pPr>
        <w:pStyle w:val="ListParagraph"/>
        <w:numPr>
          <w:ilvl w:val="0"/>
          <w:numId w:val="1"/>
        </w:numPr>
        <w:spacing w:after="60"/>
      </w:pPr>
      <w:r>
        <w:rPr>
          <w:rFonts w:ascii="Arial" w:cs="Arial" w:eastAsia="Arial" w:hAnsi="Arial"/>
          <w:color w:val="333333"/>
          <w:sz w:val="20"/>
          <w:szCs w:val="20"/>
        </w:rPr>
        <w:t xml:space="preserve">Vision: "Turn every customer signal into a trusted answer — before the next customer has to ask." — CCS_Vision_Working_Backward.docx (candidate A, selected by PM).</w:t>
      </w:r>
    </w:p>
    <w:p>
      <w:pPr>
        <w:pStyle w:val="ListParagraph"/>
        <w:numPr>
          <w:ilvl w:val="0"/>
          <w:numId w:val="1"/>
        </w:numPr>
        <w:spacing w:after="60"/>
      </w:pPr>
      <w:r>
        <w:rPr>
          <w:rFonts w:ascii="Arial" w:cs="Arial" w:eastAsia="Arial" w:hAnsi="Arial"/>
          <w:color w:val="333333"/>
          <w:sz w:val="20"/>
          <w:szCs w:val="20"/>
        </w:rPr>
        <w:t xml:space="preserve">Prior PRD it supersedes: CCS_PRD.docx (v1; this v2 adds the prioritization matrix and the workshop-grounded rationale).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CCS Content Lifecycle Platform PRD v2 — Workshop-Prioritized</dc:title>
  <dc:creator>Sony Manay (smanay)</dc:creator>
  <dc:description>PRD synthesized from KM Workshop Sessions 1, 2, 3 with Impact x Fixability prioritization matrix and rationale for every requirement.</dc:description>
  <cp:lastModifiedBy>Un-named</cp:lastModifiedBy>
  <cp:revision>1</cp:revision>
  <dcterms:created xsi:type="dcterms:W3CDTF">2026-06-09T14:14:46.288Z</dcterms:created>
  <dcterms:modified xsi:type="dcterms:W3CDTF">2026-06-09T14:14:46.294Z</dcterms:modified>
</cp:coreProperties>
</file>

<file path=docProps/custom.xml><?xml version="1.0" encoding="utf-8"?>
<Properties xmlns="http://schemas.openxmlformats.org/officeDocument/2006/custom-properties" xmlns:vt="http://schemas.openxmlformats.org/officeDocument/2006/docPropsVTypes"/>
</file>