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CCS Content Lifecycle</w:t>
      </w:r>
    </w:p>
    <w:p>
      <w:pPr>
        <w:pStyle w:val="Subtitle"/>
        <w:jc w:val="left"/>
      </w:pPr>
      <w:r>
        <w:t xml:space="preserve">Vision &amp; Working-Backward Plan (Amazon-style)</w:t>
      </w:r>
    </w:p>
    <w:p>
      <w:pPr>
        <w:pBdr>
          <w:left w:val="single" w:color="B11F4B" w:sz="24" w:space="8"/>
        </w:pBdr>
        <w:shd w:fill="F7E2EA" w:val="clear"/>
        <w:spacing w:after="120" w:before="120"/>
      </w:pPr>
      <w:r>
        <w:rPr>
          <w:b/>
          <w:bCs/>
          <w:color w:val="B11F4B"/>
        </w:rPr>
        <w:t xml:space="preserve">Vision (one line): </w:t>
      </w:r>
      <w:r>
        <w:t xml:space="preserve">One unified, AI-augmented content lifecycle that turns every customer signal into trusted, governed, performant content — across every CCS surface — with full end-to-end visibility from idea to retirement.</w:t>
      </w:r>
    </w:p>
    <w:p>
      <w: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8000"/>
      </w:tblGrid>
      <w:tr>
        <w:trPr>
          <w:tblHeader/>
        </w:trPr>
        <w:tc>
          <w:tcPr>
            <w:tcW w:type="dxa" w:w="3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Field</w:t>
            </w:r>
          </w:p>
        </w:tc>
        <w:tc>
          <w:tcPr>
            <w:tcW w:type="dxa" w:w="8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Value</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Owner / Author</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Sony Manay — PM, S&amp;O Technical Operations</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Version</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1.0 (initial vision + 6-pager)</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Status</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Draft for KM leadership + LOB sponsor review</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Last updated</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June 7, 2026</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Anchored to (architecture)</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https://sonymanay.github.io/ccs-discovery-dashboard/lifecycle.html</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Anchored to (PRD)</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https://sonymanay.github.io/ccs-discovery-dashboard/templates/CCS_PRD.docx</w:t>
            </w:r>
          </w:p>
        </w:tc>
      </w:tr>
      <w:tr>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Anchored to (Requirements)</w:t>
            </w:r>
          </w:p>
        </w:tc>
        <w:tc>
          <w:tcPr>
            <w:tcW w:type="dxa" w:w="8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https://sonymanay.github.io/ccs-discovery-dashboard/templates/CCS_Requirements_Mapping.docx</w:t>
            </w:r>
          </w:p>
        </w:tc>
      </w:tr>
      <w:tr>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Read order</w:t>
            </w:r>
          </w:p>
        </w:tc>
        <w:tc>
          <w:tcPr>
            <w:tcW w:type="dxa" w:w="8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Tenets → Press Release → FAQs → Outcomes Tree → Bets → Roadmap → Cadence</w:t>
            </w:r>
          </w:p>
        </w:tc>
      </w:tr>
    </w:tbl>
    <w:p>
      <w:r>
        <w:br w:type="page"/>
      </w:r>
    </w:p>
    <w:p>
      <w:pPr>
        <w:pStyle w:val="Heading1"/>
        <w:spacing w:after="120" w:before="240"/>
      </w:pPr>
      <w:r>
        <w:t xml:space="preserve">1. Tenets (how we will decide)</w:t>
      </w:r>
    </w:p>
    <w:p>
      <w:pPr>
        <w:spacing w:after="100"/>
      </w:pPr>
      <w:r>
        <w:t xml:space="preserve">Eight opinionated, tie-breaking principles. When we disagree, these are the rules we appeal to. They are deliberately uncomfortable in places — that’s the point of a tenet.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7400"/>
      </w:tblGrid>
      <w:tr>
        <w:trPr>
          <w:tblHeader/>
        </w:trPr>
        <w:tc>
          <w:tcPr>
            <w:tcW w:type="dxa" w:w="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t>
            </w:r>
          </w:p>
        </w:tc>
        <w:tc>
          <w:tcPr>
            <w:tcW w:type="dxa" w:w="3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Tenet</w:t>
            </w:r>
          </w:p>
        </w:tc>
        <w:tc>
          <w:tcPr>
            <w:tcW w:type="dxa" w:w="7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What it means in practice</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T1</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Customer signal beats author opinion.</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We build content the data says is needed. “I think customers want this” loses to “search failed 4,200 times on this question last month.”</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T2</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Governance is a gate, not a meeting.</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Standards are enforced in the workflow at publish time. Nothing waits for a weekly review to find out it’s broken.</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T3</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Every asset has provenance.</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No anonymous content in the corpus. Who / when / what sources / what model is part of the asset, not a separate spreadsheet.</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T4</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Trust over throughput.</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We will publish less to publish better. Bad content scales in an AI world; restraint is a feature.</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T5</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One source of truth; tools are destinations.</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Canonical content identity is owned by the platform. Rubik, Content Mentor, VS Code, KMA are paths in; LMC, SMC, Wiki, Evergreen, AAQ are paths out.</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T6</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AI proposes, human disposes.</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No AI-augmented asset publishes without a named human reviewer until Golden Data tells us we can relax this — and that’s a per-domain decision.</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rPr>
              <w:t xml:space="preserve">T7</w:t>
            </w:r>
          </w:p>
        </w:tc>
        <w:tc>
          <w:tcPr>
            <w:tcW w:type="dxa" w:w="3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Retire on purpose.</w:t>
            </w:r>
          </w:p>
        </w:tc>
        <w:tc>
          <w:tcPr>
            <w:tcW w:type="dxa" w:w="7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rPr>
              <w:t xml:space="preserve">Stale content carries a cost. We will pay it down weekly, not annually. Retired content leaves the AI corpus within 24 hours.</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rPr>
              <w:t xml:space="preserve">T8</w:t>
            </w:r>
          </w:p>
        </w:tc>
        <w:tc>
          <w:tcPr>
            <w:tcW w:type="dxa" w:w="3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Outcomes over outputs.</w:t>
            </w:r>
          </w:p>
        </w:tc>
        <w:tc>
          <w:tcPr>
            <w:tcW w:type="dxa" w:w="7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rPr>
              <w:t xml:space="preserve">The roadmap is dated outcomes (with leading indicators), not a feature list. If we ship a feature and the outcome doesn’t move, the bet failed.</w:t>
            </w:r>
          </w:p>
        </w:tc>
      </w:tr>
    </w:tbl>
    <w:p>
      <w:r>
        <w:br w:type="page"/>
      </w:r>
    </w:p>
    <w:p>
      <w:pPr>
        <w:pStyle w:val="Heading1"/>
        <w:spacing w:after="120" w:before="240"/>
      </w:pPr>
      <w:r>
        <w:t xml:space="preserve">2. Press release (mock launch day)</w:t>
      </w:r>
    </w:p>
    <w:p>
      <w:pPr>
        <w:pBdr>
          <w:left w:val="single" w:color="1F3864" w:sz="24" w:space="8"/>
        </w:pBdr>
        <w:shd w:fill="EAF0F8" w:val="clear"/>
        <w:spacing w:after="120" w:before="120"/>
      </w:pPr>
      <w:r>
        <w:rPr>
          <w:b/>
          <w:bCs/>
          <w:color w:val="1F3864"/>
        </w:rPr>
        <w:t xml:space="preserve">Read this first: </w:t>
      </w:r>
      <w:r>
        <w:t xml:space="preserve">Imagine the day we ship the platform. Below is the press release as we would write it then. If this story isn’t compelling enough to publish, the strategy isn’t ready.</w:t>
      </w:r>
    </w:p>
    <w:p>
      <w:pPr>
        <w:spacing w:after="100"/>
        <w:rPr>
          <w:color w:val="595959"/>
          <w:sz w:val="18"/>
          <w:szCs w:val="18"/>
        </w:rPr>
      </w:pPr>
      <w:r>
        <w:rPr>
          <w:color w:val="595959"/>
          <w:sz w:val="18"/>
          <w:szCs w:val="18"/>
        </w:rPr>
        <w:t xml:space="preserve">FOR IMMEDIATE RELEASE — Redmond, WA — Q3 FY27</w:t>
      </w:r>
    </w:p>
    <w:p>
      <w:pPr>
        <w:pStyle w:val="Heading2"/>
        <w:spacing w:after="120" w:before="240"/>
      </w:pPr>
      <w:r>
        <w:t xml:space="preserve">Microsoft CCS launches the Content Lifecycle Platform: one place where every customer signal becomes trusted content</w:t>
      </w:r>
    </w:p>
    <w:p>
      <w:pPr>
        <w:spacing w:after="100"/>
      </w:pPr>
      <w:r>
        <w:t xml:space="preserve">Microsoft Customer Service &amp; Support today unveiled the CCS Content Lifecycle Platform, a single system that turns customer signals — cases, search failures, AI grounding misses, product releases — into governed, performant content across every CCS surface. The platform unifies eight previously disconnected stages: Idea, Creation, Health, Publish, Performance, Maintenance, Governance, and Retirement, with always-on Trust &amp; Safety and a closed feedback loop from outcomes back to ideation.</w:t>
      </w:r>
    </w:p>
    <w:p>
      <w:pPr>
        <w:pStyle w:val="Heading3"/>
        <w:spacing w:after="120" w:before="240"/>
      </w:pPr>
      <w:r>
        <w:t xml:space="preserve">What changes for customers</w:t>
      </w:r>
    </w:p>
    <w:p>
      <w:pPr>
        <w:spacing w:after="100"/>
      </w:pPr>
      <w:r>
        <w:t xml:space="preserve">Customers reach trusted answers faster. Articles they read are guaranteed to have an owner, a freshness date, and a provenance record. When the AI assistant uses an article, the article has been reviewed and is safe to ground on. When content is retired, it leaves the AI corpus within 24 hours — customers no longer get stale answers from yesterday’s product.</w:t>
      </w:r>
    </w:p>
    <w:p>
      <w:pPr>
        <w:pStyle w:val="Heading3"/>
        <w:spacing w:after="120" w:before="240"/>
      </w:pPr>
      <w:r>
        <w:t xml:space="preserve">What changes for the front line</w:t>
      </w:r>
    </w:p>
    <w:p>
      <w:pPr>
        <w:spacing w:after="100"/>
      </w:pPr>
      <w:r>
        <w:t xml:space="preserve">Tech Support Engineers can flag a stale article from inside a case in one click. Content Publish Managers ship to LMC and SMC in one action with the same canonical asset. KM Leads see portfolio health — freshness, ownership, traffic, AI-readiness — at a glance instead of stitching it from five exports. AI Content Creators publish into a review queue with provenance attached automatically.</w:t>
      </w:r>
    </w:p>
    <w:p>
      <w:pPr>
        <w:pBdr>
          <w:left w:val="single" w:color="1F3864" w:sz="24" w:space="8"/>
        </w:pBdr>
        <w:shd w:fill="EAF0F8" w:val="clear"/>
        <w:spacing w:after="120" w:before="120"/>
      </w:pPr>
      <w:r>
        <w:rPr>
          <w:i/>
          <w:iCs/>
        </w:rPr>
        <w:t xml:space="preserve">“We used to find out an article was broken when a customer told us. Now we know on Monday morning, and the owner already has a work item. It changes what KM is.” </w:t>
      </w:r>
      <w:r>
        <w:rPr>
          <w:color w:val="595959"/>
        </w:rPr>
        <w:t xml:space="preserve">— Charlene Douglass, Knowledge Management Lead</w:t>
      </w:r>
    </w:p>
    <w:p>
      <w:pPr>
        <w:pBdr>
          <w:left w:val="single" w:color="1F3864" w:sz="24" w:space="8"/>
        </w:pBdr>
        <w:shd w:fill="EAF0F8" w:val="clear"/>
        <w:spacing w:after="120" w:before="120"/>
      </w:pPr>
      <w:r>
        <w:rPr>
          <w:i/>
          <w:iCs/>
        </w:rPr>
        <w:t xml:space="preserve">“I shipped a customer-facing how-to and an internal SE troubleshooting guide from the same draft, with brand and accessibility already cleared at publish. That used to be three days; it was an hour.” </w:t>
      </w:r>
      <w:r>
        <w:rPr>
          <w:color w:val="595959"/>
        </w:rPr>
        <w:t xml:space="preserve">— Content Publish Manager, S&amp;O</w:t>
      </w:r>
    </w:p>
    <w:p>
      <w:pPr>
        <w:pBdr>
          <w:left w:val="single" w:color="1F3864" w:sz="24" w:space="8"/>
        </w:pBdr>
        <w:shd w:fill="EAF0F8" w:val="clear"/>
        <w:spacing w:after="120" w:before="120"/>
      </w:pPr>
      <w:r>
        <w:rPr>
          <w:i/>
          <w:iCs/>
        </w:rPr>
        <w:t xml:space="preserve">“When I ask the assistant, I trust the answer because the article is dated, owned, and approved. That trust is the whole product.” </w:t>
      </w:r>
      <w:r>
        <w:rPr>
          <w:color w:val="595959"/>
        </w:rPr>
        <w:t xml:space="preserve">— Customer support escalation engineer</w:t>
      </w:r>
    </w:p>
    <w:p>
      <w:pPr>
        <w:pStyle w:val="Heading3"/>
        <w:spacing w:after="120" w:before="240"/>
      </w:pPr>
      <w:r>
        <w:t xml:space="preserve">Why it matters now</w:t>
      </w:r>
    </w:p>
    <w:p>
      <w:pPr>
        <w:spacing w:after="100"/>
      </w:pPr>
      <w:r>
        <w:t xml:space="preserve">In an AI-driven support experience, content quality is the ceiling on model quality. The platform makes content quality measurable, governable, and self-improving. CSS leadership has set a north star: the median time from customer signal to a trusted, published answer falls below 72 hours. The platform is the path to that outcome.</w:t>
      </w:r>
    </w:p>
    <w:p>
      <w:pPr>
        <w:spacing w:after="100"/>
      </w:pPr>
      <w:r>
        <w:t xml:space="preserve">Availability: rolling out to four LOBs in FY27, expanding through FY28.</w:t>
      </w:r>
    </w:p>
    <w:p>
      <w:r>
        <w:br w:type="page"/>
      </w:r>
    </w:p>
    <w:p>
      <w:pPr>
        <w:pStyle w:val="Heading1"/>
        <w:spacing w:after="120" w:before="240"/>
      </w:pPr>
      <w:r>
        <w:t xml:space="preserve">3. External FAQ (customer + LOB sponsor view)</w:t>
      </w:r>
    </w:p>
    <w:p>
      <w:pPr>
        <w:spacing w:after="40" w:before="120"/>
      </w:pPr>
      <w:r>
        <w:rPr>
          <w:b/>
          <w:bCs/>
          <w:color w:val="7A1535"/>
        </w:rPr>
        <w:t xml:space="preserve">Q. Will the article I just read still be accurate next month?</w:t>
      </w:r>
    </w:p>
    <w:p>
      <w:pPr>
        <w:spacing w:after="60"/>
      </w:pPr>
      <w:r>
        <w:t xml:space="preserve">A. Yes — every article has an owner and an automatic freshness check. Articles that fall out of date are flagged within 24 hours and routed to the owner; high-traffic articles are checked first.</w:t>
      </w:r>
    </w:p>
    <w:p>
      <w:pPr>
        <w:spacing w:after="40" w:before="120"/>
      </w:pPr>
      <w:r>
        <w:rPr>
          <w:b/>
          <w:bCs/>
          <w:color w:val="7A1535"/>
        </w:rPr>
        <w:t xml:space="preserve">Q. How do you keep the AI assistant from giving me stale or wrong information?</w:t>
      </w:r>
    </w:p>
    <w:p>
      <w:pPr>
        <w:spacing w:after="60"/>
      </w:pPr>
      <w:r>
        <w:t xml:space="preserve">A. Content is only available to the assistant after it passes a governance gate (metadata, sensitivity, provenance, AI-readiness). Retired content leaves the AI corpus within 24 hours. Every AI-generated article is reviewed by a named human before it ships.</w:t>
      </w:r>
    </w:p>
    <w:p>
      <w:pPr>
        <w:spacing w:after="40" w:before="120"/>
      </w:pPr>
      <w:r>
        <w:rPr>
          <w:b/>
          <w:bCs/>
          <w:color w:val="7A1535"/>
        </w:rPr>
        <w:t xml:space="preserve">Q. I gave feedback on an article — what happens to it?</w:t>
      </w:r>
    </w:p>
    <w:p>
      <w:pPr>
        <w:spacing w:after="60"/>
      </w:pPr>
      <w:r>
        <w:t xml:space="preserve">A. Feedback enters the owner’s queue with the case context attached. Patterns of feedback automatically create backlog items, which a KM Lead triages each week.</w:t>
      </w:r>
    </w:p>
    <w:p>
      <w:pPr>
        <w:spacing w:after="40" w:before="120"/>
      </w:pPr>
      <w:r>
        <w:rPr>
          <w:b/>
          <w:bCs/>
          <w:color w:val="7A1535"/>
        </w:rPr>
        <w:t xml:space="preserve">Q. Why does this matter to me as a customer?</w:t>
      </w:r>
    </w:p>
    <w:p>
      <w:pPr>
        <w:spacing w:after="60"/>
      </w:pPr>
      <w:r>
        <w:t xml:space="preserve">A. Time-to-trusted-answer drops below 72 hours. Fewer dead-end articles. Fewer cases that escalate because the knowledge was wrong. AI answers that you can trust enough to act on.</w:t>
      </w:r>
    </w:p>
    <w:p>
      <w:r>
        <w:br w:type="page"/>
      </w:r>
    </w:p>
    <w:p>
      <w:pPr>
        <w:pStyle w:val="Heading1"/>
        <w:spacing w:after="120" w:before="240"/>
      </w:pPr>
      <w:r>
        <w:t xml:space="preserve">4. Internal FAQ (exec + eng + KM leadership view)</w:t>
      </w:r>
    </w:p>
    <w:p>
      <w:pPr>
        <w:spacing w:after="40" w:before="120"/>
      </w:pPr>
      <w:r>
        <w:rPr>
          <w:b/>
          <w:bCs/>
          <w:color w:val="7A1535"/>
        </w:rPr>
        <w:t xml:space="preserve">Q. Why now?</w:t>
      </w:r>
    </w:p>
    <w:p>
      <w:pPr>
        <w:spacing w:after="60"/>
      </w:pPr>
      <w:r>
        <w:t xml:space="preserve">A. FY27 priority is ‘AI Optimized Knowledge &amp; Community Ecosystem’. Content quality is the ceiling on model quality. AI-generated volume from KMA + Cornerstone AAQ is rising faster than human-only governance can scale. Six LOBs are about to rebuild parts of this independently; a shared platform avoids that waste.</w:t>
      </w:r>
    </w:p>
    <w:p>
      <w:pPr>
        <w:spacing w:after="40" w:before="120"/>
      </w:pPr>
      <w:r>
        <w:rPr>
          <w:b/>
          <w:bCs/>
          <w:color w:val="7A1535"/>
        </w:rPr>
        <w:t xml:space="preserve">Q. Why not buy this off the shelf?</w:t>
      </w:r>
    </w:p>
    <w:p>
      <w:pPr>
        <w:spacing w:after="60"/>
      </w:pPr>
      <w:r>
        <w:t xml:space="preserve">A. No vendor covers our 5+ destinations, our internal SE + customer + AI corpora simultaneously, or our governance + sensitivity requirements. We will buy at the component level (rules engines, telemetry, search) and own the orchestration.</w:t>
      </w:r>
    </w:p>
    <w:p>
      <w:pPr>
        <w:spacing w:after="40" w:before="120"/>
      </w:pPr>
      <w:r>
        <w:rPr>
          <w:b/>
          <w:bCs/>
          <w:color w:val="7A1535"/>
        </w:rPr>
        <w:t xml:space="preserve">Q. Isn’t this just a CMS?</w:t>
      </w:r>
    </w:p>
    <w:p>
      <w:pPr>
        <w:spacing w:after="60"/>
      </w:pPr>
      <w:r>
        <w:t xml:space="preserve">A. No. A CMS is a content store. This is a lifecycle system: it ingests signals (cases, search, AI misses), turns them into a prioritized backlog, gates publish on governance, watches performance, triggers maintenance, and removes content from AI on retirement. The CMS is one component.</w:t>
      </w:r>
    </w:p>
    <w:p>
      <w:pPr>
        <w:spacing w:after="40" w:before="120"/>
      </w:pPr>
      <w:r>
        <w:rPr>
          <w:b/>
          <w:bCs/>
          <w:color w:val="7A1535"/>
        </w:rPr>
        <w:t xml:space="preserve">Q. How is this different from KMA?</w:t>
      </w:r>
    </w:p>
    <w:p>
      <w:pPr>
        <w:spacing w:after="60"/>
      </w:pPr>
      <w:r>
        <w:t xml:space="preserve">A. KMA harvests closed-case knowledge into internal stores. It is one input to this platform. KMA-generated drafts will flow into the Creation review queue with provenance attached. We do not replace KMA; we make its output safe to publish.</w:t>
      </w:r>
    </w:p>
    <w:p>
      <w:pPr>
        <w:spacing w:after="40" w:before="120"/>
      </w:pPr>
      <w:r>
        <w:rPr>
          <w:b/>
          <w:bCs/>
          <w:color w:val="7A1535"/>
        </w:rPr>
        <w:t xml:space="preserve">Q. How is this different from Cornerstone AAQ?</w:t>
      </w:r>
    </w:p>
    <w:p>
      <w:pPr>
        <w:spacing w:after="60"/>
      </w:pPr>
      <w:r>
        <w:t xml:space="preserve">A. AAQ is a destination for AI-readable internal content. This platform is what decides what gets promoted there, what gets retired, and what its provenance and audience controls are.</w:t>
      </w:r>
    </w:p>
    <w:p>
      <w:pPr>
        <w:spacing w:after="40" w:before="120"/>
      </w:pPr>
      <w:r>
        <w:rPr>
          <w:b/>
          <w:bCs/>
          <w:color w:val="7A1535"/>
        </w:rPr>
        <w:t xml:space="preserve">Q. Who owns governance — PM, KM, or compliance?</w:t>
      </w:r>
    </w:p>
    <w:p>
      <w:pPr>
        <w:spacing w:after="60"/>
      </w:pPr>
      <w:r>
        <w:t xml:space="preserve">A. PM owns the platform. KM owns the standards content. Compliance owns the sensitivity rules. The platform is the enforcement surface; ownership of the rules stays with the function that already owns them.</w:t>
      </w:r>
    </w:p>
    <w:p>
      <w:pPr>
        <w:spacing w:after="40" w:before="120"/>
      </w:pPr>
      <w:r>
        <w:rPr>
          <w:b/>
          <w:bCs/>
          <w:color w:val="7A1535"/>
        </w:rPr>
        <w:t xml:space="preserve">Q. What if the AI gets it wrong?</w:t>
      </w:r>
    </w:p>
    <w:p>
      <w:pPr>
        <w:spacing w:after="60"/>
      </w:pPr>
      <w:r>
        <w:t xml:space="preserve">A. No AI-augmented asset ships without a named human reviewer in v1. Trust &amp; Safety scans run before content enters the review queue. Per-domain Golden Data sets tell us when we can relax human-in-the-loop — and that decision is made per domain, not globally.</w:t>
      </w:r>
    </w:p>
    <w:p>
      <w:pPr>
        <w:spacing w:after="40" w:before="120"/>
      </w:pPr>
      <w:r>
        <w:rPr>
          <w:b/>
          <w:bCs/>
          <w:color w:val="7A1535"/>
        </w:rPr>
        <w:t xml:space="preserve">Q. What if a tool team won’t integrate?</w:t>
      </w:r>
    </w:p>
    <w:p>
      <w:pPr>
        <w:spacing w:after="60"/>
      </w:pPr>
      <w:r>
        <w:t xml:space="preserve">A. We start with the largest-traffic destinations (CSS Wiki, Evergreen) where adoption is sponsored. Lagging tools are crawled read-only for inventory until they integrate. Adoption is a tracked goal (G7), reviewed quarterly with KM leadership.</w:t>
      </w:r>
    </w:p>
    <w:p>
      <w:pPr>
        <w:spacing w:after="40" w:before="120"/>
      </w:pPr>
      <w:r>
        <w:rPr>
          <w:b/>
          <w:bCs/>
          <w:color w:val="7A1535"/>
        </w:rPr>
        <w:t xml:space="preserve">Q. How will we know if this is working?</w:t>
      </w:r>
    </w:p>
    <w:p>
      <w:pPr>
        <w:spacing w:after="60"/>
      </w:pPr>
      <w:r>
        <w:t xml:space="preserve">A. Time-to-trusted-answer (north-star) reported weekly. Eight stage KPIs + four cross-cutting KPIs reported monthly. Per-LOB adoption + portfolio health score reviewed quarterly with sponsors.</w:t>
      </w:r>
    </w:p>
    <w:p>
      <w:pPr>
        <w:spacing w:after="40" w:before="120"/>
      </w:pPr>
      <w:r>
        <w:rPr>
          <w:b/>
          <w:bCs/>
          <w:color w:val="7A1535"/>
        </w:rPr>
        <w:t xml:space="preserve">Q. What does failure look like, and how do we kill it?</w:t>
      </w:r>
    </w:p>
    <w:p>
      <w:pPr>
        <w:spacing w:after="60"/>
      </w:pPr>
      <w:r>
        <w:t xml:space="preserve">A. Failure: north-star metric not trending down by end of FY27 H1 and &lt; 2 LOBs adopting actively. Kill criteria: if both are true at the FY27 mid-year review, we re-scope to inventory + health only and stop building new authoring + AI paths.</w:t>
      </w:r>
    </w:p>
    <w:p>
      <w:pPr>
        <w:spacing w:after="40" w:before="120"/>
      </w:pPr>
      <w:r>
        <w:rPr>
          <w:b/>
          <w:bCs/>
          <w:color w:val="7A1535"/>
        </w:rPr>
        <w:t xml:space="preserve">Q. What’s our single biggest risk?</w:t>
      </w:r>
    </w:p>
    <w:p>
      <w:pPr>
        <w:spacing w:after="60"/>
      </w:pPr>
      <w:r>
        <w:t xml:space="preserve">A. Tool owners view this as a replacement and resist integration. Mitigation: frame as integration platform; KM executive sponsorship; co-design with Rubik / Mentor / VS Code teams in MVP.</w:t>
      </w:r>
    </w:p>
    <w:p>
      <w:r>
        <w:br w:type="page"/>
      </w:r>
    </w:p>
    <w:p>
      <w:pPr>
        <w:pStyle w:val="Heading1"/>
        <w:spacing w:after="120" w:before="240"/>
      </w:pPr>
      <w:r>
        <w:t xml:space="preserve">5. Customer problems we are solving (named, ranked)</w:t>
      </w:r>
    </w:p>
    <w:p>
      <w:pPr>
        <w:spacing w:after="100"/>
      </w:pPr>
      <w:r>
        <w:t xml:space="preserve">These are the customer-stated problems we will solve, ranked by how often they show up in case notes, workshop feedback, and dashboards. Each maps to one or more strategic outcomes (next section).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4000"/>
      </w:tblGrid>
      <w:tr>
        <w:trPr>
          <w:tblHeader/>
        </w:trPr>
        <w:tc>
          <w:tcPr>
            <w:tcW w:type="dxa" w:w="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ID</w:t>
            </w:r>
          </w:p>
        </w:tc>
        <w:tc>
          <w:tcPr>
            <w:tcW w:type="dxa" w:w="5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Problem (in their words)</w:t>
            </w:r>
          </w:p>
        </w:tc>
        <w:tc>
          <w:tcPr>
            <w:tcW w:type="dxa" w:w="1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Whose problem</w:t>
            </w:r>
          </w:p>
        </w:tc>
        <w:tc>
          <w:tcPr>
            <w:tcW w:type="dxa" w:w="4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Evidence today</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CP-1</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The article I just sent the customer is stale and I don’t know it.</w:t>
            </w:r>
          </w:p>
        </w:tc>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Tech SE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0 articles today carry a real-time freshness badge in the case workflow.</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CP-2</w:t>
            </w:r>
          </w:p>
        </w:tc>
        <w:tc>
          <w:tcPr>
            <w:tcW w:type="dxa" w:w="5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 cannot answer ‘is my product’s knowledge healthy?’ in any one place.</w:t>
            </w:r>
          </w:p>
        </w:tc>
        <w:tc>
          <w:tcPr>
            <w:tcW w:type="dxa" w:w="1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LOB Leader</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5+ siloed reports stitched in Excel; takes weeks; out of date the day after.</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CP-3</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 publish the same content twice for LMC and SMC.</w:t>
            </w:r>
          </w:p>
        </w:tc>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Manager</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No canonical content identity; tools are sources, not destinations.</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CP-4</w:t>
            </w:r>
          </w:p>
        </w:tc>
        <w:tc>
          <w:tcPr>
            <w:tcW w:type="dxa" w:w="5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 harvest closed cases into the AI corpus but no one validates the output.</w:t>
            </w:r>
          </w:p>
        </w:tc>
        <w:tc>
          <w:tcPr>
            <w:tcW w:type="dxa" w:w="1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Creator</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Promotion path lacks human gate; provenance is inconsistent.</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CP-5</w:t>
            </w:r>
          </w:p>
        </w:tc>
        <w:tc>
          <w:tcPr>
            <w:tcW w:type="dxa" w:w="5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The AI answer I read was wrong because the source was bad.</w:t>
            </w:r>
          </w:p>
        </w:tc>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Customer</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Retired content stays in the corpus for weeks; no enforcement on what AI can ground on.</w:t>
            </w:r>
          </w:p>
        </w:tc>
      </w:tr>
    </w:tbl>
    <w:p>
      <w:r>
        <w:br w:type="page"/>
      </w:r>
    </w:p>
    <w:p>
      <w:pPr>
        <w:pStyle w:val="Heading1"/>
        <w:spacing w:after="120" w:before="240"/>
      </w:pPr>
      <w:r>
        <w:t xml:space="preserve">6. Day-in-the-life: before vs after</w:t>
      </w:r>
    </w:p>
    <w:p>
      <w:pPr>
        <w:spacing w:after="100"/>
      </w:pPr>
      <w:r>
        <w:t xml:space="preserve">If we cannot describe how this product changes someone’s Tuesday, we have not designed it yet. These are the working-backward stories for each persona.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4800"/>
      </w:tblGrid>
      <w:tr>
        <w:trPr>
          <w:tblHeader/>
        </w:trPr>
        <w:tc>
          <w:tcPr>
            <w:tcW w:type="dxa" w:w="1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Persona</w:t>
            </w:r>
          </w:p>
        </w:tc>
        <w:tc>
          <w:tcPr>
            <w:tcW w:type="dxa" w:w="4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Today (before)</w:t>
            </w:r>
          </w:p>
        </w:tc>
        <w:tc>
          <w:tcPr>
            <w:tcW w:type="dxa" w:w="4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With the platform (after)</w:t>
            </w:r>
          </w:p>
        </w:tc>
      </w:tr>
      <w:tr>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Tech SE (T)</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Opens case. Searches 3 surfaces. Picks an article. No way to tell if it’s fresh. Sends it. Gets a callback because the article was wrong. Files no feedback because there’s no path.</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Opens case. Assistant suggests an article with an inline health badge (freshness, owner, last verified). If it’s stale, flags it from the case in one click; a refresh request appears in the owner’s queue with case context attached. Continues the case.</w:t>
            </w:r>
          </w:p>
        </w:tc>
      </w:tr>
      <w:tr>
        <w:tc>
          <w:tcPr>
            <w:tcW w:type="dxa" w:w="1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KM Lead (K)</w:t>
            </w:r>
          </w:p>
        </w:tc>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Monday: pulls 5 exports, stitches in Excel, manually pings 12 SMEs about stale articles, owns no shared definition of 'healthy'. Cycle takes a week, output is already stale.</w:t>
            </w:r>
          </w:p>
        </w:tc>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Monday: opens Health Dashboard, filters to ‘stale + high-traffic + no owner’, bulk-assigns to SMEs, approves top 5 ideas into Creation, reviews governance gate failures — all in 45 minutes. Cycle is now a habit, not an event.</w:t>
            </w:r>
          </w:p>
        </w:tc>
      </w:tr>
      <w:tr>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Publish Mgr (P)</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Authors twice for LMC and SMC. Hopes a reviewer catches brand / accessibility / SEO before publish. Finds out about SEO problems weeks later via a slack message.</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Authors once. Pre-publish gate runs brand / accessibility / SEO / sensitivity / AI-readiness automatically with one-click remediation. Publishes to LMC + SMC with one action and one canonical ID.</w:t>
            </w:r>
          </w:p>
        </w:tc>
      </w:tr>
      <w:tr>
        <w:tc>
          <w:tcPr>
            <w:tcW w:type="dxa" w:w="1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 Creator (A)</w:t>
            </w:r>
          </w:p>
        </w:tc>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Pipeline harvests case notes, generates drafts, drops them into a folder. No one reviews. No provenance. Sometimes shows up in customer-facing AI answers as wrong information.</w:t>
            </w:r>
          </w:p>
        </w:tc>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Pipeline drops drafts into the Creation review queue with Trust &amp; Safety + sensitivity flags pre-computed and provenance attached. Named human reviews, edits, or rejects. Rejection reason becomes a training signal back to the pipeline.</w:t>
            </w:r>
          </w:p>
        </w:tc>
      </w:tr>
      <w:tr>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LOB Leader (LOB)</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Asks team for a portfolio status. Gets a slide deck two weeks later. Cannot defend content investment to finance.</w:t>
            </w:r>
          </w:p>
        </w:tc>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Opens portfolio dashboard. Sees one composite health score with a trend line, drills into stale-but-high-impact, exports a 1-page QBR. Defends investment in the conversation, not the next quarter.</w:t>
            </w:r>
          </w:p>
        </w:tc>
      </w:tr>
    </w:tbl>
    <w:p>
      <w:r>
        <w:br w:type="page"/>
      </w:r>
    </w:p>
    <w:p>
      <w:pPr>
        <w:pStyle w:val="Heading1"/>
        <w:spacing w:after="120" w:before="240"/>
      </w:pPr>
      <w:r>
        <w:t xml:space="preserve">7. Strategy: how we execute the vision</w:t>
      </w:r>
    </w:p>
    <w:p>
      <w:pPr>
        <w:pBdr>
          <w:left w:val="single" w:color="1F3864" w:sz="24" w:space="8"/>
        </w:pBdr>
        <w:shd w:fill="EAF0F8" w:val="clear"/>
        <w:spacing w:after="120" w:before="120"/>
      </w:pPr>
      <w:r>
        <w:rPr>
          <w:b/>
          <w:bCs/>
          <w:color w:val="1F3864"/>
        </w:rPr>
        <w:t xml:space="preserve">Vision → Strategy → Roadmap: </w:t>
      </w:r>
      <w:r>
        <w:t xml:space="preserve">Vision is the destination. Strategy is the path. The roadmap is how we walk it, quarter by quarter, with dated outcomes.</w:t>
      </w:r>
    </w:p>
    <w:p>
      <w:pPr>
        <w:pStyle w:val="Heading2"/>
        <w:spacing w:after="120" w:before="240"/>
      </w:pPr>
      <w:r>
        <w:t xml:space="preserve">7.1 Three customer personas in scope</w:t>
      </w:r>
    </w:p>
    <w:p>
      <w:pPr>
        <w:pStyle w:val="ListParagraph"/>
        <w:numPr>
          <w:ilvl w:val="0"/>
          <w:numId w:val="2"/>
        </w:numPr>
        <w:spacing w:after="60"/>
      </w:pPr>
      <w:r>
        <w:t xml:space="preserve">Tech SE — consumes + flags + light-edits content in flow of case work.</w:t>
      </w:r>
    </w:p>
    <w:p>
      <w:pPr>
        <w:pStyle w:val="ListParagraph"/>
        <w:numPr>
          <w:ilvl w:val="0"/>
          <w:numId w:val="2"/>
        </w:numPr>
        <w:spacing w:after="60"/>
      </w:pPr>
      <w:r>
        <w:t xml:space="preserve">KM Lead — runs portfolio health, governance, and ownership for a domain.</w:t>
      </w:r>
    </w:p>
    <w:p>
      <w:pPr>
        <w:pStyle w:val="ListParagraph"/>
        <w:numPr>
          <w:ilvl w:val="0"/>
          <w:numId w:val="2"/>
        </w:numPr>
        <w:spacing w:after="60"/>
      </w:pPr>
      <w:r>
        <w:t xml:space="preserve">Content Publish Manager — ships customer-facing content with brand + a11y + SEO + sensitivity cleared at publish.</w:t>
      </w:r>
    </w:p>
    <w:p>
      <w:pPr>
        <w:spacing w:after="100"/>
      </w:pPr>
      <w:r>
        <w:t xml:space="preserve">LOB / SBU Leader is the sponsor surface. AI Content Creator is the pipeline that produces drafts at scale; its output is governed by the same path.</w:t>
      </w:r>
    </w:p>
    <w:p>
      <w:pPr>
        <w:pStyle w:val="Heading2"/>
        <w:spacing w:after="120" w:before="240"/>
      </w:pPr>
      <w:r>
        <w:t xml:space="preserve">7.2 Two execution paths, one platform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500"/>
        <w:gridCol w:w="3300"/>
      </w:tblGrid>
      <w:tr>
        <w:trPr>
          <w:tblHeader/>
        </w:trPr>
        <w:tc>
          <w:tcPr>
            <w:tcW w:type="dxa" w:w="1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Path</w:t>
            </w:r>
          </w:p>
        </w:tc>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Who</w:t>
            </w:r>
          </w:p>
        </w:tc>
        <w:tc>
          <w:tcPr>
            <w:tcW w:type="dxa" w:w="4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What it looks like</w:t>
            </w:r>
          </w:p>
        </w:tc>
        <w:tc>
          <w:tcPr>
            <w:tcW w:type="dxa" w:w="33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Where AI shows up</w:t>
            </w:r>
          </w:p>
        </w:tc>
      </w:tr>
      <w:tr>
        <w:tc>
          <w:tcPr>
            <w:tcW w:type="dxa" w:w="1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Human-led</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Tech SE, KM Lead, Publish Mgr</w:t>
            </w:r>
          </w:p>
        </w:tc>
        <w:tc>
          <w:tcPr>
            <w:tcW w:type="dxa" w:w="4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 in existing tools (Rubik / Mentor / VS Code / Wiki). Platform handles ingestion, governance gate, publish orchestration, performance feedback, retirement.</w:t>
            </w:r>
          </w:p>
        </w:tc>
        <w:tc>
          <w:tcPr>
            <w:tcW w:type="dxa" w:w="33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Assist at draft (suggest structure, surface related content), check at gate (brand / a11y / SEO / sensitivity / AI-readiness), advise at maintenance (‘these 12 articles look related to the new release’).</w:t>
            </w:r>
          </w:p>
        </w:tc>
      </w:tr>
      <w:tr>
        <w:tc>
          <w:tcPr>
            <w:tcW w:type="dxa" w:w="1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AI-led</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Content Creator pipeline (KMA, automation, harvesters)</w:t>
            </w:r>
          </w:p>
        </w:tc>
        <w:tc>
          <w:tcPr>
            <w:tcW w:type="dxa" w:w="4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Pipeline ingests closed-case notes + spec + SE notes, dedups, classifies, generates draft with provenance, lands in human review queue. Human approves → publishes through same governance gate as human-led path.</w:t>
            </w:r>
          </w:p>
        </w:tc>
        <w:tc>
          <w:tcPr>
            <w:tcW w:type="dxa" w:w="33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authors the first draft. Human is always the reviewer. Per-domain Golden Data sets tell us when we can relax that to lightweight review for low-risk content classes.</w:t>
            </w:r>
          </w:p>
        </w:tc>
      </w:tr>
    </w:tbl>
    <w:p>
      <w:pPr>
        <w:pStyle w:val="Heading2"/>
        <w:spacing w:after="120" w:before="240"/>
      </w:pPr>
      <w:r>
        <w:t xml:space="preserve">7.3 What is the same regardless of path</w:t>
      </w:r>
    </w:p>
    <w:p>
      <w:pPr>
        <w:pStyle w:val="ListParagraph"/>
        <w:numPr>
          <w:ilvl w:val="0"/>
          <w:numId w:val="2"/>
        </w:numPr>
        <w:spacing w:after="60"/>
      </w:pPr>
      <w:r>
        <w:t xml:space="preserve">Single canonical content identity.</w:t>
      </w:r>
    </w:p>
    <w:p>
      <w:pPr>
        <w:pStyle w:val="ListParagraph"/>
        <w:numPr>
          <w:ilvl w:val="0"/>
          <w:numId w:val="2"/>
        </w:numPr>
        <w:spacing w:after="60"/>
      </w:pPr>
      <w:r>
        <w:t xml:space="preserve">Same governance gate — metadata, sensitivity, AI-readiness, brand, a11y, SEO.</w:t>
      </w:r>
    </w:p>
    <w:p>
      <w:pPr>
        <w:pStyle w:val="ListParagraph"/>
        <w:numPr>
          <w:ilvl w:val="0"/>
          <w:numId w:val="2"/>
        </w:numPr>
        <w:spacing w:after="60"/>
      </w:pPr>
      <w:r>
        <w:t xml:space="preserve">Same Health Dashboard surface.</w:t>
      </w:r>
    </w:p>
    <w:p>
      <w:pPr>
        <w:pStyle w:val="ListParagraph"/>
        <w:numPr>
          <w:ilvl w:val="0"/>
          <w:numId w:val="2"/>
        </w:numPr>
        <w:spacing w:after="60"/>
      </w:pPr>
      <w:r>
        <w:t xml:space="preserve">Same Performance + Maintenance + Retirement loop.</w:t>
      </w:r>
    </w:p>
    <w:p>
      <w:pPr>
        <w:pStyle w:val="ListParagraph"/>
        <w:numPr>
          <w:ilvl w:val="0"/>
          <w:numId w:val="2"/>
        </w:numPr>
        <w:spacing w:after="60"/>
      </w:pPr>
      <w:r>
        <w:t xml:space="preserve">Same provenance contract on every asset.</w:t>
      </w:r>
    </w:p>
    <w:p>
      <w:r>
        <w:br w:type="page"/>
      </w:r>
    </w:p>
    <w:p>
      <w:pPr>
        <w:pStyle w:val="Heading1"/>
        <w:spacing w:after="120" w:before="240"/>
      </w:pPr>
      <w:r>
        <w:t xml:space="preserve">8. Outcomes tree</w:t>
      </w:r>
    </w:p>
    <w:p>
      <w:pPr>
        <w:spacing w:after="100"/>
      </w:pPr>
      <w:r>
        <w:t xml:space="preserve">The vision decomposes into five strategic outcomes. Each outcome decomposes into bets (next section). Each bet has measures (leading + lagging). If a bet ships and its outcome doesn’t move, the bet failed — not the team that shipped it.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400"/>
        <w:gridCol w:w="1800"/>
      </w:tblGrid>
      <w:tr>
        <w:trPr>
          <w:tblHeader/>
        </w:trPr>
        <w:tc>
          <w:tcPr>
            <w:tcW w:type="dxa" w:w="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w:t>
            </w:r>
          </w:p>
        </w:tc>
        <w:tc>
          <w:tcPr>
            <w:tcW w:type="dxa" w:w="3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Strategic outcome</w:t>
            </w:r>
          </w:p>
        </w:tc>
        <w:tc>
          <w:tcPr>
            <w:tcW w:type="dxa" w:w="5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Definition</w:t>
            </w:r>
          </w:p>
        </w:tc>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O1</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Time-to-trusted-answer &lt; 72 h (north star)</w:t>
            </w:r>
          </w:p>
        </w:tc>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Median hours from customer signal to a published, governed answer that resolves that signal class.</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72 h by FY27 Q4</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O2</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of CCS publishes pass automated governance</w:t>
            </w:r>
          </w:p>
        </w:tc>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 in-scope publish paths gated on metadata + T&amp;S + AI-readiness.</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by FY27 Q4</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O3</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of AI-augmented content carries provenance + human review</w:t>
            </w:r>
          </w:p>
        </w:tc>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No anonymous AI content in the corpus.</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 in MVP</w:t>
            </w:r>
          </w:p>
        </w:tc>
      </w:tr>
      <w:tr>
        <w:tc>
          <w:tcPr>
            <w:tcW w:type="dxa" w:w="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O4</w:t>
            </w:r>
          </w:p>
        </w:tc>
        <w:tc>
          <w:tcPr>
            <w:tcW w:type="dxa" w:w="3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60% of new backlog items linked to a customer signal</w:t>
            </w:r>
          </w:p>
        </w:tc>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Closed feedback loop is real, not theoretical.</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60% by FY27 Q4</w:t>
            </w:r>
          </w:p>
        </w:tc>
      </w:tr>
      <w:tr>
        <w:tc>
          <w:tcPr>
            <w:tcW w:type="dxa" w:w="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O5</w:t>
            </w:r>
          </w:p>
        </w:tc>
        <w:tc>
          <w:tcPr>
            <w:tcW w:type="dxa" w:w="3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95% of inventory carries owner + freshness + AI-readiness score</w:t>
            </w:r>
          </w:p>
        </w:tc>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Health Dashboard is meaningful, not partial.</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95% by FY27 Q3</w:t>
            </w:r>
          </w:p>
        </w:tc>
      </w:tr>
    </w:tbl>
    <w:p>
      <w:pPr>
        <w:pStyle w:val="Heading2"/>
        <w:spacing w:after="120" w:before="240"/>
      </w:pPr>
      <w:r>
        <w:t xml:space="preserve">8.1 Outcomes → bets traceability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9000"/>
      </w:tblGrid>
      <w:tr>
        <w:trPr>
          <w:tblHeader/>
        </w:trPr>
        <w:tc>
          <w:tcPr>
            <w:tcW w:type="dxa" w:w="2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Outcome</w:t>
            </w:r>
          </w:p>
        </w:tc>
        <w:tc>
          <w:tcPr>
            <w:tcW w:type="dxa" w:w="9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Primary bets that move it</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O1 (TTTA &lt; 72 h)</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B-01 Inventory, B-02 Health Dashboard, B-03 Governance Gate, B-04 AI Drafting, B-05 Single Publish, B-06 Feedback Loop</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O2 (100% gated publish)</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B-03 Governance Gate, B-05 Single Publish</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O3 (100% AI provenance)</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B-04 AI Drafting w/ review, B-09 Trust &amp; Safety service</w:t>
            </w:r>
          </w:p>
        </w:tc>
      </w:tr>
      <w:tr>
        <w:tc>
          <w:tcPr>
            <w:tcW w:type="dxa" w:w="2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O4 (≥60% signal-linked backlog)</w:t>
            </w:r>
          </w:p>
        </w:tc>
        <w:tc>
          <w:tcPr>
            <w:tcW w:type="dxa" w:w="9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B-06 Feedback Loop, B-07 Maintenance Signals</w:t>
            </w:r>
          </w:p>
        </w:tc>
      </w:tr>
      <w:tr>
        <w:tc>
          <w:tcPr>
            <w:tcW w:type="dxa" w:w="2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O5 (≥95% inventory complete)</w:t>
            </w:r>
          </w:p>
        </w:tc>
        <w:tc>
          <w:tcPr>
            <w:tcW w:type="dxa" w:w="9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B-01 Inventory, B-02 Health Dashboard</w:t>
            </w:r>
          </w:p>
        </w:tc>
      </w:tr>
    </w:tbl>
    <w:p>
      <w:r>
        <w:br w:type="page"/>
      </w:r>
    </w:p>
    <w:p>
      <w:pPr>
        <w:pStyle w:val="Heading1"/>
        <w:spacing w:after="120" w:before="240"/>
      </w:pPr>
      <w:r>
        <w:t xml:space="preserve">9. Bets ledger (ranked by business value)</w:t>
      </w:r>
    </w:p>
    <w:p>
      <w:pPr>
        <w:spacing w:after="100"/>
      </w:pPr>
      <w:r>
        <w:t xml:space="preserve">Each bet has Val (business value), Cost (effort), Conf (confidence we can deliver), Pri (priority), Owner, Due. We work P0 bets first regardless of how easy a P1 looks. “Highest business value first” is enforced by this ledger, not by quarterly preference.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700"/>
        <w:gridCol w:w="700"/>
        <w:gridCol w:w="800"/>
        <w:gridCol w:w="600"/>
        <w:gridCol w:w="1700"/>
        <w:gridCol w:w="1400"/>
      </w:tblGrid>
      <w:tr>
        <w:trPr>
          <w:tblHeader/>
        </w:trPr>
        <w:tc>
          <w:tcPr>
            <w:tcW w:type="dxa" w:w="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ID</w:t>
            </w:r>
          </w:p>
        </w:tc>
        <w:tc>
          <w:tcPr>
            <w:tcW w:type="dxa" w:w="3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Bet</w:t>
            </w:r>
          </w:p>
        </w:tc>
        <w:tc>
          <w:tcPr>
            <w:tcW w:type="dxa" w:w="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Val</w:t>
            </w:r>
          </w:p>
        </w:tc>
        <w:tc>
          <w:tcPr>
            <w:tcW w:type="dxa" w:w="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Cost</w:t>
            </w:r>
          </w:p>
        </w:tc>
        <w:tc>
          <w:tcPr>
            <w:tcW w:type="dxa" w:w="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Conf</w:t>
            </w:r>
          </w:p>
        </w:tc>
        <w:tc>
          <w:tcPr>
            <w:tcW w:type="dxa" w:w="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Pri</w:t>
            </w:r>
          </w:p>
        </w:tc>
        <w:tc>
          <w:tcPr>
            <w:tcW w:type="dxa" w:w="1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Owner</w:t>
            </w:r>
          </w:p>
        </w:tc>
        <w:tc>
          <w:tcPr>
            <w:tcW w:type="dxa" w:w="1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Due</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B-01</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Inventory + canonical content identity across CSS Wiki, Evergreen, LMC, SMC, AAQ.</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A&amp;I Winncomm</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Q2</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B-02</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Health Dashboard v1 (portfolio + article views, freshness / traffic / ownership / AI-readiness lenses).</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KM Leads</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Q2</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B-03</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Governance Gate at publish (metadata, T&amp;S, AI-readiness, brand, a11y, SEO).</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Eng</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Q2</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B-04</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AI Drafting from KMA + closed-case notes into human review queue (provenance attached).</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A&amp;I + KM</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B-05</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Single publish action + canonical ID + multi-destination orchestration.</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Eng</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B-06</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Closed feedback loop: Performance + Maintenance → Idea Engine backlog (auto signal-to-backlog).</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Eng</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B-07</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Maintenance signal engine (stale-but-popular, conflict, owner-change, broken link, AI confidence drop).</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KM</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B-08</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Retirement flow + AI-corpus removal within 24h (reversible delete + redirect).</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L</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Eng + AI plat</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Q4</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B-09</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Trust &amp; Safety plane: sensitivity, audience scope, hallucination risk score, provenance enforcement.</w:t>
            </w:r>
          </w:p>
        </w:tc>
        <w:tc>
          <w:tcPr>
            <w:tcW w:type="dxa" w:w="7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P0</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Compliance + PM</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B-10</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Performance + Golden Data Sets per domain (AI grounding accuracy + content usefulness).</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AI plat</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Q4</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B-11</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Tech SE inline ‘flag from case’ + lightweight fix-in-place.</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L</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CSS Eng</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B-12</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LOB executive 1-page portfolio summary export.</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L</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Q4</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B-13</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Connector kits for Rubik, Content Mentor, VS Code, KMA.</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Eng + tool teams</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FY27 Q3</w:t>
            </w:r>
          </w:p>
        </w:tc>
      </w:tr>
      <w:tr>
        <w:tc>
          <w:tcPr>
            <w:tcW w:type="dxa" w:w="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7A1535"/>
                <w:sz w:val="18"/>
                <w:szCs w:val="18"/>
              </w:rPr>
              <w:t xml:space="preserve">B-14</w:t>
            </w:r>
          </w:p>
        </w:tc>
        <w:tc>
          <w:tcPr>
            <w:tcW w:type="dxa" w:w="3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Ownership reconciliation workflow + bulk reassignment.</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L</w:t>
            </w:r>
          </w:p>
        </w:tc>
        <w:tc>
          <w:tcPr>
            <w:tcW w:type="dxa" w:w="8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H</w:t>
            </w:r>
          </w:p>
        </w:tc>
        <w:tc>
          <w:tcPr>
            <w:tcW w:type="dxa" w:w="6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P1</w:t>
            </w:r>
          </w:p>
        </w:tc>
        <w:tc>
          <w:tcPr>
            <w:tcW w:type="dxa" w:w="1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PM + KM</w:t>
            </w:r>
          </w:p>
        </w:tc>
        <w:tc>
          <w:tcPr>
            <w:tcW w:type="dxa" w:w="1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iCs/>
                <w:color w:val="000000"/>
                <w:sz w:val="18"/>
                <w:szCs w:val="18"/>
              </w:rPr>
              <w:t xml:space="preserve">FY27 Q4</w:t>
            </w:r>
          </w:p>
        </w:tc>
      </w:tr>
      <w:tr>
        <w:tc>
          <w:tcPr>
            <w:tcW w:type="dxa" w:w="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7A1535"/>
                <w:sz w:val="18"/>
                <w:szCs w:val="18"/>
              </w:rPr>
              <w:t xml:space="preserve">B-15</w:t>
            </w:r>
          </w:p>
        </w:tc>
        <w:tc>
          <w:tcPr>
            <w:tcW w:type="dxa" w:w="3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20"/>
                <w:szCs w:val="20"/>
              </w:rPr>
              <w:t xml:space="preserve">Anomaly alerts (traffic drop, negative feedback spike, ownership vacuum).</w:t>
            </w:r>
          </w:p>
        </w:tc>
        <w:tc>
          <w:tcPr>
            <w:tcW w:type="dxa" w:w="7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700"/>
            <w:tcBorders>
              <w:top w:val="single" w:color="BFBFBF" w:sz="6"/>
              <w:left w:val="single" w:color="BFBFBF" w:sz="6"/>
              <w:bottom w:val="single" w:color="BFBFBF" w:sz="6"/>
              <w:right w:val="single" w:color="BFBFBF" w:sz="6"/>
            </w:tcBorders>
            <w:shd w:fill="F8D7DA" w:val="clear"/>
            <w:tcMar>
              <w:top w:type="dxa" w:w="80"/>
              <w:left w:type="dxa" w:w="110"/>
              <w:bottom w:type="dxa" w:w="80"/>
              <w:right w:type="dxa" w:w="110"/>
            </w:tcMar>
            <w:vAlign w:val="top"/>
          </w:tcPr>
          <w:p>
            <w:pPr>
              <w:spacing w:after="0"/>
            </w:pPr>
            <w:r>
              <w:rPr>
                <w:b/>
                <w:bCs/>
                <w:i w:val="false"/>
                <w:iCs w:val="false"/>
                <w:color w:val="B91C1C"/>
              </w:rPr>
              <w:t xml:space="preserve">L</w:t>
            </w:r>
          </w:p>
        </w:tc>
        <w:tc>
          <w:tcPr>
            <w:tcW w:type="dxa" w:w="800"/>
            <w:tcBorders>
              <w:top w:val="single" w:color="BFBFBF" w:sz="6"/>
              <w:left w:val="single" w:color="BFBFBF" w:sz="6"/>
              <w:bottom w:val="single" w:color="BFBFBF" w:sz="6"/>
              <w:right w:val="single" w:color="BFBFBF" w:sz="6"/>
            </w:tcBorders>
            <w:shd w:fill="FFF3CD" w:val="clear"/>
            <w:tcMar>
              <w:top w:type="dxa" w:w="80"/>
              <w:left w:type="dxa" w:w="110"/>
              <w:bottom w:type="dxa" w:w="80"/>
              <w:right w:type="dxa" w:w="110"/>
            </w:tcMar>
            <w:vAlign w:val="top"/>
          </w:tcPr>
          <w:p>
            <w:pPr>
              <w:spacing w:after="0"/>
            </w:pPr>
            <w:r>
              <w:rPr>
                <w:b/>
                <w:bCs/>
                <w:i w:val="false"/>
                <w:iCs w:val="false"/>
                <w:color w:val="B7791F"/>
              </w:rPr>
              <w:t xml:space="preserve">M</w:t>
            </w:r>
          </w:p>
        </w:tc>
        <w:tc>
          <w:tcPr>
            <w:tcW w:type="dxa" w:w="600"/>
            <w:tcBorders>
              <w:top w:val="single" w:color="BFBFBF" w:sz="6"/>
              <w:left w:val="single" w:color="BFBFBF" w:sz="6"/>
              <w:bottom w:val="single" w:color="BFBFBF" w:sz="6"/>
              <w:right w:val="single" w:color="BFBFBF" w:sz="6"/>
            </w:tcBorders>
            <w:shd w:fill="E7F3EC" w:val="clear"/>
            <w:tcMar>
              <w:top w:type="dxa" w:w="80"/>
              <w:left w:type="dxa" w:w="110"/>
              <w:bottom w:type="dxa" w:w="80"/>
              <w:right w:type="dxa" w:w="110"/>
            </w:tcMar>
            <w:vAlign w:val="top"/>
          </w:tcPr>
          <w:p>
            <w:pPr>
              <w:spacing w:after="0"/>
            </w:pPr>
            <w:r>
              <w:rPr>
                <w:b/>
                <w:bCs/>
                <w:i w:val="false"/>
                <w:iCs w:val="false"/>
                <w:color w:val="1F7A4D"/>
              </w:rPr>
              <w:t xml:space="preserve">P2</w:t>
            </w:r>
          </w:p>
        </w:tc>
        <w:tc>
          <w:tcPr>
            <w:tcW w:type="dxa" w:w="1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1F3864"/>
                <w:sz w:val="18"/>
                <w:szCs w:val="18"/>
              </w:rPr>
              <w:t xml:space="preserve">Eng</w:t>
            </w:r>
          </w:p>
        </w:tc>
        <w:tc>
          <w:tcPr>
            <w:tcW w:type="dxa" w:w="1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iCs/>
                <w:color w:val="000000"/>
                <w:sz w:val="18"/>
                <w:szCs w:val="18"/>
              </w:rPr>
              <w:t xml:space="preserve">FY28 Q1</w:t>
            </w:r>
          </w:p>
        </w:tc>
      </w:tr>
    </w:tbl>
    <w:p>
      <w:pPr>
        <w:pBdr>
          <w:left w:val="single" w:color="B11F4B" w:sz="24" w:space="8"/>
        </w:pBdr>
        <w:shd w:fill="F7E2EA" w:val="clear"/>
        <w:spacing w:after="120" w:before="120"/>
      </w:pPr>
      <w:r>
        <w:rPr>
          <w:b/>
          <w:bCs/>
          <w:color w:val="B11F4B"/>
        </w:rPr>
        <w:t xml:space="preserve">Bet kill criteria: </w:t>
      </w:r>
      <w:r>
        <w:t xml:space="preserve">A bet is killed (not just delayed) if (a) its outcome doesn’t move by the bet’s due date, or (b) a cheaper way to move the outcome is discovered and lands inside the same quarter. Killed bets are recorded with the lesson so we don’t re-propose them.</w:t>
      </w:r>
    </w:p>
    <w:p>
      <w:r>
        <w:br w:type="page"/>
      </w:r>
    </w:p>
    <w:p>
      <w:pPr>
        <w:pStyle w:val="Heading1"/>
        <w:spacing w:after="120" w:before="240"/>
      </w:pPr>
      <w:r>
        <w:t xml:space="preserve">10. Outcome-based roadmap (working backward from FY27 exit)</w:t>
      </w:r>
    </w:p>
    <w:p>
      <w:pPr>
        <w:spacing w:after="100"/>
      </w:pPr>
      <w:r>
        <w:t xml:space="preserve">Working backward: we start from the FY27 exit state we want and walk back to the work that gets us there. The roadmap is dated outcomes — not features — with the bets that move them.</w:t>
      </w:r>
    </w:p>
    <w:p>
      <w:pPr>
        <w:pStyle w:val="Heading2"/>
        <w:spacing w:after="120" w:before="240"/>
      </w:pPr>
      <w:r>
        <w:t xml:space="preserve">10.1 FY27 Q4 exit state (what ‘done’ looks like)</w:t>
      </w:r>
    </w:p>
    <w:p>
      <w:pPr>
        <w:pStyle w:val="ListParagraph"/>
        <w:numPr>
          <w:ilvl w:val="0"/>
          <w:numId w:val="2"/>
        </w:numPr>
        <w:spacing w:after="60"/>
      </w:pPr>
      <w:r>
        <w:t xml:space="preserve">Time-to-trusted-answer trending toward &lt; 72 h; reported weekly with baseline + trend.</w:t>
      </w:r>
    </w:p>
    <w:p>
      <w:pPr>
        <w:pStyle w:val="ListParagraph"/>
        <w:numPr>
          <w:ilvl w:val="0"/>
          <w:numId w:val="2"/>
        </w:numPr>
        <w:spacing w:after="60"/>
      </w:pPr>
      <w:r>
        <w:t xml:space="preserve">100% of in-scope publish paths pass automated governance gate.</w:t>
      </w:r>
    </w:p>
    <w:p>
      <w:pPr>
        <w:pStyle w:val="ListParagraph"/>
        <w:numPr>
          <w:ilvl w:val="0"/>
          <w:numId w:val="2"/>
        </w:numPr>
        <w:spacing w:after="60"/>
      </w:pPr>
      <w:r>
        <w:t xml:space="preserve">100% of AI-augmented content carries provenance and was human-reviewed.</w:t>
      </w:r>
    </w:p>
    <w:p>
      <w:pPr>
        <w:pStyle w:val="ListParagraph"/>
        <w:numPr>
          <w:ilvl w:val="0"/>
          <w:numId w:val="2"/>
        </w:numPr>
        <w:spacing w:after="60"/>
      </w:pPr>
      <w:r>
        <w:t xml:space="preserve">≥ 60% of new backlog items linked to a customer signal.</w:t>
      </w:r>
    </w:p>
    <w:p>
      <w:pPr>
        <w:pStyle w:val="ListParagraph"/>
        <w:numPr>
          <w:ilvl w:val="0"/>
          <w:numId w:val="2"/>
        </w:numPr>
        <w:spacing w:after="60"/>
      </w:pPr>
      <w:r>
        <w:t xml:space="preserve">≥ 4 LOBs live on inventory + Health Dashboard.</w:t>
      </w:r>
    </w:p>
    <w:p>
      <w:pPr>
        <w:pStyle w:val="Heading2"/>
        <w:spacing w:after="120" w:before="240"/>
      </w:pPr>
      <w:r>
        <w:t xml:space="preserve">10.2 Quarter-by-quarter (backward from Q4)</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800"/>
        <w:gridCol w:w="2800"/>
        <w:gridCol w:w="2700"/>
      </w:tblGrid>
      <w:tr>
        <w:trPr>
          <w:tblHeader/>
        </w:trPr>
        <w:tc>
          <w:tcPr>
            <w:tcW w:type="dxa" w:w="13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Quarter</w:t>
            </w:r>
          </w:p>
        </w:tc>
        <w:tc>
          <w:tcPr>
            <w:tcW w:type="dxa" w:w="2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Outcome milestone</w:t>
            </w:r>
          </w:p>
        </w:tc>
        <w:tc>
          <w:tcPr>
            <w:tcW w:type="dxa" w:w="1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Bets in flight</w:t>
            </w:r>
          </w:p>
        </w:tc>
        <w:tc>
          <w:tcPr>
            <w:tcW w:type="dxa" w:w="2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Leading indicator (weekly)</w:t>
            </w:r>
          </w:p>
        </w:tc>
        <w:tc>
          <w:tcPr>
            <w:tcW w:type="dxa" w:w="27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Exit criteria</w:t>
            </w:r>
          </w:p>
        </w:tc>
      </w:tr>
      <w:tr>
        <w:tc>
          <w:tcPr>
            <w:tcW w:type="dxa" w:w="13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FY27 Q4 exit</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Closed loop live; 4+ LOBs adopting; north-star trending.</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B-08, B-09, B-10, B-12, B-14</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of retired content removed from AI corpus &lt; 24h; # LOBs reporting weekly health score.</w:t>
            </w:r>
          </w:p>
        </w:tc>
        <w:tc>
          <w:tcPr>
            <w:tcW w:type="dxa" w:w="2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All FY27 P0 bets accepted; LOB executive summary in use; north-star instrumented for 12+ weeks.</w:t>
            </w:r>
          </w:p>
        </w:tc>
      </w:tr>
      <w:tr>
        <w:tc>
          <w:tcPr>
            <w:tcW w:type="dxa" w:w="13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FY27 Q3</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Publish + feedback loop end-to-end; first AI drafts in review queue at scale.</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B-04, B-05, B-06, B-07, B-11, B-13</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backlog items signal-linked; % AI drafts reviewed before publish.</w:t>
            </w:r>
          </w:p>
        </w:tc>
        <w:tc>
          <w:tcPr>
            <w:tcW w:type="dxa" w:w="2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3 LOBs live; ≥ 50% P0 FRs accepted; Maintenance signal engine producing work items.</w:t>
            </w:r>
          </w:p>
        </w:tc>
      </w:tr>
      <w:tr>
        <w:tc>
          <w:tcPr>
            <w:tcW w:type="dxa" w:w="13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FY27 Q2 (MVP)</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Inventory + Health + Gate live for 1 LOB.</w:t>
            </w:r>
          </w:p>
        </w:tc>
        <w:tc>
          <w:tcPr>
            <w:tcW w:type="dxa" w:w="1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B-01, B-02, B-03</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of CSS Wiki + Evergreen in inventory; % of publishes passing gate.</w:t>
            </w:r>
          </w:p>
        </w:tc>
        <w:tc>
          <w:tcPr>
            <w:tcW w:type="dxa" w:w="27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 LOB live; gate enforced on 100% of those publishes; first health dashboards used in KM operating reviews.</w:t>
            </w:r>
          </w:p>
        </w:tc>
      </w:tr>
      <w:tr>
        <w:tc>
          <w:tcPr>
            <w:tcW w:type="dxa" w:w="13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FY27 Q1</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Architecture committed; tenants confirmed; integration contracts with KMA + Wiki + Evergreen signed.</w:t>
            </w:r>
          </w:p>
        </w:tc>
        <w:tc>
          <w:tcPr>
            <w:tcW w:type="dxa" w:w="1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Pre-work for B-01, B-02, B-03</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Connector readiness; LOB sponsorship sign-off.</w:t>
            </w:r>
          </w:p>
        </w:tc>
        <w:tc>
          <w:tcPr>
            <w:tcW w:type="dxa" w:w="27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Architecture approved; LOB-1 sponsor named; engineering staffed; PRD v1 baselined.</w:t>
            </w:r>
          </w:p>
        </w:tc>
      </w:tr>
    </w:tbl>
    <w:p>
      <w:pPr>
        <w:pStyle w:val="Heading2"/>
        <w:spacing w:after="120" w:before="240"/>
      </w:pPr>
      <w:r>
        <w:t xml:space="preserve">10.3 Date commitments (tracking grid)</w:t>
      </w:r>
    </w:p>
    <w:p>
      <w:pPr>
        <w:spacing w:after="100"/>
      </w:pPr>
      <w:r>
        <w:t xml:space="preserve">Each commitment is a row that lives in our weekly review. If it slips, we change the date and the change is logged. Dates are commitments to ourselves, not to a Gantt.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gridCol w:w="1500"/>
        <w:gridCol w:w="1500"/>
      </w:tblGrid>
      <w:tr>
        <w:trPr>
          <w:tblHeader/>
        </w:trPr>
        <w:tc>
          <w:tcPr>
            <w:tcW w:type="dxa" w:w="5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Commitment</w:t>
            </w:r>
          </w:p>
        </w:tc>
        <w:tc>
          <w:tcPr>
            <w:tcW w:type="dxa" w:w="2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Owner</w:t>
            </w:r>
          </w:p>
        </w:tc>
        <w:tc>
          <w:tcPr>
            <w:tcW w:type="dxa" w:w="1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Due</w:t>
            </w:r>
          </w:p>
        </w:tc>
        <w:tc>
          <w:tcPr>
            <w:tcW w:type="dxa" w:w="1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Status</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Architecture approved + PRD baselined</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Q1</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On track</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LOB-1 sponsor named + integration contracts signed</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Q1</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On track</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Inventory live for CSS Wiki + Evergreen (B-01)</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A&amp;I</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Health Dashboard v1 (B-02)</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KM</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Q2</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Governance Gate v1 (B-03)</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Eng</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Q2</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 Drafting into review queue (B-04)</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A&amp;I + KM</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Q3</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Single publish + canonical ID (B-05)</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Eng</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Closed feedback loop (B-06)</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Eng</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Q3</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Maintenance signal engine (B-07)</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KM</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Q3</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Retirement + corpus removal (B-08)</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Eng + AI plat</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LOB executive summary (B-12)</w:t>
            </w:r>
          </w:p>
        </w:tc>
        <w:tc>
          <w:tcPr>
            <w:tcW w:type="dxa" w:w="2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Q4</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r>
        <w:tc>
          <w:tcPr>
            <w:tcW w:type="dxa" w:w="5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4 LOBs live + north-star trending</w:t>
            </w:r>
          </w:p>
        </w:tc>
        <w:tc>
          <w:tcPr>
            <w:tcW w:type="dxa" w:w="2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KM</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FY27 Q4</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Planned</w:t>
            </w:r>
          </w:p>
        </w:tc>
      </w:tr>
    </w:tbl>
    <w:p>
      <w:r>
        <w:br w:type="page"/>
      </w:r>
    </w:p>
    <w:p>
      <w:pPr>
        <w:pStyle w:val="Heading1"/>
        <w:spacing w:after="120" w:before="240"/>
      </w:pPr>
      <w:r>
        <w:t xml:space="preserve">11. Tracking &amp; operating cadence</w:t>
      </w:r>
    </w:p>
    <w:p>
      <w:pPr>
        <w:spacing w:after="100"/>
      </w:pPr>
      <w:r>
        <w:t xml:space="preserve">Outcomes do not move because we wrote a roadmap. They move because we hold a meeting where the data is on the screen and the owner is in the room.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000"/>
        <w:gridCol w:w="3500"/>
      </w:tblGrid>
      <w:tr>
        <w:trPr>
          <w:tblHeader/>
        </w:trPr>
        <w:tc>
          <w:tcPr>
            <w:tcW w:type="dxa" w:w="1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Cadence</w:t>
            </w:r>
          </w:p>
        </w:tc>
        <w:tc>
          <w:tcPr>
            <w:tcW w:type="dxa" w:w="26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Audience</w:t>
            </w:r>
          </w:p>
        </w:tc>
        <w:tc>
          <w:tcPr>
            <w:tcW w:type="dxa" w:w="4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Input</w:t>
            </w:r>
          </w:p>
        </w:tc>
        <w:tc>
          <w:tcPr>
            <w:tcW w:type="dxa" w:w="3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Output / decision</w:t>
            </w:r>
          </w:p>
        </w:tc>
      </w:tr>
      <w:tr>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Weekly</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PM + Eng + KM core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North-star trend; leading indicators per in-flight bet; commitment grid; blockers list.</w:t>
            </w:r>
          </w:p>
        </w:tc>
        <w:tc>
          <w:tcPr>
            <w:tcW w:type="dxa" w:w="3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Reprioritize next week; resolve blockers; date-change log if any commitment slips.</w:t>
            </w:r>
          </w:p>
        </w:tc>
      </w:tr>
      <w:tr>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Monthly</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KM leadership + LOB sponsor (one LOB rotates in)</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Outcomes scorecard (O1-O5); bets ledger status; per-LOB health summary.</w:t>
            </w:r>
          </w:p>
        </w:tc>
        <w:tc>
          <w:tcPr>
            <w:tcW w:type="dxa" w:w="3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Confirm / adjust bet ranking; sponsor escalations; LOB onboarding decisions.</w:t>
            </w:r>
          </w:p>
        </w:tc>
      </w:tr>
      <w:tr>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Quarterly</w:t>
            </w:r>
          </w:p>
        </w:tc>
        <w:tc>
          <w:tcPr>
            <w:tcW w:type="dxa" w:w="26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Exec sponsor + KM leadership + finance</w:t>
            </w:r>
          </w:p>
        </w:tc>
        <w:tc>
          <w:tcPr>
            <w:tcW w:type="dxa" w:w="4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Outcome attainment vs. plan; portfolio health roll-up; budget vs. value delivered.</w:t>
            </w:r>
          </w:p>
        </w:tc>
        <w:tc>
          <w:tcPr>
            <w:tcW w:type="dxa" w:w="3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Kill / continue / accelerate decisions on bets; confirm next quarter’s P0 set; FY27 mid-year and exit reviews.</w:t>
            </w:r>
          </w:p>
        </w:tc>
      </w:tr>
      <w:tr>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Ad-hoc</w:t>
            </w:r>
          </w:p>
        </w:tc>
        <w:tc>
          <w:tcPr>
            <w:tcW w:type="dxa" w:w="26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Trust &amp; Safety council</w:t>
            </w:r>
          </w:p>
        </w:tc>
        <w:tc>
          <w:tcPr>
            <w:tcW w:type="dxa" w:w="4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T&amp;S incidents; sensitivity escalations; AI provenance audit findings.</w:t>
            </w:r>
          </w:p>
        </w:tc>
        <w:tc>
          <w:tcPr>
            <w:tcW w:type="dxa" w:w="3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Standards changes; gate rule changes; corpus removal actions.</w:t>
            </w:r>
          </w:p>
        </w:tc>
      </w:tr>
    </w:tbl>
    <w:p>
      <w:pPr>
        <w:pStyle w:val="Heading2"/>
        <w:spacing w:after="120" w:before="240"/>
      </w:pPr>
      <w:r>
        <w:t xml:space="preserve">11.1 Scorecard (single page reviewed weekly)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1500"/>
        <w:gridCol w:w="2500"/>
      </w:tblGrid>
      <w:tr>
        <w:trPr>
          <w:tblHeader/>
        </w:trPr>
        <w:tc>
          <w:tcPr>
            <w:tcW w:type="dxa" w:w="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Outcome</w:t>
            </w:r>
          </w:p>
        </w:tc>
        <w:tc>
          <w:tcPr>
            <w:tcW w:type="dxa" w:w="64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Metric</w:t>
            </w:r>
          </w:p>
        </w:tc>
        <w:tc>
          <w:tcPr>
            <w:tcW w:type="dxa" w:w="1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Target</w:t>
            </w:r>
          </w:p>
        </w:tc>
        <w:tc>
          <w:tcPr>
            <w:tcW w:type="dxa" w:w="25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Cadence</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O1</w:t>
            </w:r>
          </w:p>
        </w:tc>
        <w:tc>
          <w:tcPr>
            <w:tcW w:type="dxa" w:w="6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Time-to-trusted-answer (median hours)</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&lt; 72 h</w:t>
            </w:r>
          </w:p>
        </w:tc>
        <w:tc>
          <w:tcPr>
            <w:tcW w:type="dxa" w:w="2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Weekly</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O2</w:t>
            </w:r>
          </w:p>
        </w:tc>
        <w:tc>
          <w:tcPr>
            <w:tcW w:type="dxa" w:w="6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publishes passing governance gate</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w:t>
            </w:r>
          </w:p>
        </w:tc>
        <w:tc>
          <w:tcPr>
            <w:tcW w:type="dxa" w:w="2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Weekly</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O3</w:t>
            </w:r>
          </w:p>
        </w:tc>
        <w:tc>
          <w:tcPr>
            <w:tcW w:type="dxa" w:w="6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AI-augmented content with provenance + human review</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100%</w:t>
            </w:r>
          </w:p>
        </w:tc>
        <w:tc>
          <w:tcPr>
            <w:tcW w:type="dxa" w:w="2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Weekly</w:t>
            </w:r>
          </w:p>
        </w:tc>
      </w:tr>
      <w:tr>
        <w:tc>
          <w:tcPr>
            <w:tcW w:type="dxa" w:w="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O4</w:t>
            </w:r>
          </w:p>
        </w:tc>
        <w:tc>
          <w:tcPr>
            <w:tcW w:type="dxa" w:w="64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new backlog items signal-linked</w:t>
            </w:r>
          </w:p>
        </w:tc>
        <w:tc>
          <w:tcPr>
            <w:tcW w:type="dxa" w:w="1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60%</w:t>
            </w:r>
          </w:p>
        </w:tc>
        <w:tc>
          <w:tcPr>
            <w:tcW w:type="dxa" w:w="25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Monthly</w:t>
            </w:r>
          </w:p>
        </w:tc>
      </w:tr>
      <w:tr>
        <w:tc>
          <w:tcPr>
            <w:tcW w:type="dxa" w:w="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O5</w:t>
            </w:r>
          </w:p>
        </w:tc>
        <w:tc>
          <w:tcPr>
            <w:tcW w:type="dxa" w:w="64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inventory with owner + freshness + AI-readiness</w:t>
            </w:r>
          </w:p>
        </w:tc>
        <w:tc>
          <w:tcPr>
            <w:tcW w:type="dxa" w:w="1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 95%</w:t>
            </w:r>
          </w:p>
        </w:tc>
        <w:tc>
          <w:tcPr>
            <w:tcW w:type="dxa" w:w="25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Monthly</w:t>
            </w:r>
          </w:p>
        </w:tc>
      </w:tr>
    </w:tbl>
    <w:p>
      <w:r>
        <w:br w:type="page"/>
      </w:r>
    </w:p>
    <w:p>
      <w:pPr>
        <w:pStyle w:val="Heading1"/>
        <w:spacing w:after="120" w:before="240"/>
      </w:pPr>
      <w:r>
        <w:t xml:space="preserve">12. Working-backward Q&amp;A</w:t>
      </w:r>
    </w:p>
    <w:p>
      <w:pPr>
        <w:pStyle w:val="Heading2"/>
        <w:spacing w:after="120" w:before="240"/>
      </w:pPr>
      <w:r>
        <w:t xml:space="preserve">12.1 How does this improve daily activities?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9200"/>
      </w:tblGrid>
      <w:tr>
        <w:trPr>
          <w:tblHeader/>
        </w:trPr>
        <w:tc>
          <w:tcPr>
            <w:tcW w:type="dxa" w:w="20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Persona</w:t>
            </w:r>
          </w:p>
        </w:tc>
        <w:tc>
          <w:tcPr>
            <w:tcW w:type="dxa" w:w="9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Daily benefit (concrete + measurable)</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Tech SE / EEE</w:t>
            </w:r>
          </w:p>
        </w:tc>
        <w:tc>
          <w:tcPr>
            <w:tcW w:type="dxa" w:w="9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Inline freshness badge in case workflow. One-click ‘flag stale’ instead of dropping the case to file a ticket. ‘Is this still accurate?’ quick check at moment of use. Expected effect: fewer callbacks; less rework; shorter MTTR.</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KM Lead</w:t>
            </w:r>
          </w:p>
        </w:tc>
        <w:tc>
          <w:tcPr>
            <w:tcW w:type="dxa" w:w="9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Health Dashboard replaces weekly Excel stitching. Bulk owner reassignment in one action. Governance gate failures visible at portfolio level. Expected effect: 4-6 hours / week back to actual content work.</w:t>
            </w:r>
          </w:p>
        </w:tc>
      </w:tr>
      <w:tr>
        <w:tc>
          <w:tcPr>
            <w:tcW w:type="dxa" w:w="20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bCs/>
                <w:i w:val="false"/>
                <w:iCs w:val="false"/>
                <w:color w:val="000000"/>
                <w:sz w:val="18"/>
                <w:szCs w:val="18"/>
              </w:rPr>
              <w:t xml:space="preserve">Content Publish Manager</w:t>
            </w:r>
          </w:p>
        </w:tc>
        <w:tc>
          <w:tcPr>
            <w:tcW w:type="dxa" w:w="9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Author once, publish to LMC + SMC with one action. Pre-publish gate clears brand / a11y / SEO before the publish click instead of after. Expected effect: median draft → publish from 5-10 days to ≤ 2 days.</w:t>
            </w:r>
          </w:p>
        </w:tc>
      </w:tr>
      <w:tr>
        <w:tc>
          <w:tcPr>
            <w:tcW w:type="dxa" w:w="20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bCs/>
                <w:i w:val="false"/>
                <w:iCs w:val="false"/>
                <w:color w:val="000000"/>
                <w:sz w:val="18"/>
                <w:szCs w:val="18"/>
              </w:rPr>
              <w:t xml:space="preserve">AI Content Creator (pipeline + reviewers)</w:t>
            </w:r>
          </w:p>
        </w:tc>
        <w:tc>
          <w:tcPr>
            <w:tcW w:type="dxa" w:w="9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Drafts arrive with provenance + T&amp;S flags pre-computed. Rejection reasons become training signals back to the pipeline. Expected effect: pipeline quality improves over time without manual retraining cycles.</w:t>
            </w:r>
          </w:p>
        </w:tc>
      </w:tr>
    </w:tbl>
    <w:p>
      <w:pPr>
        <w:pStyle w:val="Heading2"/>
        <w:spacing w:after="120" w:before="240"/>
      </w:pPr>
      <w:r>
        <w:t xml:space="preserve">12.2 What is the benefit to our customers?</w:t>
      </w:r>
    </w:p>
    <w:p>
      <w:pPr>
        <w:pStyle w:val="ListParagraph"/>
        <w:numPr>
          <w:ilvl w:val="0"/>
          <w:numId w:val="2"/>
        </w:numPr>
        <w:spacing w:after="60"/>
      </w:pPr>
      <w:r>
        <w:t xml:space="preserve">Faster: median time-to-trusted-answer &lt; 72 h.</w:t>
      </w:r>
    </w:p>
    <w:p>
      <w:pPr>
        <w:pStyle w:val="ListParagraph"/>
        <w:numPr>
          <w:ilvl w:val="0"/>
          <w:numId w:val="2"/>
        </w:numPr>
        <w:spacing w:after="60"/>
      </w:pPr>
      <w:r>
        <w:t xml:space="preserve">More accurate: every article has an owner and a freshness date; stale content is flagged before customers find it.</w:t>
      </w:r>
    </w:p>
    <w:p>
      <w:pPr>
        <w:pStyle w:val="ListParagraph"/>
        <w:numPr>
          <w:ilvl w:val="0"/>
          <w:numId w:val="2"/>
        </w:numPr>
        <w:spacing w:after="60"/>
      </w:pPr>
      <w:r>
        <w:t xml:space="preserve">Safer AI: AI assistants only ground on reviewed, governed content with provenance. Retired content leaves the corpus within 24 hours.</w:t>
      </w:r>
    </w:p>
    <w:p>
      <w:pPr>
        <w:pStyle w:val="ListParagraph"/>
        <w:numPr>
          <w:ilvl w:val="0"/>
          <w:numId w:val="2"/>
        </w:numPr>
        <w:spacing w:after="60"/>
      </w:pPr>
      <w:r>
        <w:t xml:space="preserve">Less duplication: one canonical asset across destinations — customers stop getting two slightly different answers to the same question.</w:t>
      </w:r>
    </w:p>
    <w:p>
      <w:pPr>
        <w:pStyle w:val="ListParagraph"/>
        <w:numPr>
          <w:ilvl w:val="0"/>
          <w:numId w:val="2"/>
        </w:numPr>
        <w:spacing w:after="60"/>
      </w:pPr>
      <w:r>
        <w:t xml:space="preserve">Visible feedback: customer signals become backlog items; what customers ask for is what gets built next.</w:t>
      </w:r>
    </w:p>
    <w:p>
      <w:r>
        <w:br w:type="page"/>
      </w:r>
    </w:p>
    <w:p>
      <w:pPr>
        <w:pStyle w:val="Heading1"/>
        <w:spacing w:after="120" w:before="240"/>
      </w:pPr>
      <w:r>
        <w:t xml:space="preserve">13. Risks to the vision</w:t>
      </w:r>
    </w:p>
    <w:p>
      <w:pPr>
        <w:spacing w:after="100"/>
      </w:pPr>
      <w:r>
        <w:t xml:space="preserve">Top 5 risks that could prevent the vision from being realized (distinct from execution risks in the PRD). L/I: L=Low, M=Medium, H=High.</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800"/>
        <w:gridCol w:w="1100"/>
        <w:gridCol w:w="1100"/>
        <w:gridCol w:w="4200"/>
      </w:tblGrid>
      <w:tr>
        <w:trPr>
          <w:tblHeader/>
        </w:trPr>
        <w:tc>
          <w:tcPr>
            <w:tcW w:type="dxa" w:w="48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Risk</w:t>
            </w:r>
          </w:p>
        </w:tc>
        <w:tc>
          <w:tcPr>
            <w:tcW w:type="dxa" w:w="1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Likelihood</w:t>
            </w:r>
          </w:p>
        </w:tc>
        <w:tc>
          <w:tcPr>
            <w:tcW w:type="dxa" w:w="11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Impact</w:t>
            </w:r>
          </w:p>
        </w:tc>
        <w:tc>
          <w:tcPr>
            <w:tcW w:type="dxa" w:w="4200"/>
            <w:tcBorders>
              <w:top w:val="single" w:color="BFBFBF" w:sz="6"/>
              <w:left w:val="single" w:color="BFBFBF" w:sz="6"/>
              <w:bottom w:val="single" w:color="BFBFBF" w:sz="6"/>
              <w:right w:val="single" w:color="BFBFBF" w:sz="6"/>
            </w:tcBorders>
            <w:shd w:fill="B11F4B" w:val="clear"/>
            <w:tcMar>
              <w:top w:type="dxa" w:w="80"/>
              <w:left w:type="dxa" w:w="110"/>
              <w:bottom w:type="dxa" w:w="80"/>
              <w:right w:type="dxa" w:w="110"/>
            </w:tcMar>
            <w:vAlign w:val="top"/>
          </w:tcPr>
          <w:p>
            <w:pPr>
              <w:spacing w:after="0"/>
            </w:pPr>
            <w:r>
              <w:rPr>
                <w:b/>
                <w:bCs/>
                <w:i w:val="false"/>
                <w:iCs w:val="false"/>
                <w:color w:val="FFFFFF"/>
              </w:rPr>
              <w:t xml:space="preserve">Mitigation</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Tool owners resist integration; platform becomes a 9th tool, not a unifier.</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Frame as integration platform; KM exec sponsorship; co-design with Rubik / Mentor / VS Code in MVP; adoption tracked as G7.</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AI quality regresses with scale; trust erodes; customers + SEs stop using AI surfaces.</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Hard human-in-loop gate in v1; per-domain Golden Data sets; retirement removes from corpus &lt; 24h; T&amp;S plane mandatory.</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Governance perceived as bottleneck; teams route around the gate.</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Gate p95 &lt; 3s; advisory in draft, hard at publish; one-click remediation; exception workflow with auto-expiry.</w:t>
            </w:r>
          </w:p>
        </w:tc>
      </w:tr>
      <w:tr>
        <w:tc>
          <w:tcPr>
            <w:tcW w:type="dxa" w:w="48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LOB adoption is uneven; product becomes CSS-only.</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4200"/>
            <w:tcBorders>
              <w:top w:val="single" w:color="BFBFBF" w:sz="6"/>
              <w:left w:val="single" w:color="BFBFBF" w:sz="6"/>
              <w:bottom w:val="single" w:color="BFBFBF" w:sz="6"/>
              <w:right w:val="single" w:color="BFBFBF" w:sz="6"/>
            </w:tcBorders>
            <w:shd w:fill="F4F4F4" w:val="clear"/>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Quarterly sponsor reviews; per-LOB onboarding kit; tracked goal (G7); roadmap explicitly reserves capacity for LOB-driven asks.</w:t>
            </w:r>
          </w:p>
        </w:tc>
      </w:tr>
      <w:tr>
        <w:tc>
          <w:tcPr>
            <w:tcW w:type="dxa" w:w="48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North-star metric (TTTA) cannot be measured cleanly; we ship the platform with no proof it worked.</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M</w:t>
            </w:r>
          </w:p>
        </w:tc>
        <w:tc>
          <w:tcPr>
            <w:tcW w:type="dxa" w:w="11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H</w:t>
            </w:r>
          </w:p>
        </w:tc>
        <w:tc>
          <w:tcPr>
            <w:tcW w:type="dxa" w:w="4200"/>
            <w:tcBorders>
              <w:top w:val="single" w:color="BFBFBF" w:sz="6"/>
              <w:left w:val="single" w:color="BFBFBF" w:sz="6"/>
              <w:bottom w:val="single" w:color="BFBFBF" w:sz="6"/>
              <w:right w:val="single" w:color="BFBFBF" w:sz="6"/>
            </w:tcBorders>
            <w:tcMar>
              <w:top w:type="dxa" w:w="80"/>
              <w:left w:type="dxa" w:w="110"/>
              <w:bottom w:type="dxa" w:w="80"/>
              <w:right w:type="dxa" w:w="110"/>
            </w:tcMar>
            <w:vAlign w:val="top"/>
          </w:tcPr>
          <w:p>
            <w:pPr>
              <w:spacing w:after="0"/>
            </w:pPr>
            <w:r>
              <w:rPr>
                <w:b w:val="false"/>
                <w:bCs w:val="false"/>
                <w:i w:val="false"/>
                <w:iCs w:val="false"/>
                <w:color w:val="000000"/>
                <w:sz w:val="18"/>
                <w:szCs w:val="18"/>
              </w:rPr>
              <w:t xml:space="preserve">Instrumentation is a Q1 deliverable, not a Q3 wish; baseline + trend reported from Q2 onward; if unmeasurable by H1 end, scope back to inventory + health.</w:t>
            </w:r>
          </w:p>
        </w:tc>
      </w:tr>
    </w:tbl>
    <w:p>
      <w:r>
        <w:br w:type="page"/>
      </w:r>
    </w:p>
    <w:p>
      <w:pPr>
        <w:pStyle w:val="Heading1"/>
        <w:spacing w:after="120" w:before="240"/>
      </w:pPr>
      <w:r>
        <w:t xml:space="preserve">14. What we are explicitly NOT building (and why)</w:t>
      </w:r>
    </w:p>
    <w:p>
      <w:pPr>
        <w:pBdr>
          <w:left w:val="single" w:color="1F3864" w:sz="24" w:space="8"/>
        </w:pBdr>
        <w:shd w:fill="EAF0F8" w:val="clear"/>
        <w:spacing w:after="120" w:before="120"/>
      </w:pPr>
      <w:r>
        <w:rPr>
          <w:b/>
          <w:bCs/>
          <w:color w:val="1F3864"/>
        </w:rPr>
        <w:t xml:space="preserve">Why this section exists: </w:t>
      </w:r>
      <w:r>
        <w:t xml:space="preserve">A vision is as much about what we say no to as what we say yes to. If we leave this implicit, every quarter someone re-asks for it. Make the trade explicit.</w:t>
      </w:r>
    </w:p>
    <w:p>
      <w:pPr>
        <w:pStyle w:val="ListParagraph"/>
        <w:numPr>
          <w:ilvl w:val="0"/>
          <w:numId w:val="2"/>
        </w:numPr>
        <w:spacing w:after="60"/>
      </w:pPr>
      <w:r>
        <w:t xml:space="preserve">Replacing Rubik / Content Mentor / VS Code authoring surfaces — we integrate; they keep their UX.</w:t>
      </w:r>
    </w:p>
    <w:p>
      <w:pPr>
        <w:pStyle w:val="ListParagraph"/>
        <w:numPr>
          <w:ilvl w:val="0"/>
          <w:numId w:val="2"/>
        </w:numPr>
        <w:spacing w:after="60"/>
      </w:pPr>
      <w:r>
        <w:t xml:space="preserve">Building a new customer-facing search experience on LMC / SMC.</w:t>
      </w:r>
    </w:p>
    <w:p>
      <w:pPr>
        <w:pStyle w:val="ListParagraph"/>
        <w:numPr>
          <w:ilvl w:val="0"/>
          <w:numId w:val="2"/>
        </w:numPr>
        <w:spacing w:after="60"/>
      </w:pPr>
      <w:r>
        <w:t xml:space="preserve">Building a translation engine — we surface localization state, we don’t translate.</w:t>
      </w:r>
    </w:p>
    <w:p>
      <w:pPr>
        <w:pStyle w:val="ListParagraph"/>
        <w:numPr>
          <w:ilvl w:val="0"/>
          <w:numId w:val="2"/>
        </w:numPr>
        <w:spacing w:after="60"/>
      </w:pPr>
      <w:r>
        <w:t xml:space="preserve">Replacing case management or product spec systems.</w:t>
      </w:r>
    </w:p>
    <w:p>
      <w:pPr>
        <w:pStyle w:val="ListParagraph"/>
        <w:numPr>
          <w:ilvl w:val="0"/>
          <w:numId w:val="2"/>
        </w:numPr>
        <w:spacing w:after="60"/>
      </w:pPr>
      <w:r>
        <w:t xml:space="preserve">Re-platforming Cornerstone AAQ — we promote into it; we don’t rebuild it.</w:t>
      </w:r>
    </w:p>
    <w:p>
      <w:pPr>
        <w:pStyle w:val="ListParagraph"/>
        <w:numPr>
          <w:ilvl w:val="0"/>
          <w:numId w:val="2"/>
        </w:numPr>
        <w:spacing w:after="60"/>
      </w:pPr>
      <w:r>
        <w:t xml:space="preserve">Building a customer-direct content submission portal in FY27 (revisit in FY28 based on signal volume).</w:t>
      </w:r>
    </w:p>
    <w:p>
      <w:r>
        <w:br w:type="page"/>
      </w:r>
    </w:p>
    <w:p>
      <w:pPr>
        <w:pStyle w:val="Heading1"/>
        <w:spacing w:after="120" w:before="240"/>
      </w:pPr>
      <w:r>
        <w:t xml:space="preserve">15. Companion artifacts</w:t>
      </w:r>
    </w:p>
    <w:p>
      <w:pPr>
        <w:spacing w:after="100"/>
      </w:pPr>
      <w:r>
        <w:t xml:space="preserve">This document is the vision and the strategy. The artifacts below are the execution and discovery surfaces.</w:t>
      </w:r>
    </w:p>
    <w:p>
      <w:pPr>
        <w:pStyle w:val="ListParagraph"/>
        <w:numPr>
          <w:ilvl w:val="0"/>
          <w:numId w:val="2"/>
        </w:numPr>
        <w:spacing w:after="60"/>
      </w:pPr>
      <w:r>
        <w:t xml:space="preserve">Interactive Lifecycle Diagram — https://sonymanay.github.io/ccs-discovery-dashboard/lifecycle.html</w:t>
      </w:r>
    </w:p>
    <w:p>
      <w:pPr>
        <w:pStyle w:val="ListParagraph"/>
        <w:numPr>
          <w:ilvl w:val="0"/>
          <w:numId w:val="2"/>
        </w:numPr>
        <w:spacing w:after="60"/>
      </w:pPr>
      <w:r>
        <w:t xml:space="preserve">Discovery Dashboard — https://sonymanay.github.io/ccs-discovery-dashboard/</w:t>
      </w:r>
    </w:p>
    <w:p>
      <w:pPr>
        <w:pStyle w:val="ListParagraph"/>
        <w:numPr>
          <w:ilvl w:val="0"/>
          <w:numId w:val="2"/>
        </w:numPr>
        <w:spacing w:after="60"/>
      </w:pPr>
      <w:r>
        <w:t xml:space="preserve">CCS PRD v1.0 — https://sonymanay.github.io/ccs-discovery-dashboard/templates/CCS_PRD.docx</w:t>
      </w:r>
    </w:p>
    <w:p>
      <w:pPr>
        <w:pStyle w:val="ListParagraph"/>
        <w:numPr>
          <w:ilvl w:val="0"/>
          <w:numId w:val="2"/>
        </w:numPr>
        <w:spacing w:after="60"/>
      </w:pPr>
      <w:r>
        <w:t xml:space="preserve">CCS Requirements Mapping (KM FY27 Workshop) — https://sonymanay.github.io/ccs-discovery-dashboard/templates/CCS_Requirements_Mapping.docx</w:t>
      </w:r>
    </w:p>
    <w:p>
      <w:pPr>
        <w:pStyle w:val="ListParagraph"/>
        <w:numPr>
          <w:ilvl w:val="0"/>
          <w:numId w:val="2"/>
        </w:numPr>
        <w:spacing w:after="60"/>
      </w:pPr>
      <w:r>
        <w:t xml:space="preserve">Persona × Lifecycle Deep-Dive Question Bank — https://sonymanay.github.io/ccs-discovery-dashboard/templates/CCS_Lifecycle_DeepDive_Questions.docx</w:t>
      </w:r>
    </w:p>
    <w:p>
      <w:pPr>
        <w:pStyle w:val="ListParagraph"/>
        <w:numPr>
          <w:ilvl w:val="0"/>
          <w:numId w:val="2"/>
        </w:numPr>
        <w:spacing w:after="60"/>
      </w:pPr>
      <w:r>
        <w:t xml:space="preserve">Discovery Master Template + persona-specific docs — https://sonymanay.github.io/ccs-discovery-dashboard/templates/</w:t>
      </w:r>
    </w:p>
    <w:p>
      <w:r>
        <w:t xml:space="preserve"/>
      </w:r>
    </w:p>
    <w:p>
      <w:pPr>
        <w:pBdr>
          <w:left w:val="single" w:color="B11F4B" w:sz="24" w:space="8"/>
        </w:pBdr>
        <w:shd w:fill="F7E2EA" w:val="clear"/>
        <w:spacing w:after="120" w:before="120"/>
      </w:pPr>
      <w:r>
        <w:rPr>
          <w:b/>
          <w:bCs/>
          <w:color w:val="B11F4B"/>
        </w:rPr>
        <w:t xml:space="preserve">How to use this doc: </w:t>
      </w:r>
      <w:r>
        <w:t xml:space="preserve">Read the press release first (section 2). If you would not publish it on launch day, the strategy is not ready. Then read tenets (section 1) — those are the tie-breakers we will appeal to. Then bets (section 9) and roadmap (section 10). FAQs (sections 3-4) answer everything else.</w:t>
      </w:r>
    </w:p>
    <w:sectPr>
      <w:headerReference w:type="default" r:id="rId7"/>
      <w:footerReference w:type="default" r:id="rId8"/>
      <w:pgSz w:w="12240" w:h="15840" w:orient="portrait"/>
      <w:pgMar w:top="13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11F4B" w:sz="6" w:space="1"/>
      </w:pBdr>
      <w:tabs>
        <w:tab w:val="right" w:pos="9026"/>
      </w:tabs>
    </w:pPr>
    <w:r>
      <w:rPr>
        <w:b/>
        <w:bCs/>
        <w:color w:val="B11F4B"/>
      </w:rPr>
      <w:t xml:space="preserve">CCS Content Lifecycle — Vision &amp; Working-Backward Plan</w:t>
    </w:r>
    <w:r>
      <w:rPr>
        <w:color w:val="595959"/>
      </w:rPr>
      <w:t xml:space="preserve">	v1.0  ·  FY27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B11F4B"/>
      <w:sz w:val="56"/>
      <w:szCs w:val="56"/>
    </w:rPr>
  </w:style>
  <w:style w:type="paragraph" w:styleId="Subtitle">
    <w:name w:val="Subtitle"/>
    <w:basedOn w:val="Normal"/>
    <w:next w:val="Normal"/>
    <w:qFormat/>
    <w:pPr>
      <w:spacing w:after="200" w:before="0"/>
    </w:pPr>
    <w:rPr>
      <w:rFonts w:ascii="Arial" w:cs="Arial" w:eastAsia="Arial" w:hAnsi="Arial"/>
      <w:color w:val="7A1535"/>
      <w:sz w:val="30"/>
      <w:szCs w:val="30"/>
    </w:rPr>
  </w:style>
  <w:style w:type="paragraph" w:styleId="Heading1">
    <w:name w:val="Heading 1"/>
    <w:basedOn w:val="Normal"/>
    <w:next w:val="Normal"/>
    <w:qFormat/>
    <w:pPr>
      <w:spacing w:after="160" w:before="320"/>
      <w:outlineLvl w:val="0"/>
    </w:pPr>
    <w:rPr>
      <w:rFonts w:ascii="Arial" w:cs="Arial" w:eastAsia="Arial" w:hAnsi="Arial"/>
      <w:b/>
      <w:bCs/>
      <w:color w:val="B11F4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53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7A15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 Content Lifecycle — Vision &amp; Working-Backward Plan v1.0</dc:title>
  <dc:creator>Sony Manay</dc:creator>
  <dc:description>Amazon-style vision + working-backward plan: tenets, press release, external + internal FAQ, customer problems, before/after, strategy (3 personas + human-led + AI-led), outcomes tree, bets ledger ranked by business value, outcome-based roadmap with dated commitments, operating cadence, risks, non-goals, companion artifacts.</dc:description>
  <cp:lastModifiedBy>Un-named</cp:lastModifiedBy>
  <cp:revision>1</cp:revision>
  <dcterms:created xsi:type="dcterms:W3CDTF">2026-06-08T05:24:04.812Z</dcterms:created>
  <dcterms:modified xsi:type="dcterms:W3CDTF">2026-06-08T05:24:04.814Z</dcterms:modified>
</cp:coreProperties>
</file>

<file path=docProps/custom.xml><?xml version="1.0" encoding="utf-8"?>
<Properties xmlns="http://schemas.openxmlformats.org/officeDocument/2006/custom-properties" xmlns:vt="http://schemas.openxmlformats.org/officeDocument/2006/docPropsVTypes"/>
</file>